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9977F2" w14:textId="77777777" w:rsidR="00E34CC3" w:rsidRDefault="00000000">
      <w:pPr>
        <w:spacing w:line="320" w:lineRule="exact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Multinucleon Transfer and Incomplete Fusion at 15 MeV/nucleon for the </w:t>
      </w:r>
      <w:r>
        <w:rPr>
          <w:b/>
          <w:bCs/>
          <w:sz w:val="28"/>
          <w:szCs w:val="28"/>
          <w:vertAlign w:val="superscript"/>
        </w:rPr>
        <w:t>86</w:t>
      </w:r>
      <w:r>
        <w:rPr>
          <w:b/>
          <w:bCs/>
          <w:sz w:val="28"/>
          <w:szCs w:val="28"/>
        </w:rPr>
        <w:t xml:space="preserve">Kr + </w:t>
      </w:r>
      <w:r>
        <w:rPr>
          <w:b/>
          <w:bCs/>
          <w:sz w:val="28"/>
          <w:szCs w:val="28"/>
          <w:vertAlign w:val="superscript"/>
        </w:rPr>
        <w:t>27</w:t>
      </w:r>
      <w:r>
        <w:rPr>
          <w:b/>
          <w:bCs/>
          <w:sz w:val="28"/>
          <w:szCs w:val="28"/>
        </w:rPr>
        <w:t>Al System</w:t>
      </w:r>
    </w:p>
    <w:p w14:paraId="569B6FAE" w14:textId="77777777" w:rsidR="00E34CC3" w:rsidRDefault="00E34CC3">
      <w:pPr>
        <w:spacing w:line="320" w:lineRule="exact"/>
        <w:ind w:left="1440" w:hanging="1440"/>
        <w:jc w:val="center"/>
        <w:rPr>
          <w:b/>
          <w:bCs/>
        </w:rPr>
      </w:pPr>
    </w:p>
    <w:p w14:paraId="24184E4A" w14:textId="77777777" w:rsidR="00E34CC3" w:rsidRDefault="00000000">
      <w:pPr>
        <w:pStyle w:val="BodyText"/>
        <w:spacing w:line="320" w:lineRule="exact"/>
        <w:rPr>
          <w:b w:val="0"/>
          <w:bCs w:val="0"/>
          <w:lang w:val="en-US"/>
        </w:rPr>
      </w:pPr>
      <w:r>
        <w:rPr>
          <w:b w:val="0"/>
          <w:bCs w:val="0"/>
          <w:u w:val="single"/>
          <w:lang w:val="en-US"/>
        </w:rPr>
        <w:t>K. Gkatzogias</w:t>
      </w:r>
      <w:r>
        <w:rPr>
          <w:b w:val="0"/>
          <w:bCs w:val="0"/>
          <w:vertAlign w:val="superscript"/>
          <w:lang w:val="en-US"/>
        </w:rPr>
        <w:t>1</w:t>
      </w:r>
      <w:r>
        <w:rPr>
          <w:lang w:val="en-US"/>
        </w:rPr>
        <w:t xml:space="preserve">, </w:t>
      </w:r>
      <w:r>
        <w:rPr>
          <w:b w:val="0"/>
          <w:bCs w:val="0"/>
          <w:lang w:val="en-US"/>
        </w:rPr>
        <w:t>G.A. Souliotis</w:t>
      </w:r>
      <w:r>
        <w:rPr>
          <w:b w:val="0"/>
          <w:bCs w:val="0"/>
          <w:vertAlign w:val="superscript"/>
          <w:lang w:val="en-US"/>
        </w:rPr>
        <w:t>1</w:t>
      </w:r>
      <w:r>
        <w:rPr>
          <w:b w:val="0"/>
          <w:bCs w:val="0"/>
          <w:lang w:val="en-US"/>
        </w:rPr>
        <w:t>, Ch. Giannitsa</w:t>
      </w:r>
      <w:r>
        <w:rPr>
          <w:b w:val="0"/>
          <w:bCs w:val="0"/>
          <w:vertAlign w:val="superscript"/>
          <w:lang w:val="en-US"/>
        </w:rPr>
        <w:t>1</w:t>
      </w:r>
      <w:r>
        <w:rPr>
          <w:b w:val="0"/>
          <w:bCs w:val="0"/>
          <w:lang w:val="en-US"/>
        </w:rPr>
        <w:t>, S. Koulouris</w:t>
      </w:r>
      <w:r>
        <w:rPr>
          <w:b w:val="0"/>
          <w:bCs w:val="0"/>
          <w:vertAlign w:val="superscript"/>
          <w:lang w:val="en-US"/>
        </w:rPr>
        <w:t>1</w:t>
      </w:r>
      <w:r>
        <w:rPr>
          <w:b w:val="0"/>
          <w:bCs w:val="0"/>
          <w:lang w:val="en-US"/>
        </w:rPr>
        <w:t>,</w:t>
      </w:r>
    </w:p>
    <w:p w14:paraId="53802BD2" w14:textId="77777777" w:rsidR="00E34CC3" w:rsidRDefault="00000000">
      <w:pPr>
        <w:pStyle w:val="BodyText"/>
        <w:spacing w:line="320" w:lineRule="exact"/>
        <w:rPr>
          <w:b w:val="0"/>
          <w:bCs w:val="0"/>
          <w:vertAlign w:val="superscript"/>
        </w:rPr>
      </w:pPr>
      <w:r>
        <w:rPr>
          <w:b w:val="0"/>
          <w:bCs w:val="0"/>
          <w:lang w:val="en-US"/>
        </w:rPr>
        <w:t xml:space="preserve"> A. Pakou</w:t>
      </w:r>
      <w:r>
        <w:rPr>
          <w:b w:val="0"/>
          <w:bCs w:val="0"/>
          <w:vertAlign w:val="superscript"/>
          <w:lang w:val="en-US"/>
        </w:rPr>
        <w:t>2</w:t>
      </w:r>
      <w:r>
        <w:rPr>
          <w:b w:val="0"/>
          <w:bCs w:val="0"/>
          <w:lang w:val="en-US"/>
        </w:rPr>
        <w:t>,</w:t>
      </w:r>
      <w:r>
        <w:rPr>
          <w:b w:val="0"/>
          <w:bCs w:val="0"/>
        </w:rPr>
        <w:t xml:space="preserve"> M. Veselsky</w:t>
      </w:r>
      <w:r>
        <w:rPr>
          <w:b w:val="0"/>
          <w:bCs w:val="0"/>
          <w:vertAlign w:val="superscript"/>
        </w:rPr>
        <w:t>3</w:t>
      </w:r>
      <w:r>
        <w:rPr>
          <w:b w:val="0"/>
          <w:bCs w:val="0"/>
        </w:rPr>
        <w:t>, S.J. Yennello</w:t>
      </w:r>
      <w:r>
        <w:rPr>
          <w:b w:val="0"/>
          <w:bCs w:val="0"/>
          <w:vertAlign w:val="superscript"/>
        </w:rPr>
        <w:t>4</w:t>
      </w:r>
      <w:r>
        <w:rPr>
          <w:b w:val="0"/>
          <w:bCs w:val="0"/>
        </w:rPr>
        <w:t>, A. Bonasera</w:t>
      </w:r>
      <w:r>
        <w:rPr>
          <w:b w:val="0"/>
          <w:bCs w:val="0"/>
          <w:vertAlign w:val="superscript"/>
        </w:rPr>
        <w:t>4</w:t>
      </w:r>
    </w:p>
    <w:p w14:paraId="771E074E" w14:textId="77777777" w:rsidR="00E34CC3" w:rsidRDefault="00E34CC3">
      <w:pPr>
        <w:pStyle w:val="BodyText"/>
        <w:spacing w:line="320" w:lineRule="exact"/>
        <w:rPr>
          <w:b w:val="0"/>
          <w:bCs w:val="0"/>
        </w:rPr>
      </w:pPr>
    </w:p>
    <w:p w14:paraId="560B2A61" w14:textId="77777777" w:rsidR="00E34CC3" w:rsidRDefault="00000000">
      <w:pPr>
        <w:pStyle w:val="BodyText"/>
        <w:spacing w:line="320" w:lineRule="exact"/>
        <w:rPr>
          <w:b w:val="0"/>
          <w:bCs w:val="0"/>
          <w:i/>
          <w:sz w:val="22"/>
          <w:szCs w:val="22"/>
          <w:lang w:val="en-US"/>
        </w:rPr>
      </w:pPr>
      <w:r>
        <w:rPr>
          <w:b w:val="0"/>
          <w:i/>
          <w:sz w:val="22"/>
          <w:szCs w:val="22"/>
          <w:vertAlign w:val="superscript"/>
        </w:rPr>
        <w:t>1</w:t>
      </w:r>
      <w:r>
        <w:rPr>
          <w:b w:val="0"/>
          <w:i/>
          <w:sz w:val="22"/>
          <w:szCs w:val="22"/>
        </w:rPr>
        <w:t xml:space="preserve"> Laboratory of Physical Chemistry, Department of Chemistry, National and </w:t>
      </w:r>
      <w:proofErr w:type="spellStart"/>
      <w:r>
        <w:rPr>
          <w:b w:val="0"/>
          <w:i/>
          <w:sz w:val="22"/>
          <w:szCs w:val="22"/>
        </w:rPr>
        <w:t>Kapodistrian</w:t>
      </w:r>
      <w:proofErr w:type="spellEnd"/>
      <w:r>
        <w:rPr>
          <w:b w:val="0"/>
          <w:i/>
          <w:sz w:val="22"/>
          <w:szCs w:val="22"/>
        </w:rPr>
        <w:t xml:space="preserve"> University of Athens, Athens 157 71, Greece</w:t>
      </w:r>
    </w:p>
    <w:p w14:paraId="0565AC93" w14:textId="77777777" w:rsidR="00E34CC3" w:rsidRDefault="00000000">
      <w:pPr>
        <w:spacing w:line="276" w:lineRule="auto"/>
        <w:jc w:val="center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  <w:vertAlign w:val="superscript"/>
          <w:lang w:val="en-US"/>
        </w:rPr>
        <w:t>2</w:t>
      </w:r>
      <w:r>
        <w:rPr>
          <w:i/>
          <w:iCs/>
          <w:sz w:val="22"/>
          <w:szCs w:val="22"/>
          <w:lang w:val="en-US"/>
        </w:rPr>
        <w:t xml:space="preserve"> Department of Physics, The University of Ioannina, 451 10, Ioannina, Greece</w:t>
      </w:r>
    </w:p>
    <w:p w14:paraId="289A3502" w14:textId="77777777" w:rsidR="00E34CC3" w:rsidRDefault="00000000">
      <w:pPr>
        <w:spacing w:line="320" w:lineRule="exact"/>
        <w:jc w:val="center"/>
        <w:rPr>
          <w:i/>
          <w:sz w:val="22"/>
          <w:szCs w:val="22"/>
        </w:rPr>
      </w:pPr>
      <w:r>
        <w:rPr>
          <w:i/>
          <w:sz w:val="22"/>
          <w:szCs w:val="22"/>
          <w:vertAlign w:val="superscript"/>
        </w:rPr>
        <w:t>3</w:t>
      </w:r>
      <w:r>
        <w:rPr>
          <w:i/>
          <w:sz w:val="22"/>
          <w:szCs w:val="22"/>
        </w:rPr>
        <w:t xml:space="preserve"> Institute of Experimental and Applied Physics, Czech Technical University, Prague </w:t>
      </w:r>
      <w:r>
        <w:rPr>
          <w:i/>
          <w:iCs/>
          <w:sz w:val="20"/>
          <w:lang w:val="en-US"/>
        </w:rPr>
        <w:t>110 00</w:t>
      </w:r>
      <w:r>
        <w:rPr>
          <w:i/>
          <w:sz w:val="22"/>
          <w:szCs w:val="22"/>
        </w:rPr>
        <w:t>, Czech Republic</w:t>
      </w:r>
    </w:p>
    <w:p w14:paraId="3EF04AA5" w14:textId="77777777" w:rsidR="00E34CC3" w:rsidRDefault="00000000">
      <w:pPr>
        <w:spacing w:line="320" w:lineRule="exact"/>
        <w:jc w:val="center"/>
        <w:rPr>
          <w:i/>
        </w:rPr>
      </w:pPr>
      <w:r>
        <w:rPr>
          <w:i/>
          <w:sz w:val="22"/>
          <w:szCs w:val="22"/>
          <w:vertAlign w:val="superscript"/>
        </w:rPr>
        <w:t>4</w:t>
      </w:r>
      <w:r>
        <w:rPr>
          <w:i/>
          <w:sz w:val="22"/>
          <w:szCs w:val="22"/>
        </w:rPr>
        <w:t xml:space="preserve"> Cyclotron Institute, Texas A&amp;M University, College Station, Texas</w:t>
      </w:r>
      <w:r>
        <w:rPr>
          <w:i/>
          <w:iCs/>
          <w:sz w:val="20"/>
          <w:lang w:val="en-US"/>
        </w:rPr>
        <w:t xml:space="preserve"> 77843</w:t>
      </w:r>
      <w:r>
        <w:rPr>
          <w:i/>
          <w:sz w:val="22"/>
          <w:szCs w:val="22"/>
        </w:rPr>
        <w:t>, USA</w:t>
      </w:r>
    </w:p>
    <w:p w14:paraId="236C6945" w14:textId="77777777" w:rsidR="00E34CC3" w:rsidRDefault="00000000">
      <w:pPr>
        <w:spacing w:line="320" w:lineRule="exact"/>
        <w:jc w:val="center"/>
      </w:pPr>
      <w:r>
        <w:t>Presenting author email: gkakonst@chem.uoa.gr</w:t>
      </w:r>
    </w:p>
    <w:p w14:paraId="110F40EE" w14:textId="77777777" w:rsidR="00E34CC3" w:rsidRDefault="00E34CC3">
      <w:pPr>
        <w:spacing w:line="320" w:lineRule="exact"/>
        <w:jc w:val="center"/>
      </w:pPr>
    </w:p>
    <w:p w14:paraId="113A9B2B" w14:textId="259BD00A" w:rsidR="00E34CC3" w:rsidRDefault="00000000">
      <w:pPr>
        <w:spacing w:line="320" w:lineRule="exact"/>
        <w:ind w:firstLine="360"/>
        <w:jc w:val="both"/>
      </w:pPr>
      <w:r>
        <w:rPr>
          <w:lang w:val="en-US"/>
        </w:rPr>
        <w:t xml:space="preserve">We present an investigation of the mass-asymmetric collision of a ⁸⁶Kr beam with a ²⁷Al target at an incident energy of 15 MeV/nucleon. The primary goal is to characterize the mass, angular, and momentum distributions of projectile-like fragments emerging from this reaction. The experimental data utilized here were acquired with the MARS spectrometer at the Texas A&amp;M University Cyclotron Institute during earlier work by our group [1]. These data are </w:t>
      </w:r>
      <w:r w:rsidR="00DA055D">
        <w:rPr>
          <w:lang w:val="en-US"/>
        </w:rPr>
        <w:t>compared</w:t>
      </w:r>
      <w:r>
        <w:rPr>
          <w:lang w:val="en-US"/>
        </w:rPr>
        <w:t xml:space="preserve"> with theoretical predictions from two approaches: the phenomenological Deep-Inelastic Transfer (DIT) model, that describes the reaction dynamics, [2] and the microscopic Constrained Molecular Dynamics (</w:t>
      </w:r>
      <w:proofErr w:type="spellStart"/>
      <w:r>
        <w:rPr>
          <w:lang w:val="en-US"/>
        </w:rPr>
        <w:t>CoMD</w:t>
      </w:r>
      <w:proofErr w:type="spellEnd"/>
      <w:r>
        <w:rPr>
          <w:lang w:val="en-US"/>
        </w:rPr>
        <w:t xml:space="preserve">) model [3]. In both cases, the statistical decay code GEMINI [4] is employed to describe the de-excitation of primary fragments. A comparison between the measured observables and the model outcomes offers meaningful insight into the contributing reaction mechanisms. The DIT model successfully captures the multinucleon transfer (MNT) processes. The </w:t>
      </w:r>
      <w:proofErr w:type="spellStart"/>
      <w:r>
        <w:rPr>
          <w:lang w:val="en-US"/>
        </w:rPr>
        <w:t>CoMD</w:t>
      </w:r>
      <w:proofErr w:type="spellEnd"/>
      <w:r>
        <w:rPr>
          <w:lang w:val="en-US"/>
        </w:rPr>
        <w:t xml:space="preserve"> model, while also reproducing the MNT features, additionally accounts for an incomplete fusion component </w:t>
      </w:r>
      <w:r w:rsidR="00DA055D">
        <w:rPr>
          <w:lang w:val="en-US"/>
        </w:rPr>
        <w:t>in</w:t>
      </w:r>
      <w:r>
        <w:rPr>
          <w:lang w:val="en-US"/>
        </w:rPr>
        <w:t xml:space="preserve"> this light target. It is worth noting that the MNT mechanism is responsible for generating neutron-rich nuclides in this mass region [5–9]. We anticipate that the study of this mass-asymmetric system will enhance our understanding of heavy-ion reaction mechanisms below the Fermi energy regime (15–35 MeV/nucleon).</w:t>
      </w:r>
    </w:p>
    <w:p w14:paraId="105F76A6" w14:textId="77777777" w:rsidR="00E34CC3" w:rsidRDefault="00E34CC3">
      <w:pPr>
        <w:pStyle w:val="NormalWeb"/>
        <w:spacing w:before="0" w:after="0"/>
        <w:rPr>
          <w:rFonts w:ascii="Times New Roman" w:eastAsia="Times New Roman" w:hAnsi="Times New Roman" w:cs="Times New Roman"/>
          <w:sz w:val="22"/>
          <w:szCs w:val="22"/>
        </w:rPr>
      </w:pPr>
    </w:p>
    <w:p w14:paraId="3957705C" w14:textId="77777777" w:rsidR="00E34CC3" w:rsidRDefault="00000000">
      <w:pPr>
        <w:pStyle w:val="NormalWeb"/>
        <w:spacing w:before="0" w:after="0"/>
        <w:rPr>
          <w:rFonts w:ascii="Times New Roman" w:eastAsia="Times New Roman" w:hAnsi="Times New Roman" w:cs="Times New Roman"/>
          <w:b/>
          <w:sz w:val="22"/>
          <w:szCs w:val="22"/>
        </w:rPr>
      </w:pPr>
      <w:r>
        <w:rPr>
          <w:rFonts w:ascii="Times New Roman" w:eastAsia="Times New Roman" w:hAnsi="Times New Roman" w:cs="Times New Roman"/>
          <w:b/>
          <w:sz w:val="22"/>
          <w:szCs w:val="22"/>
        </w:rPr>
        <w:t>References</w:t>
      </w:r>
    </w:p>
    <w:p w14:paraId="6A7E39C8" w14:textId="77777777" w:rsidR="00E34CC3" w:rsidRDefault="00000000">
      <w:pPr>
        <w:rPr>
          <w:sz w:val="22"/>
          <w:szCs w:val="22"/>
        </w:rPr>
      </w:pPr>
      <w:r>
        <w:rPr>
          <w:sz w:val="22"/>
          <w:szCs w:val="22"/>
        </w:rPr>
        <w:t xml:space="preserve">[1] G.A. Souliotis </w:t>
      </w:r>
      <w:r>
        <w:rPr>
          <w:i/>
          <w:sz w:val="22"/>
          <w:szCs w:val="22"/>
        </w:rPr>
        <w:t>et al.</w:t>
      </w:r>
      <w:r>
        <w:rPr>
          <w:sz w:val="22"/>
          <w:szCs w:val="22"/>
        </w:rPr>
        <w:t xml:space="preserve">, Phys. Rev. C </w:t>
      </w:r>
      <w:r>
        <w:rPr>
          <w:b/>
          <w:sz w:val="22"/>
          <w:szCs w:val="22"/>
        </w:rPr>
        <w:t>84</w:t>
      </w:r>
      <w:r>
        <w:rPr>
          <w:sz w:val="22"/>
          <w:szCs w:val="22"/>
        </w:rPr>
        <w:t xml:space="preserve">, </w:t>
      </w:r>
      <w:r w:rsidRPr="00065935">
        <w:rPr>
          <w:bCs/>
          <w:sz w:val="22"/>
          <w:szCs w:val="22"/>
        </w:rPr>
        <w:t>064607</w:t>
      </w:r>
      <w:r>
        <w:rPr>
          <w:sz w:val="22"/>
          <w:szCs w:val="22"/>
        </w:rPr>
        <w:t xml:space="preserve"> (2011)</w:t>
      </w:r>
    </w:p>
    <w:p w14:paraId="077BAEFC" w14:textId="77777777" w:rsidR="00E34CC3" w:rsidRDefault="00000000">
      <w:pPr>
        <w:rPr>
          <w:sz w:val="22"/>
          <w:szCs w:val="22"/>
        </w:rPr>
      </w:pPr>
      <w:r>
        <w:rPr>
          <w:sz w:val="22"/>
          <w:szCs w:val="22"/>
        </w:rPr>
        <w:t xml:space="preserve">[2] L. </w:t>
      </w:r>
      <w:proofErr w:type="spellStart"/>
      <w:r>
        <w:rPr>
          <w:sz w:val="22"/>
          <w:szCs w:val="22"/>
        </w:rPr>
        <w:t>Tassan</w:t>
      </w:r>
      <w:proofErr w:type="spellEnd"/>
      <w:r>
        <w:rPr>
          <w:sz w:val="22"/>
          <w:szCs w:val="22"/>
        </w:rPr>
        <w:t xml:space="preserve">-Got </w:t>
      </w:r>
      <w:r>
        <w:rPr>
          <w:i/>
          <w:sz w:val="22"/>
          <w:szCs w:val="22"/>
        </w:rPr>
        <w:t>et al.</w:t>
      </w:r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Nucl</w:t>
      </w:r>
      <w:proofErr w:type="spellEnd"/>
      <w:r>
        <w:rPr>
          <w:sz w:val="22"/>
          <w:szCs w:val="22"/>
        </w:rPr>
        <w:t xml:space="preserve">. Phys. A </w:t>
      </w:r>
      <w:r>
        <w:rPr>
          <w:b/>
          <w:sz w:val="22"/>
          <w:szCs w:val="22"/>
        </w:rPr>
        <w:t>524</w:t>
      </w:r>
      <w:r>
        <w:rPr>
          <w:sz w:val="22"/>
          <w:szCs w:val="22"/>
        </w:rPr>
        <w:t xml:space="preserve">, </w:t>
      </w:r>
      <w:r w:rsidRPr="00065935">
        <w:rPr>
          <w:bCs/>
          <w:sz w:val="22"/>
          <w:szCs w:val="22"/>
        </w:rPr>
        <w:t>121</w:t>
      </w:r>
      <w:r>
        <w:rPr>
          <w:sz w:val="22"/>
          <w:szCs w:val="22"/>
        </w:rPr>
        <w:t xml:space="preserve"> (1991)</w:t>
      </w:r>
    </w:p>
    <w:p w14:paraId="2EF4C0A8" w14:textId="77777777" w:rsidR="00E34CC3" w:rsidRDefault="00000000">
      <w:pPr>
        <w:rPr>
          <w:sz w:val="22"/>
          <w:szCs w:val="22"/>
        </w:rPr>
      </w:pPr>
      <w:r>
        <w:rPr>
          <w:sz w:val="22"/>
          <w:szCs w:val="22"/>
        </w:rPr>
        <w:t xml:space="preserve">[3] M. Papa </w:t>
      </w:r>
      <w:r>
        <w:rPr>
          <w:i/>
          <w:sz w:val="22"/>
          <w:szCs w:val="22"/>
        </w:rPr>
        <w:t>et al.</w:t>
      </w:r>
      <w:r>
        <w:rPr>
          <w:sz w:val="22"/>
          <w:szCs w:val="22"/>
        </w:rPr>
        <w:t xml:space="preserve">, Phys. Rev. C </w:t>
      </w:r>
      <w:r>
        <w:rPr>
          <w:b/>
          <w:sz w:val="22"/>
          <w:szCs w:val="22"/>
        </w:rPr>
        <w:t>64</w:t>
      </w:r>
      <w:r>
        <w:rPr>
          <w:sz w:val="22"/>
          <w:szCs w:val="22"/>
        </w:rPr>
        <w:t xml:space="preserve">, </w:t>
      </w:r>
      <w:r w:rsidRPr="00065935">
        <w:rPr>
          <w:bCs/>
          <w:sz w:val="22"/>
          <w:szCs w:val="22"/>
        </w:rPr>
        <w:t>024612</w:t>
      </w:r>
      <w:r>
        <w:rPr>
          <w:sz w:val="22"/>
          <w:szCs w:val="22"/>
        </w:rPr>
        <w:t xml:space="preserve"> (2001)</w:t>
      </w:r>
    </w:p>
    <w:p w14:paraId="7E8FAEF7" w14:textId="77777777" w:rsidR="00E34CC3" w:rsidRDefault="00000000">
      <w:pPr>
        <w:rPr>
          <w:sz w:val="22"/>
          <w:szCs w:val="22"/>
        </w:rPr>
      </w:pPr>
      <w:r>
        <w:rPr>
          <w:sz w:val="22"/>
          <w:szCs w:val="22"/>
        </w:rPr>
        <w:t xml:space="preserve">[4] R.J. Charity </w:t>
      </w:r>
      <w:r>
        <w:rPr>
          <w:i/>
          <w:sz w:val="22"/>
          <w:szCs w:val="22"/>
        </w:rPr>
        <w:t>et al.</w:t>
      </w:r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Nucl</w:t>
      </w:r>
      <w:proofErr w:type="spellEnd"/>
      <w:r>
        <w:rPr>
          <w:sz w:val="22"/>
          <w:szCs w:val="22"/>
        </w:rPr>
        <w:t xml:space="preserve">. Phys. A </w:t>
      </w:r>
      <w:r>
        <w:rPr>
          <w:b/>
          <w:sz w:val="22"/>
          <w:szCs w:val="22"/>
        </w:rPr>
        <w:t>483</w:t>
      </w:r>
      <w:r>
        <w:rPr>
          <w:sz w:val="22"/>
          <w:szCs w:val="22"/>
        </w:rPr>
        <w:t xml:space="preserve">, </w:t>
      </w:r>
      <w:r w:rsidRPr="00065935">
        <w:rPr>
          <w:bCs/>
          <w:sz w:val="22"/>
          <w:szCs w:val="22"/>
        </w:rPr>
        <w:t>371</w:t>
      </w:r>
      <w:r>
        <w:rPr>
          <w:sz w:val="22"/>
          <w:szCs w:val="22"/>
        </w:rPr>
        <w:t xml:space="preserve"> (1988)</w:t>
      </w:r>
    </w:p>
    <w:p w14:paraId="693833F0" w14:textId="77777777" w:rsidR="00E34CC3" w:rsidRDefault="00000000">
      <w:pPr>
        <w:rPr>
          <w:sz w:val="22"/>
          <w:szCs w:val="22"/>
        </w:rPr>
      </w:pPr>
      <w:r>
        <w:rPr>
          <w:sz w:val="22"/>
          <w:szCs w:val="22"/>
        </w:rPr>
        <w:t xml:space="preserve">[5] O. </w:t>
      </w:r>
      <w:proofErr w:type="spellStart"/>
      <w:r>
        <w:rPr>
          <w:sz w:val="22"/>
          <w:szCs w:val="22"/>
        </w:rPr>
        <w:t>Fasoula</w:t>
      </w:r>
      <w:proofErr w:type="spellEnd"/>
      <w:r>
        <w:rPr>
          <w:sz w:val="22"/>
          <w:szCs w:val="22"/>
        </w:rPr>
        <w:t xml:space="preserve"> et al., Phys. Rev. C </w:t>
      </w:r>
      <w:r>
        <w:rPr>
          <w:b/>
          <w:bCs/>
          <w:sz w:val="22"/>
          <w:szCs w:val="22"/>
        </w:rPr>
        <w:t>113</w:t>
      </w:r>
      <w:r>
        <w:rPr>
          <w:sz w:val="22"/>
          <w:szCs w:val="22"/>
        </w:rPr>
        <w:t xml:space="preserve">, </w:t>
      </w:r>
      <w:r w:rsidRPr="00065935">
        <w:rPr>
          <w:sz w:val="22"/>
          <w:szCs w:val="22"/>
        </w:rPr>
        <w:t>034621</w:t>
      </w:r>
      <w:r>
        <w:rPr>
          <w:sz w:val="22"/>
          <w:szCs w:val="22"/>
        </w:rPr>
        <w:t xml:space="preserve"> (2026)</w:t>
      </w:r>
    </w:p>
    <w:p w14:paraId="2C2D61EB" w14:textId="77777777" w:rsidR="00E34CC3" w:rsidRDefault="00000000">
      <w:pPr>
        <w:rPr>
          <w:sz w:val="22"/>
          <w:szCs w:val="22"/>
        </w:rPr>
      </w:pPr>
      <w:r>
        <w:rPr>
          <w:sz w:val="22"/>
          <w:szCs w:val="22"/>
        </w:rPr>
        <w:t xml:space="preserve">[6] S. Koulouris et al., Phys. Rev. C </w:t>
      </w:r>
      <w:r>
        <w:rPr>
          <w:b/>
          <w:bCs/>
          <w:sz w:val="22"/>
          <w:szCs w:val="22"/>
        </w:rPr>
        <w:t>108</w:t>
      </w:r>
      <w:r>
        <w:rPr>
          <w:sz w:val="22"/>
          <w:szCs w:val="22"/>
        </w:rPr>
        <w:t xml:space="preserve">, </w:t>
      </w:r>
      <w:r w:rsidRPr="00065935">
        <w:rPr>
          <w:sz w:val="22"/>
          <w:szCs w:val="22"/>
        </w:rPr>
        <w:t>044612</w:t>
      </w:r>
      <w:r>
        <w:rPr>
          <w:sz w:val="22"/>
          <w:szCs w:val="22"/>
        </w:rPr>
        <w:t xml:space="preserve"> (2023)</w:t>
      </w:r>
    </w:p>
    <w:p w14:paraId="64124524" w14:textId="77777777" w:rsidR="00E34CC3" w:rsidRDefault="00000000">
      <w:pPr>
        <w:rPr>
          <w:sz w:val="22"/>
          <w:szCs w:val="22"/>
        </w:rPr>
      </w:pPr>
      <w:r>
        <w:rPr>
          <w:sz w:val="22"/>
          <w:szCs w:val="22"/>
        </w:rPr>
        <w:t xml:space="preserve">[7] Ch. </w:t>
      </w:r>
      <w:proofErr w:type="spellStart"/>
      <w:r>
        <w:rPr>
          <w:sz w:val="22"/>
          <w:szCs w:val="22"/>
        </w:rPr>
        <w:t>Giannitsa</w:t>
      </w:r>
      <w:proofErr w:type="spellEnd"/>
      <w:r>
        <w:rPr>
          <w:sz w:val="22"/>
          <w:szCs w:val="22"/>
        </w:rPr>
        <w:t xml:space="preserve"> et al., HNPS Advances in Nuclear Physics </w:t>
      </w:r>
      <w:r>
        <w:rPr>
          <w:b/>
          <w:bCs/>
          <w:sz w:val="22"/>
          <w:szCs w:val="22"/>
        </w:rPr>
        <w:t>Vol. 32</w:t>
      </w:r>
      <w:r>
        <w:rPr>
          <w:sz w:val="22"/>
          <w:szCs w:val="22"/>
        </w:rPr>
        <w:t xml:space="preserve">, </w:t>
      </w:r>
      <w:r w:rsidRPr="00065935">
        <w:rPr>
          <w:sz w:val="22"/>
          <w:szCs w:val="22"/>
        </w:rPr>
        <w:t>101</w:t>
      </w:r>
      <w:r>
        <w:rPr>
          <w:sz w:val="22"/>
          <w:szCs w:val="22"/>
        </w:rPr>
        <w:t xml:space="preserve"> (2025)</w:t>
      </w:r>
    </w:p>
    <w:p w14:paraId="2BF36EF0" w14:textId="77777777" w:rsidR="00E34CC3" w:rsidRDefault="00000000">
      <w:pPr>
        <w:rPr>
          <w:sz w:val="22"/>
          <w:szCs w:val="22"/>
        </w:rPr>
      </w:pPr>
      <w:r>
        <w:rPr>
          <w:sz w:val="22"/>
          <w:szCs w:val="22"/>
        </w:rPr>
        <w:t xml:space="preserve">[8] K. Gkatzogias et al., HNPS Advances in Nuclear Physics </w:t>
      </w:r>
      <w:r>
        <w:rPr>
          <w:b/>
          <w:bCs/>
          <w:sz w:val="22"/>
          <w:szCs w:val="22"/>
        </w:rPr>
        <w:t>Vol. 32</w:t>
      </w:r>
      <w:r>
        <w:rPr>
          <w:sz w:val="22"/>
          <w:szCs w:val="22"/>
        </w:rPr>
        <w:t xml:space="preserve">, </w:t>
      </w:r>
      <w:r w:rsidRPr="00065935">
        <w:rPr>
          <w:sz w:val="22"/>
          <w:szCs w:val="22"/>
        </w:rPr>
        <w:t>183</w:t>
      </w:r>
      <w:r>
        <w:rPr>
          <w:sz w:val="22"/>
          <w:szCs w:val="22"/>
        </w:rPr>
        <w:t xml:space="preserve"> (2025)</w:t>
      </w:r>
    </w:p>
    <w:p w14:paraId="34F3C681" w14:textId="77777777" w:rsidR="00E34CC3" w:rsidRDefault="00000000">
      <w:pPr>
        <w:rPr>
          <w:sz w:val="22"/>
          <w:szCs w:val="22"/>
        </w:rPr>
      </w:pPr>
      <w:r>
        <w:rPr>
          <w:sz w:val="22"/>
          <w:szCs w:val="22"/>
        </w:rPr>
        <w:t xml:space="preserve">[9] K. Palli et al., EPJ Web of Conferences </w:t>
      </w:r>
      <w:r>
        <w:rPr>
          <w:b/>
          <w:bCs/>
          <w:sz w:val="22"/>
          <w:szCs w:val="22"/>
        </w:rPr>
        <w:t>252</w:t>
      </w:r>
      <w:r>
        <w:rPr>
          <w:sz w:val="22"/>
          <w:szCs w:val="22"/>
        </w:rPr>
        <w:t xml:space="preserve">, </w:t>
      </w:r>
      <w:r w:rsidRPr="00065935">
        <w:rPr>
          <w:sz w:val="22"/>
          <w:szCs w:val="22"/>
        </w:rPr>
        <w:t>07002</w:t>
      </w:r>
      <w:r>
        <w:rPr>
          <w:sz w:val="22"/>
          <w:szCs w:val="22"/>
        </w:rPr>
        <w:t xml:space="preserve"> (2021)</w:t>
      </w:r>
    </w:p>
    <w:sectPr w:rsidR="00E34CC3">
      <w:headerReference w:type="even" r:id="rId7"/>
      <w:headerReference w:type="default" r:id="rId8"/>
      <w:headerReference w:type="first" r:id="rId9"/>
      <w:pgSz w:w="11906" w:h="16838"/>
      <w:pgMar w:top="1276" w:right="1287" w:bottom="1135" w:left="1620" w:header="720" w:footer="0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9049C6" w14:textId="77777777" w:rsidR="00CB6190" w:rsidRDefault="00CB6190">
      <w:r>
        <w:separator/>
      </w:r>
    </w:p>
  </w:endnote>
  <w:endnote w:type="continuationSeparator" w:id="0">
    <w:p w14:paraId="75C9E5C4" w14:textId="77777777" w:rsidR="00CB6190" w:rsidRDefault="00CB61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1"/>
    <w:family w:val="roman"/>
    <w:pitch w:val="variable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7C7627" w14:textId="77777777" w:rsidR="00CB6190" w:rsidRDefault="00CB6190">
      <w:r>
        <w:separator/>
      </w:r>
    </w:p>
  </w:footnote>
  <w:footnote w:type="continuationSeparator" w:id="0">
    <w:p w14:paraId="013A6400" w14:textId="77777777" w:rsidR="00CB6190" w:rsidRDefault="00CB61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864CE6" w14:textId="77777777" w:rsidR="00E34CC3" w:rsidRDefault="00E34CC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546446" w14:textId="77777777" w:rsidR="00E34CC3" w:rsidRDefault="00000000">
    <w:pPr>
      <w:pStyle w:val="Header"/>
      <w:jc w:val="center"/>
      <w:rPr>
        <w:sz w:val="20"/>
        <w:szCs w:val="20"/>
        <w:lang w:val="en-US"/>
      </w:rPr>
    </w:pPr>
    <w:r>
      <w:rPr>
        <w:sz w:val="20"/>
        <w:szCs w:val="20"/>
        <w:lang w:val="en-US"/>
      </w:rPr>
      <w:t>Abstract submitted to HNPS2026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D53E4F" w14:textId="77777777" w:rsidR="00E34CC3" w:rsidRDefault="00000000">
    <w:pPr>
      <w:pStyle w:val="Header"/>
      <w:jc w:val="center"/>
      <w:rPr>
        <w:sz w:val="20"/>
        <w:szCs w:val="20"/>
        <w:lang w:val="en-US"/>
      </w:rPr>
    </w:pPr>
    <w:r>
      <w:rPr>
        <w:sz w:val="20"/>
        <w:szCs w:val="20"/>
        <w:lang w:val="en-US"/>
      </w:rPr>
      <w:t>Abstract submitted to HNPS2026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4CC3"/>
    <w:rsid w:val="00065935"/>
    <w:rsid w:val="00204A3D"/>
    <w:rsid w:val="00CB6190"/>
    <w:rsid w:val="00DA055D"/>
    <w:rsid w:val="00E34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292F21"/>
  <w15:docId w15:val="{569B4B91-62F2-4063-A55E-B003457BD9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l-GR" w:eastAsia="el-GR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GB"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basedOn w:val="DefaultParagraphFont"/>
    <w:link w:val="Header"/>
    <w:uiPriority w:val="99"/>
    <w:qFormat/>
    <w:rsid w:val="00BC2C44"/>
    <w:rPr>
      <w:sz w:val="24"/>
      <w:szCs w:val="24"/>
      <w:lang w:val="en-GB" w:eastAsia="ar-SA"/>
    </w:rPr>
  </w:style>
  <w:style w:type="character" w:customStyle="1" w:styleId="FooterChar">
    <w:name w:val="Footer Char"/>
    <w:basedOn w:val="DefaultParagraphFont"/>
    <w:link w:val="Footer"/>
    <w:uiPriority w:val="99"/>
    <w:qFormat/>
    <w:rsid w:val="00BC2C44"/>
    <w:rPr>
      <w:sz w:val="24"/>
      <w:szCs w:val="24"/>
      <w:lang w:val="en-GB" w:eastAsia="ar-SA"/>
    </w:rPr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Arial" w:eastAsia="Arial" w:hAnsi="Arial" w:cs="Arial"/>
      <w:sz w:val="28"/>
      <w:szCs w:val="28"/>
    </w:rPr>
  </w:style>
  <w:style w:type="paragraph" w:styleId="BodyText">
    <w:name w:val="Body Text"/>
    <w:basedOn w:val="Normal"/>
    <w:pPr>
      <w:jc w:val="center"/>
    </w:pPr>
    <w:rPr>
      <w:b/>
      <w:bCs/>
    </w:rPr>
  </w:style>
  <w:style w:type="paragraph" w:styleId="List">
    <w:name w:val="List"/>
    <w:basedOn w:val="BodyText"/>
  </w:style>
  <w:style w:type="paragraph" w:styleId="Caption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"/>
    <w:qFormat/>
    <w:pPr>
      <w:suppressLineNumbers/>
    </w:pPr>
  </w:style>
  <w:style w:type="paragraph" w:styleId="NormalWeb">
    <w:name w:val="Normal (Web)"/>
    <w:basedOn w:val="Normal"/>
    <w:qFormat/>
    <w:pPr>
      <w:spacing w:before="280" w:after="280"/>
    </w:pPr>
    <w:rPr>
      <w:rFonts w:ascii="Arial Unicode MS" w:eastAsia="Arial Unicode MS" w:hAnsi="Arial Unicode MS" w:cs="Arial Unicode MS"/>
    </w:rPr>
  </w:style>
  <w:style w:type="paragraph" w:styleId="BodyTextIndent2">
    <w:name w:val="Body Text Indent 2"/>
    <w:basedOn w:val="Normal"/>
    <w:qFormat/>
    <w:pPr>
      <w:ind w:firstLine="720"/>
      <w:jc w:val="both"/>
    </w:pPr>
  </w:style>
  <w:style w:type="paragraph" w:customStyle="1" w:styleId="HeaderandFooter">
    <w:name w:val="Header and Footer"/>
    <w:basedOn w:val="Normal"/>
    <w:qFormat/>
  </w:style>
  <w:style w:type="paragraph" w:styleId="Header">
    <w:name w:val="header"/>
    <w:basedOn w:val="Normal"/>
    <w:link w:val="HeaderChar"/>
    <w:uiPriority w:val="99"/>
    <w:unhideWhenUsed/>
    <w:rsid w:val="00BC2C44"/>
    <w:pPr>
      <w:tabs>
        <w:tab w:val="center" w:pos="4680"/>
        <w:tab w:val="right" w:pos="9360"/>
      </w:tabs>
    </w:pPr>
  </w:style>
  <w:style w:type="paragraph" w:styleId="Footer">
    <w:name w:val="footer"/>
    <w:basedOn w:val="Normal"/>
    <w:link w:val="FooterChar"/>
    <w:uiPriority w:val="99"/>
    <w:unhideWhenUsed/>
    <w:rsid w:val="00BC2C44"/>
    <w:pPr>
      <w:tabs>
        <w:tab w:val="center" w:pos="4680"/>
        <w:tab w:val="right" w:pos="9360"/>
      </w:tabs>
    </w:pPr>
  </w:style>
  <w:style w:type="paragraph" w:styleId="ListParagraph">
    <w:name w:val="List Paragraph"/>
    <w:basedOn w:val="Normal"/>
    <w:uiPriority w:val="34"/>
    <w:qFormat/>
    <w:rsid w:val="003445A3"/>
    <w:pPr>
      <w:ind w:left="720"/>
      <w:contextualSpacing/>
    </w:pPr>
  </w:style>
  <w:style w:type="table" w:styleId="TableGrid">
    <w:name w:val="Table Grid"/>
    <w:basedOn w:val="TableNormal"/>
    <w:uiPriority w:val="59"/>
    <w:rsid w:val="006727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BFBA22-ADF0-48A0-A840-57992001AD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339</TotalTime>
  <Pages>1</Pages>
  <Words>397</Words>
  <Characters>2267</Characters>
  <Application>Microsoft Office Word</Application>
  <DocSecurity>0</DocSecurity>
  <Lines>18</Lines>
  <Paragraphs>5</Paragraphs>
  <ScaleCrop>false</ScaleCrop>
  <Company/>
  <LinksUpToDate>false</LinksUpToDate>
  <CharactersWithSpaces>2659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Title for Abstract Submitted to The Third International</dc:title>
  <dc:subject/>
  <dc:creator>krasej</dc:creator>
  <dc:description/>
  <cp:lastModifiedBy>Konstantinos Gkatzogias</cp:lastModifiedBy>
  <cp:revision>15</cp:revision>
  <cp:lastPrinted>2026-04-30T15:39:00Z</cp:lastPrinted>
  <dcterms:created xsi:type="dcterms:W3CDTF">2025-05-30T10:11:00Z</dcterms:created>
  <dcterms:modified xsi:type="dcterms:W3CDTF">2026-04-30T15:43:00Z</dcterms:modified>
  <dc:language>en-US</dc:language>
</cp:coreProperties>
</file>