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480" w:lineRule="auto"/>
        <w:jc w:val="center"/>
        <w:rPr>
          <w:sz w:val="28"/>
          <w:szCs w:val="28"/>
        </w:rPr>
      </w:pPr>
      <w:r w:rsidDel="00000000" w:rsidR="00000000" w:rsidRPr="00000000">
        <w:rPr>
          <w:rFonts w:ascii="Times New Roman" w:cs="Times New Roman" w:eastAsia="Times New Roman" w:hAnsi="Times New Roman"/>
          <w:b w:val="1"/>
          <w:bCs w:val="1"/>
          <w:sz w:val="28"/>
          <w:szCs w:val="28"/>
          <w:rtl w:val="0"/>
        </w:rPr>
        <w:t xml:space="preserve">Measurement of the </w:t>
      </w:r>
      <w:r w:rsidDel="00000000" w:rsidR="00000000" w:rsidRPr="00000000">
        <w:rPr>
          <w:rFonts w:ascii="Times New Roman" w:cs="Times New Roman" w:eastAsia="Times New Roman" w:hAnsi="Times New Roman"/>
          <w:b w:val="1"/>
          <w:bCs w:val="1"/>
          <w:sz w:val="28"/>
          <w:szCs w:val="28"/>
          <w:vertAlign w:val="superscript"/>
          <w:rtl w:val="0"/>
        </w:rPr>
        <w:t xml:space="preserve">18</w:t>
      </w:r>
      <w:r w:rsidDel="00000000" w:rsidR="00000000" w:rsidRPr="00000000">
        <w:rPr>
          <w:rFonts w:ascii="Times New Roman" w:cs="Times New Roman" w:eastAsia="Times New Roman" w:hAnsi="Times New Roman"/>
          <w:b w:val="1"/>
          <w:bCs w:val="1"/>
          <w:sz w:val="28"/>
          <w:szCs w:val="28"/>
          <w:rtl w:val="0"/>
        </w:rPr>
        <w:t xml:space="preserve">O(d,α</w:t>
      </w:r>
      <w:r w:rsidDel="00000000" w:rsidR="00000000" w:rsidRPr="00000000">
        <w:rPr>
          <w:rFonts w:ascii="Times New Roman" w:cs="Times New Roman" w:eastAsia="Times New Roman" w:hAnsi="Times New Roman"/>
          <w:b w:val="1"/>
          <w:bCs w:val="1"/>
          <w:sz w:val="28"/>
          <w:szCs w:val="28"/>
          <w:vertAlign w:val="subscript"/>
          <w:rtl w:val="0"/>
        </w:rPr>
        <w:t xml:space="preserve">0-3</w:t>
      </w:r>
      <w:r w:rsidDel="00000000" w:rsidR="00000000" w:rsidRPr="00000000">
        <w:rPr>
          <w:rFonts w:ascii="Times New Roman" w:cs="Times New Roman" w:eastAsia="Times New Roman" w:hAnsi="Times New Roman"/>
          <w:b w:val="1"/>
          <w:bCs w:val="1"/>
          <w:sz w:val="28"/>
          <w:szCs w:val="28"/>
          <w:rtl w:val="0"/>
        </w:rPr>
        <w:t xml:space="preserve">)</w:t>
      </w:r>
      <w:r w:rsidDel="00000000" w:rsidR="00000000" w:rsidRPr="00000000">
        <w:rPr>
          <w:rFonts w:ascii="Times New Roman" w:cs="Times New Roman" w:eastAsia="Times New Roman" w:hAnsi="Times New Roman"/>
          <w:b w:val="1"/>
          <w:bCs w:val="1"/>
          <w:sz w:val="28"/>
          <w:szCs w:val="28"/>
          <w:vertAlign w:val="superscript"/>
          <w:rtl w:val="0"/>
        </w:rPr>
        <w:t xml:space="preserve">16</w:t>
      </w:r>
      <w:r w:rsidDel="00000000" w:rsidR="00000000" w:rsidRPr="00000000">
        <w:rPr>
          <w:rFonts w:ascii="Times New Roman" w:cs="Times New Roman" w:eastAsia="Times New Roman" w:hAnsi="Times New Roman"/>
          <w:b w:val="1"/>
          <w:bCs w:val="1"/>
          <w:sz w:val="28"/>
          <w:szCs w:val="28"/>
          <w:rtl w:val="0"/>
        </w:rPr>
        <w:t xml:space="preserve">N reaction cross sections for NRA purposes</w:t>
      </w:r>
      <w:r w:rsidDel="00000000" w:rsidR="00000000" w:rsidRPr="00000000">
        <w:rPr>
          <w:rtl w:val="0"/>
        </w:rPr>
      </w:r>
    </w:p>
    <w:p w:rsidR="00000000" w:rsidDel="00000000" w:rsidP="00000000" w:rsidRDefault="00000000" w:rsidRPr="00000000" w14:paraId="00000002">
      <w:pPr>
        <w:spacing w:line="480" w:lineRule="auto"/>
        <w:jc w:val="center"/>
        <w:rPr>
          <w:sz w:val="24"/>
          <w:szCs w:val="24"/>
        </w:rPr>
      </w:pPr>
      <w:r w:rsidDel="00000000" w:rsidR="00000000" w:rsidRPr="00000000">
        <w:rPr>
          <w:rFonts w:ascii="Times New Roman" w:cs="Times New Roman" w:eastAsia="Times New Roman" w:hAnsi="Times New Roman"/>
          <w:sz w:val="24"/>
          <w:szCs w:val="24"/>
          <w:rtl w:val="0"/>
        </w:rPr>
        <w:t xml:space="preserve">S. Karachristos</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 M. Axiotis</w:t>
      </w:r>
      <w:r w:rsidDel="00000000" w:rsidR="00000000" w:rsidRPr="00000000">
        <w:rPr>
          <w:rFonts w:ascii="Times New Roman" w:cs="Times New Roman" w:eastAsia="Times New Roman" w:hAnsi="Times New Roman"/>
          <w:sz w:val="24"/>
          <w:szCs w:val="24"/>
          <w:vertAlign w:val="superscript"/>
          <w:rtl w:val="0"/>
        </w:rPr>
        <w:t xml:space="preserve">2</w:t>
      </w:r>
      <w:r w:rsidDel="00000000" w:rsidR="00000000" w:rsidRPr="00000000">
        <w:rPr>
          <w:rFonts w:ascii="Times New Roman" w:cs="Times New Roman" w:eastAsia="Times New Roman" w:hAnsi="Times New Roman"/>
          <w:sz w:val="24"/>
          <w:szCs w:val="24"/>
          <w:rtl w:val="0"/>
        </w:rPr>
        <w:t xml:space="preserve">, M. Kokkoris</w:t>
      </w:r>
      <w:r w:rsidDel="00000000" w:rsidR="00000000" w:rsidRPr="00000000">
        <w:rPr>
          <w:rFonts w:ascii="Times New Roman" w:cs="Times New Roman" w:eastAsia="Times New Roman" w:hAnsi="Times New Roman"/>
          <w:sz w:val="24"/>
          <w:szCs w:val="24"/>
          <w:vertAlign w:val="superscript"/>
          <w:rtl w:val="0"/>
        </w:rPr>
        <w:t xml:space="preserve">1</w:t>
      </w:r>
      <w:r w:rsidDel="00000000" w:rsidR="00000000" w:rsidRPr="00000000">
        <w:rPr>
          <w:rFonts w:ascii="Times New Roman" w:cs="Times New Roman" w:eastAsia="Times New Roman" w:hAnsi="Times New Roman"/>
          <w:sz w:val="24"/>
          <w:szCs w:val="24"/>
          <w:rtl w:val="0"/>
        </w:rPr>
        <w:t xml:space="preserve">, K. Konstantinidis</w:t>
      </w:r>
      <w:r w:rsidDel="00000000" w:rsidR="00000000" w:rsidRPr="00000000">
        <w:rPr>
          <w:rFonts w:ascii="Times New Roman" w:cs="Times New Roman" w:eastAsia="Times New Roman" w:hAnsi="Times New Roman"/>
          <w:sz w:val="24"/>
          <w:szCs w:val="24"/>
          <w:vertAlign w:val="superscript"/>
          <w:rtl w:val="0"/>
        </w:rPr>
        <w:t xml:space="preserve">1</w:t>
      </w:r>
      <w:r w:rsidDel="00000000" w:rsidR="00000000" w:rsidRPr="00000000">
        <w:rPr>
          <w:rFonts w:ascii="Times New Roman" w:cs="Times New Roman" w:eastAsia="Times New Roman" w:hAnsi="Times New Roman"/>
          <w:sz w:val="24"/>
          <w:szCs w:val="24"/>
          <w:rtl w:val="0"/>
        </w:rPr>
        <w:t xml:space="preserve">, A. Lagoyannis</w:t>
      </w:r>
      <w:r w:rsidDel="00000000" w:rsidR="00000000" w:rsidRPr="00000000">
        <w:rPr>
          <w:rFonts w:ascii="Times New Roman" w:cs="Times New Roman" w:eastAsia="Times New Roman" w:hAnsi="Times New Roman"/>
          <w:sz w:val="24"/>
          <w:szCs w:val="24"/>
          <w:vertAlign w:val="superscript"/>
          <w:rtl w:val="0"/>
        </w:rPr>
        <w:t xml:space="preserve">2</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tl w:val="0"/>
        </w:rPr>
      </w:r>
    </w:p>
    <w:p w:rsidR="00000000" w:rsidDel="00000000" w:rsidP="00000000" w:rsidRDefault="00000000" w:rsidRPr="00000000" w14:paraId="00000003">
      <w:pPr>
        <w:spacing w:line="480" w:lineRule="auto"/>
        <w:jc w:val="center"/>
        <w:rPr>
          <w:sz w:val="24"/>
          <w:szCs w:val="24"/>
        </w:rPr>
      </w:pPr>
      <w:r w:rsidDel="00000000" w:rsidR="00000000" w:rsidRPr="00000000">
        <w:rPr>
          <w:rFonts w:ascii="Times New Roman" w:cs="Times New Roman" w:eastAsia="Times New Roman" w:hAnsi="Times New Roman"/>
          <w:sz w:val="24"/>
          <w:szCs w:val="24"/>
          <w:rtl w:val="0"/>
        </w:rPr>
        <w:t xml:space="preserve">E. Taimpiri</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 A. Ziagkova</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tl w:val="0"/>
        </w:rPr>
      </w:r>
    </w:p>
    <w:p w:rsidR="00000000" w:rsidDel="00000000" w:rsidP="00000000" w:rsidRDefault="00000000" w:rsidRPr="00000000" w14:paraId="00000004">
      <w:pPr>
        <w:spacing w:line="480" w:lineRule="auto"/>
        <w:jc w:val="center"/>
        <w:rPr/>
      </w:pPr>
      <w:r w:rsidDel="00000000" w:rsidR="00000000" w:rsidRPr="00000000">
        <w:rPr>
          <w:rFonts w:ascii="Times New Roman" w:cs="Times New Roman" w:eastAsia="Times New Roman" w:hAnsi="Times New Roman"/>
          <w:vertAlign w:val="superscript"/>
          <w:rtl w:val="0"/>
        </w:rPr>
        <w:t xml:space="preserve">1</w:t>
      </w:r>
      <w:r w:rsidDel="00000000" w:rsidR="00000000" w:rsidRPr="00000000">
        <w:rPr>
          <w:rFonts w:ascii="Times New Roman" w:cs="Times New Roman" w:eastAsia="Times New Roman" w:hAnsi="Times New Roman"/>
          <w:i w:val="1"/>
          <w:iCs w:val="1"/>
          <w:rtl w:val="0"/>
        </w:rPr>
        <w:t xml:space="preserve">Department of Physics, National Technical University of Athens, Zografou campus, 15780 Athens, Greece</w:t>
      </w:r>
      <w:r w:rsidDel="00000000" w:rsidR="00000000" w:rsidRPr="00000000">
        <w:rPr>
          <w:rtl w:val="0"/>
        </w:rPr>
      </w:r>
    </w:p>
    <w:p w:rsidR="00000000" w:rsidDel="00000000" w:rsidP="00000000" w:rsidRDefault="00000000" w:rsidRPr="00000000" w14:paraId="00000005">
      <w:pPr>
        <w:spacing w:line="48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vertAlign w:val="superscript"/>
          <w:rtl w:val="0"/>
        </w:rPr>
        <w:t xml:space="preserve">2</w:t>
      </w:r>
      <w:r w:rsidDel="00000000" w:rsidR="00000000" w:rsidRPr="00000000">
        <w:rPr>
          <w:rFonts w:ascii="Times New Roman" w:cs="Times New Roman" w:eastAsia="Times New Roman" w:hAnsi="Times New Roman"/>
          <w:i w:val="1"/>
          <w:iCs w:val="1"/>
          <w:rtl w:val="0"/>
        </w:rPr>
        <w:t xml:space="preserve">Tandem Accelerator Laboratory, Institute of Nuclear and Particle Physics, N.C.S.R. “Demokritos”, Aghia Paraskevi, 15310 Athens, Greece</w:t>
      </w:r>
      <w:r w:rsidDel="00000000" w:rsidR="00000000" w:rsidRPr="00000000">
        <w:rPr>
          <w:rtl w:val="0"/>
        </w:rPr>
      </w:r>
    </w:p>
    <w:p w:rsidR="00000000" w:rsidDel="00000000" w:rsidP="00000000" w:rsidRDefault="00000000" w:rsidRPr="00000000" w14:paraId="00000006">
      <w:pPr>
        <w:spacing w:before="240" w:line="4.8"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Presenting author email: </w:t>
      </w:r>
      <w:hyperlink r:id="rId6">
        <w:r w:rsidDel="00000000" w:rsidR="00000000" w:rsidRPr="00000000">
          <w:rPr>
            <w:rFonts w:ascii="Times New Roman" w:cs="Times New Roman" w:eastAsia="Times New Roman" w:hAnsi="Times New Roman"/>
            <w:color w:val="1155cc"/>
            <w:sz w:val="24"/>
            <w:szCs w:val="24"/>
            <w:u w:val="single"/>
            <w:rtl w:val="0"/>
          </w:rPr>
          <w:t xml:space="preserve">karachristos.sta@gmail.com</w:t>
        </w:r>
      </w:hyperlink>
      <w:r w:rsidDel="00000000" w:rsidR="00000000" w:rsidRPr="00000000">
        <w:rPr>
          <w:rtl w:val="0"/>
        </w:rPr>
      </w:r>
    </w:p>
    <w:p w:rsidR="00000000" w:rsidDel="00000000" w:rsidP="00000000" w:rsidRDefault="00000000" w:rsidRPr="00000000" w14:paraId="00000007">
      <w:pPr>
        <w:spacing w:before="240" w:line="4.8"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9">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w:t>
      </w:r>
      <w:r w:rsidDel="00000000" w:rsidR="00000000" w:rsidRPr="00000000">
        <w:rPr>
          <w:rFonts w:ascii="Times New Roman" w:cs="Times New Roman" w:eastAsia="Times New Roman" w:hAnsi="Times New Roman"/>
          <w:sz w:val="24"/>
          <w:szCs w:val="24"/>
          <w:vertAlign w:val="superscript"/>
          <w:rtl w:val="0"/>
        </w:rPr>
        <w:t xml:space="preserve">18</w:t>
      </w:r>
      <w:r w:rsidDel="00000000" w:rsidR="00000000" w:rsidRPr="00000000">
        <w:rPr>
          <w:rFonts w:ascii="Times New Roman" w:cs="Times New Roman" w:eastAsia="Times New Roman" w:hAnsi="Times New Roman"/>
          <w:sz w:val="24"/>
          <w:szCs w:val="24"/>
          <w:rtl w:val="0"/>
        </w:rPr>
        <w:t xml:space="preserve">O(d,α</w:t>
      </w:r>
      <w:r w:rsidDel="00000000" w:rsidR="00000000" w:rsidRPr="00000000">
        <w:rPr>
          <w:rFonts w:ascii="Times New Roman" w:cs="Times New Roman" w:eastAsia="Times New Roman" w:hAnsi="Times New Roman"/>
          <w:sz w:val="24"/>
          <w:szCs w:val="24"/>
          <w:vertAlign w:val="subscript"/>
          <w:rtl w:val="0"/>
        </w:rPr>
        <w:t xml:space="preserve">0-3</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vertAlign w:val="superscript"/>
          <w:rtl w:val="0"/>
        </w:rPr>
        <w:t xml:space="preserve">16</w:t>
      </w:r>
      <w:r w:rsidDel="00000000" w:rsidR="00000000" w:rsidRPr="00000000">
        <w:rPr>
          <w:rFonts w:ascii="Times New Roman" w:cs="Times New Roman" w:eastAsia="Times New Roman" w:hAnsi="Times New Roman"/>
          <w:sz w:val="24"/>
          <w:szCs w:val="24"/>
          <w:rtl w:val="0"/>
        </w:rPr>
        <w:t xml:space="preserve">N reactions were studied by measuring the differential cross sections over the deuteron beam energy range E</w:t>
      </w:r>
      <w:r w:rsidDel="00000000" w:rsidR="00000000" w:rsidRPr="00000000">
        <w:rPr>
          <w:rFonts w:ascii="Times New Roman" w:cs="Times New Roman" w:eastAsia="Times New Roman" w:hAnsi="Times New Roman"/>
          <w:sz w:val="24"/>
          <w:szCs w:val="24"/>
          <w:vertAlign w:val="subscript"/>
          <w:rtl w:val="0"/>
        </w:rPr>
        <w:t xml:space="preserve">d,lab</w:t>
      </w:r>
      <w:r w:rsidDel="00000000" w:rsidR="00000000" w:rsidRPr="00000000">
        <w:rPr>
          <w:rFonts w:ascii="Times New Roman" w:cs="Times New Roman" w:eastAsia="Times New Roman" w:hAnsi="Times New Roman"/>
          <w:sz w:val="24"/>
          <w:szCs w:val="24"/>
          <w:rtl w:val="0"/>
        </w:rPr>
        <w:t xml:space="preserve">=1470–2160 keV, at backward detection angles of 120° to 170° with a 10</w:t>
      </w:r>
      <w:r w:rsidDel="00000000" w:rsidR="00000000" w:rsidRPr="00000000">
        <w:rPr>
          <w:rFonts w:ascii="Times New Roman" w:cs="Times New Roman" w:eastAsia="Times New Roman" w:hAnsi="Times New Roman"/>
          <w:sz w:val="24"/>
          <w:szCs w:val="24"/>
          <w:vertAlign w:val="superscript"/>
          <w:rtl w:val="0"/>
        </w:rPr>
        <w:t xml:space="preserve">o</w:t>
      </w:r>
      <w:r w:rsidDel="00000000" w:rsidR="00000000" w:rsidRPr="00000000">
        <w:rPr>
          <w:rFonts w:ascii="Times New Roman" w:cs="Times New Roman" w:eastAsia="Times New Roman" w:hAnsi="Times New Roman"/>
          <w:sz w:val="24"/>
          <w:szCs w:val="24"/>
          <w:rtl w:val="0"/>
        </w:rPr>
        <w:t xml:space="preserve"> step. The target used was a thin Ta</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O</w:t>
      </w:r>
      <w:r w:rsidDel="00000000" w:rsidR="00000000" w:rsidRPr="00000000">
        <w:rPr>
          <w:rFonts w:ascii="Times New Roman" w:cs="Times New Roman" w:eastAsia="Times New Roman" w:hAnsi="Times New Roman"/>
          <w:sz w:val="24"/>
          <w:szCs w:val="24"/>
          <w:vertAlign w:val="subscript"/>
          <w:rtl w:val="0"/>
        </w:rPr>
        <w:t xml:space="preserve">5</w:t>
      </w:r>
      <w:r w:rsidDel="00000000" w:rsidR="00000000" w:rsidRPr="00000000">
        <w:rPr>
          <w:rFonts w:ascii="Times New Roman" w:cs="Times New Roman" w:eastAsia="Times New Roman" w:hAnsi="Times New Roman"/>
          <w:sz w:val="24"/>
          <w:szCs w:val="24"/>
          <w:rtl w:val="0"/>
        </w:rPr>
        <w:t xml:space="preserve"> layer (areal density 326×10¹⁵ at/cm²), highly enriched in </w:t>
      </w:r>
      <w:r w:rsidDel="00000000" w:rsidR="00000000" w:rsidRPr="00000000">
        <w:rPr>
          <w:rFonts w:ascii="Times New Roman" w:cs="Times New Roman" w:eastAsia="Times New Roman" w:hAnsi="Times New Roman"/>
          <w:sz w:val="24"/>
          <w:szCs w:val="24"/>
          <w:vertAlign w:val="superscript"/>
          <w:rtl w:val="0"/>
        </w:rPr>
        <w:t xml:space="preserve">18</w:t>
      </w:r>
      <w:r w:rsidDel="00000000" w:rsidR="00000000" w:rsidRPr="00000000">
        <w:rPr>
          <w:rFonts w:ascii="Times New Roman" w:cs="Times New Roman" w:eastAsia="Times New Roman" w:hAnsi="Times New Roman"/>
          <w:sz w:val="24"/>
          <w:szCs w:val="24"/>
          <w:rtl w:val="0"/>
        </w:rPr>
        <w:t xml:space="preserve">O, produced by controlled progressive anodization of tantalum foil. Layer’s total areal density, </w:t>
      </w:r>
      <w:r w:rsidDel="00000000" w:rsidR="00000000" w:rsidRPr="00000000">
        <w:rPr>
          <w:rFonts w:ascii="Times New Roman" w:cs="Times New Roman" w:eastAsia="Times New Roman" w:hAnsi="Times New Roman"/>
          <w:sz w:val="24"/>
          <w:szCs w:val="24"/>
          <w:vertAlign w:val="superscript"/>
          <w:rtl w:val="0"/>
        </w:rPr>
        <w:t xml:space="preserve">18</w:t>
      </w:r>
      <w:r w:rsidDel="00000000" w:rsidR="00000000" w:rsidRPr="00000000">
        <w:rPr>
          <w:rFonts w:ascii="Times New Roman" w:cs="Times New Roman" w:eastAsia="Times New Roman" w:hAnsi="Times New Roman"/>
          <w:sz w:val="24"/>
          <w:szCs w:val="24"/>
          <w:rtl w:val="0"/>
        </w:rPr>
        <w:t xml:space="preserve">O enrichment, and carbon content were determined in situ through a combination of Nuclear Reaction Analysis (NRA) and Rutherford Backscattering Spectrometry (RBS), and were independently cross-checked. The measured differential cross sections range from 0.07 to 2.28 mb/sr, in close agreement with the only dataset available in the literature (Amsel, 1964) which spans from 824 to 2007 keV and refers to only one angle (165°). Differential cross sections for energies above  E</w:t>
      </w:r>
      <w:r w:rsidDel="00000000" w:rsidR="00000000" w:rsidRPr="00000000">
        <w:rPr>
          <w:rFonts w:ascii="Times New Roman" w:cs="Times New Roman" w:eastAsia="Times New Roman" w:hAnsi="Times New Roman"/>
          <w:sz w:val="24"/>
          <w:szCs w:val="24"/>
          <w:vertAlign w:val="subscript"/>
          <w:rtl w:val="0"/>
        </w:rPr>
        <w:t xml:space="preserve">d,lab</w:t>
      </w:r>
      <w:r w:rsidDel="00000000" w:rsidR="00000000" w:rsidRPr="00000000">
        <w:rPr>
          <w:rFonts w:ascii="Times New Roman" w:cs="Times New Roman" w:eastAsia="Times New Roman" w:hAnsi="Times New Roman"/>
          <w:sz w:val="24"/>
          <w:szCs w:val="24"/>
          <w:rtl w:val="0"/>
        </w:rPr>
        <w:t xml:space="preserve"> = 2007 keV and the full angular range 120°–170° are reported for the first time in this work. These new data are of direct relevance to ion beam analysis techniques and to applications in materials science, stable isotope tracing, and biological research.</w:t>
      </w:r>
    </w:p>
    <w:p w:rsidR="00000000" w:rsidDel="00000000" w:rsidP="00000000" w:rsidRDefault="00000000" w:rsidRPr="00000000" w14:paraId="0000000A">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B">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C">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 </w:t>
        <w:tab/>
      </w:r>
    </w:p>
    <w:p w:rsidR="00000000" w:rsidDel="00000000" w:rsidP="00000000" w:rsidRDefault="00000000" w:rsidRPr="00000000" w14:paraId="0000000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 </w:t>
        <w:tab/>
      </w:r>
    </w:p>
    <w:p w:rsidR="00000000" w:rsidDel="00000000" w:rsidP="00000000" w:rsidRDefault="00000000" w:rsidRPr="00000000" w14:paraId="0000000E">
      <w:pPr>
        <w:spacing w:before="240" w:lineRule="auto"/>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References</w:t>
      </w:r>
    </w:p>
    <w:p w:rsidR="00000000" w:rsidDel="00000000" w:rsidP="00000000" w:rsidRDefault="00000000" w:rsidRPr="00000000" w14:paraId="0000000F">
      <w:pPr>
        <w:spacing w:befor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 G.Amsel(1964), Jour. Annales de Physique (Paris), Vol.9, p.297</w:t>
      </w:r>
    </w:p>
    <w:p w:rsidR="00000000" w:rsidDel="00000000" w:rsidP="00000000" w:rsidRDefault="00000000" w:rsidRPr="00000000" w14:paraId="00000010">
      <w:pPr>
        <w:jc w:val="both"/>
        <w:rPr>
          <w:rFonts w:ascii="Times New Roman" w:cs="Times New Roman" w:eastAsia="Times New Roman" w:hAnsi="Times New Roman"/>
          <w:sz w:val="24"/>
          <w:szCs w:val="24"/>
        </w:rPr>
      </w:pPr>
      <w:r w:rsidDel="00000000" w:rsidR="00000000" w:rsidRPr="00000000">
        <w:rPr>
          <w:rtl w:val="0"/>
        </w:rPr>
      </w:r>
    </w:p>
    <w:sectPr>
      <w:pgSz w:h="15840" w:w="12240" w:orient="portrait"/>
      <w:pgMar w:bottom="1440" w:top="1440" w:left="1440" w:right="1440"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widowControl w:val="0"/>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00" w:line="240" w:lineRule="auto"/>
      <w:ind w:left="0" w:right="0" w:firstLine="0"/>
      <w:jc w:val="left"/>
    </w:pPr>
    <w:rPr>
      <w:rFonts w:ascii="Arial" w:cs="Arial" w:eastAsia="Arial" w:hAnsi="Arial"/>
      <w:b w:val="0"/>
      <w:bCs w:val="0"/>
      <w:i w:val="0"/>
      <w:iCs w:val="0"/>
      <w:smallCaps w:val="0"/>
      <w:strike w:val="0"/>
      <w:color w:val="000000"/>
      <w:sz w:val="40"/>
      <w:szCs w:val="40"/>
      <w:u w:val="none"/>
      <w:shd w:fill="auto" w:val="clear"/>
      <w:vertAlign w:val="baseline"/>
    </w:rPr>
  </w:style>
  <w:style w:type="paragraph" w:styleId="Heading2">
    <w:name w:val="heading 2"/>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360" w:line="240" w:lineRule="auto"/>
      <w:ind w:left="0" w:right="0" w:firstLine="0"/>
      <w:jc w:val="left"/>
    </w:pPr>
    <w:rPr>
      <w:rFonts w:ascii="Arial" w:cs="Arial" w:eastAsia="Arial" w:hAnsi="Arial"/>
      <w:b w:val="0"/>
      <w:bCs w:val="0"/>
      <w:i w:val="0"/>
      <w:iCs w:val="0"/>
      <w:smallCaps w:val="0"/>
      <w:strike w:val="0"/>
      <w:color w:val="000000"/>
      <w:sz w:val="32"/>
      <w:szCs w:val="32"/>
      <w:u w:val="none"/>
      <w:shd w:fill="auto" w:val="clear"/>
      <w:vertAlign w:val="baseline"/>
    </w:rPr>
  </w:style>
  <w:style w:type="paragraph" w:styleId="Heading3">
    <w:name w:val="heading 3"/>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20" w:line="240" w:lineRule="auto"/>
      <w:ind w:left="0" w:right="0" w:firstLine="0"/>
      <w:jc w:val="left"/>
    </w:pPr>
    <w:rPr>
      <w:rFonts w:ascii="Arial" w:cs="Arial" w:eastAsia="Arial" w:hAnsi="Arial"/>
      <w:b w:val="0"/>
      <w:bCs w:val="0"/>
      <w:i w:val="0"/>
      <w:iCs w:val="0"/>
      <w:smallCaps w:val="0"/>
      <w:strike w:val="0"/>
      <w:color w:val="434343"/>
      <w:sz w:val="28"/>
      <w:szCs w:val="28"/>
      <w:u w:val="none"/>
      <w:shd w:fill="auto" w:val="clear"/>
      <w:vertAlign w:val="baseline"/>
    </w:rPr>
  </w:style>
  <w:style w:type="paragraph" w:styleId="Heading4">
    <w:name w:val="heading 4"/>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80" w:line="240" w:lineRule="auto"/>
      <w:ind w:left="0" w:right="0" w:firstLine="0"/>
      <w:jc w:val="left"/>
    </w:pPr>
    <w:rPr>
      <w:rFonts w:ascii="Arial" w:cs="Arial" w:eastAsia="Arial" w:hAnsi="Arial"/>
      <w:b w:val="0"/>
      <w:bCs w:val="0"/>
      <w:i w:val="0"/>
      <w:iCs w:val="0"/>
      <w:smallCaps w:val="0"/>
      <w:strike w:val="0"/>
      <w:color w:val="666666"/>
      <w:sz w:val="24"/>
      <w:szCs w:val="24"/>
      <w:u w:val="none"/>
      <w:shd w:fill="auto" w:val="clear"/>
      <w:vertAlign w:val="baseline"/>
    </w:rPr>
  </w:style>
  <w:style w:type="paragraph" w:styleId="Heading5">
    <w:name w:val="heading 5"/>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40" w:line="240" w:lineRule="auto"/>
      <w:ind w:left="0" w:right="0" w:firstLine="0"/>
      <w:jc w:val="left"/>
    </w:pPr>
    <w:rPr>
      <w:rFonts w:ascii="Arial" w:cs="Arial" w:eastAsia="Arial" w:hAnsi="Arial"/>
      <w:b w:val="0"/>
      <w:bCs w:val="0"/>
      <w:i w:val="0"/>
      <w:iCs w:val="0"/>
      <w:smallCaps w:val="0"/>
      <w:strike w:val="0"/>
      <w:color w:val="666666"/>
      <w:sz w:val="22"/>
      <w:szCs w:val="22"/>
      <w:u w:val="none"/>
      <w:shd w:fill="auto" w:val="clear"/>
      <w:vertAlign w:val="baseline"/>
    </w:rPr>
  </w:style>
  <w:style w:type="paragraph" w:styleId="Heading6">
    <w:name w:val="heading 6"/>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40" w:line="240" w:lineRule="auto"/>
      <w:ind w:left="0" w:right="0" w:firstLine="0"/>
      <w:jc w:val="left"/>
    </w:pPr>
    <w:rPr>
      <w:rFonts w:ascii="Arial" w:cs="Arial" w:eastAsia="Arial" w:hAnsi="Arial"/>
      <w:b w:val="0"/>
      <w:bCs w:val="0"/>
      <w:i w:val="1"/>
      <w:iCs w:val="1"/>
      <w:smallCaps w:val="0"/>
      <w:strike w:val="0"/>
      <w:color w:val="666666"/>
      <w:sz w:val="22"/>
      <w:szCs w:val="22"/>
      <w:u w:val="none"/>
      <w:shd w:fill="auto" w:val="clear"/>
      <w:vertAlign w:val="baseline"/>
    </w:rPr>
  </w:style>
  <w:style w:type="paragraph" w:styleId="Title">
    <w:name w:val="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60" w:before="0" w:line="240" w:lineRule="auto"/>
      <w:ind w:left="0" w:right="0" w:firstLine="0"/>
      <w:jc w:val="left"/>
    </w:pPr>
    <w:rPr>
      <w:rFonts w:ascii="Arial" w:cs="Arial" w:eastAsia="Arial" w:hAnsi="Arial"/>
      <w:b w:val="0"/>
      <w:bCs w:val="0"/>
      <w:i w:val="0"/>
      <w:iCs w:val="0"/>
      <w:smallCaps w:val="0"/>
      <w:strike w:val="0"/>
      <w:color w:val="000000"/>
      <w:sz w:val="52"/>
      <w:szCs w:val="52"/>
      <w:u w:val="none"/>
      <w:shd w:fill="auto" w:val="clear"/>
      <w:vertAlign w:val="baseline"/>
    </w:rPr>
  </w:style>
  <w:style w:type="paragraph" w:styleId="Subtitle">
    <w:name w:val="Sub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320" w:before="0" w:line="240" w:lineRule="auto"/>
      <w:ind w:left="0" w:right="0" w:firstLine="0"/>
      <w:jc w:val="left"/>
    </w:pPr>
    <w:rPr>
      <w:rFonts w:ascii="Arial" w:cs="Arial" w:eastAsia="Arial" w:hAnsi="Arial"/>
      <w:b w:val="0"/>
      <w:bCs w:val="0"/>
      <w:i w:val="0"/>
      <w:iCs w:val="0"/>
      <w:smallCaps w:val="0"/>
      <w:strike w:val="0"/>
      <w:color w:val="666666"/>
      <w:sz w:val="30"/>
      <w:szCs w:val="30"/>
      <w:u w:val="none"/>
      <w:shd w:fill="auto" w:val="clear"/>
      <w:vertAlign w:val="baseline"/>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mailto:karachristos.sta@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