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2820E" w14:textId="77777777" w:rsidR="006D149B" w:rsidRDefault="00000000">
      <w:pPr>
        <w:pBdr>
          <w:top w:val="nil"/>
          <w:left w:val="nil"/>
          <w:bottom w:val="nil"/>
          <w:right w:val="nil"/>
          <w:between w:val="nil"/>
        </w:pBdr>
        <w:spacing w:before="240" w:after="120" w:line="360" w:lineRule="auto"/>
        <w:jc w:val="center"/>
        <w:rPr>
          <w:b/>
          <w:bCs/>
          <w:color w:val="000000"/>
          <w:sz w:val="32"/>
          <w:szCs w:val="32"/>
        </w:rPr>
      </w:pPr>
      <w:r>
        <w:rPr>
          <w:b/>
          <w:bCs/>
          <w:color w:val="000000"/>
          <w:sz w:val="32"/>
          <w:szCs w:val="32"/>
        </w:rPr>
        <w:t>A participação do município de Delmiro Gouveia na transição energética da região oeste de Alagoas: Biocombustíveis</w:t>
      </w:r>
    </w:p>
    <w:p w14:paraId="5B842BBA" w14:textId="77777777" w:rsidR="006D149B" w:rsidRDefault="00000000">
      <w:pPr>
        <w:keepNext/>
        <w:pBdr>
          <w:top w:val="nil"/>
          <w:left w:val="nil"/>
          <w:bottom w:val="nil"/>
          <w:right w:val="nil"/>
          <w:between w:val="nil"/>
        </w:pBdr>
        <w:spacing w:after="60" w:line="310" w:lineRule="auto"/>
        <w:jc w:val="center"/>
        <w:rPr>
          <w:color w:val="000000"/>
          <w:sz w:val="22"/>
          <w:szCs w:val="22"/>
        </w:rPr>
      </w:pPr>
      <w:r>
        <w:rPr>
          <w:color w:val="000000"/>
          <w:sz w:val="22"/>
          <w:szCs w:val="22"/>
        </w:rPr>
        <w:t>Ana Isabele Queiroz dos Santos</w:t>
      </w:r>
      <w:r>
        <w:rPr>
          <w:color w:val="000000"/>
          <w:sz w:val="22"/>
          <w:szCs w:val="22"/>
          <w:vertAlign w:val="superscript"/>
        </w:rPr>
        <w:t>a</w:t>
      </w:r>
      <w:r>
        <w:rPr>
          <w:color w:val="000000"/>
          <w:sz w:val="22"/>
          <w:szCs w:val="22"/>
        </w:rPr>
        <w:t>, Dandara Raylany Lima da Silva</w:t>
      </w:r>
      <w:r>
        <w:rPr>
          <w:color w:val="000000"/>
          <w:sz w:val="22"/>
          <w:szCs w:val="22"/>
          <w:vertAlign w:val="superscript"/>
        </w:rPr>
        <w:t>a</w:t>
      </w:r>
      <w:r>
        <w:rPr>
          <w:color w:val="000000"/>
          <w:sz w:val="22"/>
          <w:szCs w:val="22"/>
        </w:rPr>
        <w:t>, Lucas Feitosa Barboza</w:t>
      </w:r>
      <w:r>
        <w:rPr>
          <w:color w:val="000000"/>
          <w:sz w:val="22"/>
          <w:szCs w:val="22"/>
          <w:vertAlign w:val="superscript"/>
        </w:rPr>
        <w:t>a</w:t>
      </w:r>
      <w:r>
        <w:rPr>
          <w:color w:val="000000"/>
          <w:sz w:val="22"/>
          <w:szCs w:val="22"/>
        </w:rPr>
        <w:t>, Maria Heloísa Costa Brito</w:t>
      </w:r>
      <w:r w:rsidR="00445721">
        <w:rPr>
          <w:color w:val="000000"/>
          <w:sz w:val="22"/>
          <w:szCs w:val="22"/>
        </w:rPr>
        <w:t>*</w:t>
      </w:r>
      <w:r>
        <w:rPr>
          <w:color w:val="000000"/>
          <w:sz w:val="22"/>
          <w:szCs w:val="22"/>
          <w:vertAlign w:val="superscript"/>
        </w:rPr>
        <w:t>a</w:t>
      </w:r>
      <w:r>
        <w:rPr>
          <w:color w:val="000000"/>
          <w:sz w:val="22"/>
          <w:szCs w:val="22"/>
        </w:rPr>
        <w:t>, Maria Yasmyn Bezerra do Nascimento</w:t>
      </w:r>
      <w:r>
        <w:rPr>
          <w:color w:val="000000"/>
          <w:sz w:val="22"/>
          <w:szCs w:val="22"/>
          <w:vertAlign w:val="superscript"/>
        </w:rPr>
        <w:t>a</w:t>
      </w:r>
      <w:r>
        <w:rPr>
          <w:color w:val="000000"/>
          <w:sz w:val="22"/>
          <w:szCs w:val="22"/>
        </w:rPr>
        <w:t>, Venancio Vitor Lima da Silva Bezerra</w:t>
      </w:r>
      <w:r>
        <w:rPr>
          <w:color w:val="000000"/>
          <w:sz w:val="22"/>
          <w:szCs w:val="22"/>
          <w:vertAlign w:val="superscript"/>
        </w:rPr>
        <w:t>a,b*</w:t>
      </w:r>
    </w:p>
    <w:p w14:paraId="788E53D6" w14:textId="77777777" w:rsidR="006D149B" w:rsidRDefault="00000000">
      <w:pPr>
        <w:pBdr>
          <w:top w:val="nil"/>
          <w:left w:val="nil"/>
          <w:bottom w:val="nil"/>
          <w:right w:val="nil"/>
          <w:between w:val="nil"/>
        </w:pBdr>
        <w:jc w:val="center"/>
        <w:rPr>
          <w:i/>
          <w:iCs/>
          <w:color w:val="000000"/>
        </w:rPr>
      </w:pPr>
      <w:r>
        <w:rPr>
          <w:i/>
          <w:iCs/>
          <w:color w:val="000000"/>
          <w:vertAlign w:val="superscript"/>
        </w:rPr>
        <w:t>a</w:t>
      </w:r>
      <w:r>
        <w:rPr>
          <w:i/>
          <w:iCs/>
          <w:color w:val="000000"/>
        </w:rPr>
        <w:t>Instituto Federal da Bahia, Paulo Afonso - BA, Brasil</w:t>
      </w:r>
    </w:p>
    <w:p w14:paraId="07332DB6" w14:textId="77777777" w:rsidR="006D149B" w:rsidRDefault="00000000">
      <w:pPr>
        <w:pBdr>
          <w:top w:val="nil"/>
          <w:left w:val="nil"/>
          <w:bottom w:val="nil"/>
          <w:right w:val="nil"/>
          <w:between w:val="nil"/>
        </w:pBdr>
        <w:jc w:val="center"/>
        <w:rPr>
          <w:i/>
          <w:iCs/>
          <w:color w:val="000000"/>
        </w:rPr>
      </w:pPr>
      <w:r>
        <w:rPr>
          <w:i/>
          <w:iCs/>
          <w:color w:val="000000"/>
          <w:vertAlign w:val="superscript"/>
        </w:rPr>
        <w:t>b</w:t>
      </w:r>
      <w:r>
        <w:rPr>
          <w:i/>
          <w:iCs/>
          <w:color w:val="000000"/>
        </w:rPr>
        <w:t>Universidade Federal de Alagoas, Maceió – AL, Brasil</w:t>
      </w:r>
    </w:p>
    <w:p w14:paraId="516D410F" w14:textId="555B2949" w:rsidR="006D149B" w:rsidRDefault="00000000">
      <w:pPr>
        <w:pBdr>
          <w:top w:val="nil"/>
          <w:left w:val="nil"/>
          <w:bottom w:val="nil"/>
          <w:right w:val="nil"/>
          <w:between w:val="nil"/>
        </w:pBdr>
        <w:jc w:val="center"/>
        <w:rPr>
          <w:i/>
          <w:iCs/>
          <w:color w:val="000000"/>
        </w:rPr>
      </w:pPr>
      <w:r>
        <w:rPr>
          <w:i/>
          <w:iCs/>
          <w:color w:val="000000"/>
        </w:rPr>
        <w:t>*</w:t>
      </w:r>
      <w:r w:rsidR="002D5AC2">
        <w:rPr>
          <w:i/>
          <w:iCs/>
          <w:color w:val="000000"/>
        </w:rPr>
        <w:t>202410050030@ifba.edu.br</w:t>
      </w:r>
    </w:p>
    <w:p w14:paraId="6765C127" w14:textId="77777777" w:rsidR="006D149B" w:rsidRDefault="00000000">
      <w:pPr>
        <w:pStyle w:val="Ttulo1"/>
      </w:pPr>
      <w:r>
        <w:t>RESUMO</w:t>
      </w:r>
    </w:p>
    <w:p w14:paraId="45AFD3CD" w14:textId="77777777" w:rsidR="005360AB" w:rsidRPr="005360AB" w:rsidRDefault="005360AB" w:rsidP="005360AB">
      <w:pPr>
        <w:pBdr>
          <w:top w:val="nil"/>
          <w:left w:val="nil"/>
          <w:bottom w:val="nil"/>
          <w:right w:val="nil"/>
          <w:between w:val="nil"/>
        </w:pBdr>
        <w:rPr>
          <w:color w:val="000000"/>
        </w:rPr>
      </w:pPr>
      <w:r w:rsidRPr="005360AB">
        <w:rPr>
          <w:color w:val="000000"/>
        </w:rPr>
        <w:t>O município de Delmiro Gouveia, situado no sertão alagoano, apresenta condições estratégicas para contribuir com a transição energética regional por meio do aproveitamento de diferentes biomassas. O estudo realizou um levantamento quantitativo das espécies cultivadas e disponíveis na região, como baronesa (</w:t>
      </w:r>
      <w:r w:rsidRPr="005360AB">
        <w:rPr>
          <w:i/>
          <w:iCs/>
          <w:color w:val="000000"/>
        </w:rPr>
        <w:t>Eichhornia crassipes</w:t>
      </w:r>
      <w:r w:rsidRPr="005360AB">
        <w:rPr>
          <w:color w:val="000000"/>
        </w:rPr>
        <w:t>), cana-de-açúcar (</w:t>
      </w:r>
      <w:r w:rsidRPr="005360AB">
        <w:rPr>
          <w:i/>
          <w:iCs/>
          <w:color w:val="000000"/>
        </w:rPr>
        <w:t>Saccharum officinarum L.</w:t>
      </w:r>
      <w:r w:rsidRPr="005360AB">
        <w:rPr>
          <w:color w:val="000000"/>
        </w:rPr>
        <w:t>), mamona (</w:t>
      </w:r>
      <w:r w:rsidRPr="005360AB">
        <w:rPr>
          <w:i/>
          <w:iCs/>
          <w:color w:val="000000"/>
        </w:rPr>
        <w:t>Ricinus communis</w:t>
      </w:r>
      <w:r w:rsidRPr="005360AB">
        <w:rPr>
          <w:color w:val="000000"/>
        </w:rPr>
        <w:t>), palma forrageira (</w:t>
      </w:r>
      <w:r w:rsidRPr="005360AB">
        <w:rPr>
          <w:i/>
          <w:iCs/>
          <w:color w:val="000000"/>
        </w:rPr>
        <w:t>Opuntia ficus-indica</w:t>
      </w:r>
      <w:r w:rsidRPr="005360AB">
        <w:rPr>
          <w:color w:val="000000"/>
        </w:rPr>
        <w:t>) e pinhão-manso (</w:t>
      </w:r>
      <w:r w:rsidRPr="005360AB">
        <w:rPr>
          <w:i/>
          <w:iCs/>
          <w:color w:val="000000"/>
        </w:rPr>
        <w:t>Jatropha curcas</w:t>
      </w:r>
      <w:r w:rsidRPr="005360AB">
        <w:rPr>
          <w:color w:val="000000"/>
        </w:rPr>
        <w:t>). Cada biomassa demonstrou potencial para a produção de biocombustíveis variados, incluindo etanol de primeira e segunda geração, biodiesel, biogás, biometano, óleo vegetal hidrotratado (HVO), combustível sustentável de aviação (SAF), bio-óleo e syngas. A proximidade com o Rio São Francisco favorece sistemas de irrigação, ampliando a produtividade agrícola e fortalecendo o agronegócio local. Os resultados evidenciam que o aproveitamento energético dessas biomassas pode impulsionar o desenvolvimento sustentável, reduzir impactos ambientais e consolidar Delmiro Gouveia como polo de bioenergia no semiárido nordestino.</w:t>
      </w:r>
    </w:p>
    <w:p w14:paraId="055D4920" w14:textId="77777777" w:rsidR="006D149B" w:rsidRDefault="006D149B">
      <w:pPr>
        <w:pBdr>
          <w:top w:val="nil"/>
          <w:left w:val="nil"/>
          <w:bottom w:val="nil"/>
          <w:right w:val="nil"/>
          <w:between w:val="nil"/>
        </w:pBdr>
        <w:rPr>
          <w:color w:val="000000"/>
        </w:rPr>
      </w:pPr>
    </w:p>
    <w:p w14:paraId="66CB0872" w14:textId="77777777" w:rsidR="006D149B" w:rsidRDefault="00000000">
      <w:pPr>
        <w:pBdr>
          <w:top w:val="nil"/>
          <w:left w:val="nil"/>
          <w:bottom w:val="nil"/>
          <w:right w:val="nil"/>
          <w:between w:val="nil"/>
        </w:pBdr>
        <w:rPr>
          <w:color w:val="000000"/>
        </w:rPr>
      </w:pPr>
      <w:r>
        <w:rPr>
          <w:b/>
          <w:bCs/>
          <w:color w:val="000000"/>
        </w:rPr>
        <w:t>Palavras-chave</w:t>
      </w:r>
      <w:r>
        <w:rPr>
          <w:color w:val="000000"/>
        </w:rPr>
        <w:t xml:space="preserve">: </w:t>
      </w:r>
      <w:r w:rsidR="005360AB">
        <w:rPr>
          <w:i/>
          <w:iCs/>
          <w:color w:val="000000"/>
        </w:rPr>
        <w:t>Biocombustíveis, Sustentabilidade, Transição Energética</w:t>
      </w:r>
      <w:r>
        <w:rPr>
          <w:color w:val="000000"/>
        </w:rPr>
        <w:t>.</w:t>
      </w:r>
    </w:p>
    <w:p w14:paraId="160FE39E" w14:textId="77777777" w:rsidR="006D149B" w:rsidRDefault="006D149B">
      <w:pPr>
        <w:pBdr>
          <w:top w:val="nil"/>
          <w:left w:val="nil"/>
          <w:bottom w:val="nil"/>
          <w:right w:val="nil"/>
          <w:between w:val="nil"/>
        </w:pBdr>
        <w:rPr>
          <w:color w:val="000000"/>
        </w:rPr>
      </w:pPr>
    </w:p>
    <w:p w14:paraId="7A9BF4F1" w14:textId="77777777" w:rsidR="006D149B" w:rsidRDefault="00000000">
      <w:pPr>
        <w:pStyle w:val="Ttulo1"/>
        <w:numPr>
          <w:ilvl w:val="0"/>
          <w:numId w:val="1"/>
        </w:numPr>
      </w:pPr>
      <w:r>
        <w:t>INTRODUÇÃO</w:t>
      </w:r>
    </w:p>
    <w:p w14:paraId="4C10CBDE" w14:textId="77777777" w:rsidR="006D149B" w:rsidRDefault="00000000">
      <w:pPr>
        <w:ind w:firstLine="720"/>
      </w:pPr>
      <w:r>
        <w:t>Dentre os vários setores que compõem a Engenharia Química, a área de biocombustíveis vem apresentando forte demanda, devido aos desafios apresentados pela transição energética mundial. Estudos relacionados ao uso de diferentes fontes renováveis para fabricação de combustíveis como Biodiesel, Óleo Vegetal Hidrotratado (HVO), Querosene de Aviação, Biometano, Biogás e Etanol têm impulsionado os laboratórios de pesquisa para o desenvolvimento de linhas de processamento capazes de transformar diferentes biomassas em combustíveis.</w:t>
      </w:r>
    </w:p>
    <w:p w14:paraId="3B69E97A" w14:textId="77777777" w:rsidR="006D149B" w:rsidRDefault="00000000">
      <w:pPr>
        <w:ind w:firstLine="720"/>
      </w:pPr>
      <w:r>
        <w:t>O município de Delmiro Gouveia, localizado no extremo oeste de Alagoas e uma das principais cidades do estado, apresenta destaque entre as cidades do sertão do estado em virtude do seu potencial agropecuário, comercial e na geração de energia por hidrelétrica</w:t>
      </w:r>
      <w:r w:rsidR="00A30BD2">
        <w:t xml:space="preserve"> (</w:t>
      </w:r>
      <w:r w:rsidR="00970E36">
        <w:t>SILVA</w:t>
      </w:r>
      <w:r w:rsidR="00A30BD2">
        <w:t>, 20</w:t>
      </w:r>
      <w:r w:rsidR="00970E36">
        <w:t>18</w:t>
      </w:r>
      <w:r w:rsidR="00A30BD2">
        <w:t>)</w:t>
      </w:r>
      <w:r>
        <w:t xml:space="preserve">. Outro destaque atribuído ao município alagoano é a existência de diferentes tipos de biomassas que até o momento são de pouca relevância para o setor econômico delmirense. Apesar de ser uma cidade que apresenta altas temperaturas durante a primavera e o verão, o município mostra vantagem para o cultivo de biomassas em virtude da sua proximidade com o </w:t>
      </w:r>
      <w:r>
        <w:lastRenderedPageBreak/>
        <w:t>Rio São Francisco, o que favorece a projeção de sistemas de irrigação, algo que consequentemente impulsiona o agronegócio e também a pesquisa no setor bioenergético sobre a região.</w:t>
      </w:r>
    </w:p>
    <w:p w14:paraId="692EC163" w14:textId="77777777" w:rsidR="006D149B" w:rsidRDefault="00000000">
      <w:pPr>
        <w:ind w:firstLine="720"/>
      </w:pPr>
      <w:r>
        <w:t>Ao tratar dos interesses no setor bioenergético, o presente trabalho mostra um levantamento quantitativo das biomassas produzidas no município de Delmiro Gouveia – AL, visando quais dessas apresentam capacidade de fabricar biocombustíveis a partir de informações disponíveis na literatura, enfatizando assim a contribuição do município para transição energética da região.</w:t>
      </w:r>
    </w:p>
    <w:p w14:paraId="41BDEB86" w14:textId="77777777" w:rsidR="006D149B" w:rsidRDefault="00000000">
      <w:pPr>
        <w:pStyle w:val="Ttulo1"/>
        <w:numPr>
          <w:ilvl w:val="0"/>
          <w:numId w:val="1"/>
        </w:numPr>
      </w:pPr>
      <w:r>
        <w:t>MÉTODOS</w:t>
      </w:r>
    </w:p>
    <w:p w14:paraId="2E01577C" w14:textId="77777777" w:rsidR="006D149B" w:rsidRDefault="00000000">
      <w:pPr>
        <w:ind w:firstLine="720"/>
      </w:pPr>
      <w:r>
        <w:t xml:space="preserve">Foi realizado um levantamento quantitativo das biomassas existentes no município de Delmiro Gouveia com base em informações existentes em sítios eletrônicos do município e de instituições de esferas estadual e federal. Também foram comprovadas a existência de biomassas por investigações </w:t>
      </w:r>
      <w:r>
        <w:rPr>
          <w:i/>
          <w:iCs/>
        </w:rPr>
        <w:t>in loco</w:t>
      </w:r>
      <w:r>
        <w:t>, em diferentes regiões do município. A partir dos dados obtidos, foram feitas consultas na literatura sobre as composições químicas dessas biomassas. Aquelas que apresentavam potencial para fabricação de biocombustíveis tiveram suas consultas bibliográficas amplificadas, na intenção de obter informações sobre reações químicas e linhas de processo aplicadas a essas biomassas.</w:t>
      </w:r>
    </w:p>
    <w:p w14:paraId="048607CB" w14:textId="77777777" w:rsidR="006D149B" w:rsidRDefault="00000000" w:rsidP="00A30BD2">
      <w:pPr>
        <w:pStyle w:val="Ttulo1"/>
        <w:numPr>
          <w:ilvl w:val="0"/>
          <w:numId w:val="1"/>
        </w:numPr>
      </w:pPr>
      <w:r>
        <w:t>RESULTADOS</w:t>
      </w:r>
    </w:p>
    <w:p w14:paraId="24E59EC3" w14:textId="77777777" w:rsidR="006D149B" w:rsidRPr="0013429B" w:rsidRDefault="0013429B" w:rsidP="0013429B">
      <w:pPr>
        <w:ind w:firstLine="720"/>
        <w:rPr>
          <w:sz w:val="28"/>
          <w:szCs w:val="28"/>
        </w:rPr>
      </w:pPr>
      <w:r>
        <w:t>O município de Delmiro Gouveia apresenta clima semiárido com baixa precipitação anual (em torno de 512 mm) e altas temperaturas médias (25,5 °C), associados a solos predominantemente Planossolos e Neossolos Litólicos (EMBRAPA, 2006; UFCG, 2015). A presença do Rio São Francisco nas proximidades permite a implementação de sistemas de irrigação localizada, ampliando o potencial produtivo da cultura e fortalecendo a viabilidade de projetos de agricultura familiar e bioenergia. Frente a isso, o estudo comprovou o cultivo de Baronesa (</w:t>
      </w:r>
      <w:r>
        <w:rPr>
          <w:i/>
          <w:iCs/>
        </w:rPr>
        <w:t>eirchonia crassipes</w:t>
      </w:r>
      <w:r>
        <w:t>), Cana-de-açúcar (</w:t>
      </w:r>
      <w:r w:rsidRPr="0013429B">
        <w:rPr>
          <w:i/>
          <w:iCs/>
        </w:rPr>
        <w:t>Saccharum officinarum L.</w:t>
      </w:r>
      <w:r>
        <w:t>), Mamona (</w:t>
      </w:r>
      <w:r w:rsidRPr="0013429B">
        <w:rPr>
          <w:i/>
          <w:iCs/>
        </w:rPr>
        <w:t>Ricinus communis</w:t>
      </w:r>
      <w:r>
        <w:t>), Palma (</w:t>
      </w:r>
      <w:r w:rsidRPr="0013429B">
        <w:rPr>
          <w:i/>
          <w:iCs/>
        </w:rPr>
        <w:t>Opuntia ficus-indica</w:t>
      </w:r>
      <w:r>
        <w:t xml:space="preserve">) e Pinhão-Manso </w:t>
      </w:r>
    </w:p>
    <w:p w14:paraId="1808522B" w14:textId="77777777" w:rsidR="006D149B" w:rsidRDefault="00000000">
      <w:pPr>
        <w:pStyle w:val="Ttulo2"/>
        <w:numPr>
          <w:ilvl w:val="1"/>
          <w:numId w:val="1"/>
        </w:numPr>
      </w:pPr>
      <w:r>
        <w:t xml:space="preserve">Baronesa </w:t>
      </w:r>
      <w:r w:rsidR="0013429B">
        <w:t>(</w:t>
      </w:r>
      <w:r w:rsidR="00A66E97">
        <w:rPr>
          <w:i/>
          <w:iCs/>
        </w:rPr>
        <w:t>E</w:t>
      </w:r>
      <w:r w:rsidR="0013429B">
        <w:rPr>
          <w:i/>
          <w:iCs/>
        </w:rPr>
        <w:t>irchonia crassipes</w:t>
      </w:r>
      <w:r w:rsidR="0013429B">
        <w:t>)</w:t>
      </w:r>
    </w:p>
    <w:p w14:paraId="1244FF5C" w14:textId="77777777" w:rsidR="006D149B" w:rsidRDefault="00000000">
      <w:pPr>
        <w:ind w:firstLine="720"/>
      </w:pPr>
      <w:r>
        <w:t xml:space="preserve">A </w:t>
      </w:r>
      <w:r>
        <w:rPr>
          <w:i/>
          <w:iCs/>
        </w:rPr>
        <w:t>eirchonia crassipes</w:t>
      </w:r>
      <w:r>
        <w:t>, conhecida popularmente como baronesa, é uma macrófita aquática flutuante indesejada nos ecossistemas aquáticos</w:t>
      </w:r>
      <w:r w:rsidR="002D5ACB">
        <w:t xml:space="preserve"> </w:t>
      </w:r>
      <w:r>
        <w:t>(VASCONCELOS, et al, 2023)</w:t>
      </w:r>
      <w:r w:rsidR="002D5ACB">
        <w:t xml:space="preserve">, na qual </w:t>
      </w:r>
      <w:r>
        <w:t xml:space="preserve">é possível utilizá-la </w:t>
      </w:r>
      <w:r w:rsidR="002D5ACB">
        <w:t>na</w:t>
      </w:r>
      <w:r>
        <w:t xml:space="preserve"> produção de etanol de segunda geração. A</w:t>
      </w:r>
      <w:r w:rsidR="00A30BD2">
        <w:t xml:space="preserve"> </w:t>
      </w:r>
      <w:r>
        <w:t xml:space="preserve">baronesa caracteriza um potencial fonte de biomassa para o processo de pirólise rápida da biomassa do qual derivam o bio-óleo (que pode ser convertido </w:t>
      </w:r>
      <w:r w:rsidR="002D5ACB">
        <w:t>syngas</w:t>
      </w:r>
      <w:r>
        <w:t>), finos de carvão e extrato ácido. (BULLER, et al, 2010);</w:t>
      </w:r>
    </w:p>
    <w:p w14:paraId="7C0527B0" w14:textId="77777777" w:rsidR="006D149B" w:rsidRDefault="00000000">
      <w:pPr>
        <w:ind w:firstLine="720"/>
      </w:pPr>
      <w:r>
        <w:t xml:space="preserve">A caracterização química da sua biomassa seca é composta por aproximadamente de 25% de celulose, 35% de hemicelulose, 10% de lignina, 25% de cinzas. O valor das cinzas é alto por causa da propriedade desta planta de retirar substâncias dos corpos hídricos como os metais pesados. (GANGULY; CHATTERJEE; DEY, 2012; REZANIA et al., 2015; GAO et al., 2016). </w:t>
      </w:r>
    </w:p>
    <w:p w14:paraId="6CD07EC6" w14:textId="77777777" w:rsidR="006D149B" w:rsidRDefault="00A30BD2">
      <w:pPr>
        <w:ind w:firstLine="720"/>
      </w:pPr>
      <w:r>
        <w:t xml:space="preserve">A baronesa também é aplicada para produção de etanol de segunda geração (2G). Na etapa de pré-tratamento é utilizado hidrólise ácida e alcalina. Na fase de hidrólise enzimática e fermentação alcoólica, o processo é realizado em etapas separadas, sendo a celulase o principal complexo de enzima utilizado. Na fermentação alcoólica, a </w:t>
      </w:r>
      <w:r>
        <w:rPr>
          <w:i/>
          <w:iCs/>
        </w:rPr>
        <w:t>Saccharomyces cerevisiae</w:t>
      </w:r>
      <w:r>
        <w:t xml:space="preserve"> é o microrganismo mais utilizado</w:t>
      </w:r>
      <w:r w:rsidR="00970E36">
        <w:t>.</w:t>
      </w:r>
    </w:p>
    <w:p w14:paraId="159C6B3E" w14:textId="77777777" w:rsidR="006D149B" w:rsidRDefault="00000000" w:rsidP="00DA3D97">
      <w:pPr>
        <w:ind w:firstLine="720"/>
      </w:pPr>
      <w:r>
        <w:lastRenderedPageBreak/>
        <w:t>O biogás é considerado atualmente uma ótima opção de fonte alternativa de energia por se fazer uso de diferentes substratos no processo de biodigestão anaeróbia, onde ocorre a decomposição dos resíduos orgânicos depositados em biodigestores pela ação de diferentes tipos de bactérias na ausência de oxigênio, tendo como componente principal o gás metano (A</w:t>
      </w:r>
      <w:r w:rsidR="002D5ACB">
        <w:t>LBUQUERQUE</w:t>
      </w:r>
      <w:r>
        <w:t xml:space="preserve">, 2022). </w:t>
      </w:r>
    </w:p>
    <w:p w14:paraId="2CCADFFF" w14:textId="77777777" w:rsidR="006D149B" w:rsidRDefault="00000000">
      <w:pPr>
        <w:pStyle w:val="Ttulo2"/>
        <w:numPr>
          <w:ilvl w:val="1"/>
          <w:numId w:val="1"/>
        </w:numPr>
      </w:pPr>
      <w:r>
        <w:t>Cana-de-Açúcar (</w:t>
      </w:r>
      <w:bookmarkStart w:id="0" w:name="_Hlk225849694"/>
      <w:r>
        <w:rPr>
          <w:i/>
          <w:iCs/>
        </w:rPr>
        <w:t>Saccharum officinarum L.</w:t>
      </w:r>
      <w:bookmarkEnd w:id="0"/>
      <w:r>
        <w:t>)</w:t>
      </w:r>
    </w:p>
    <w:p w14:paraId="7E00157F" w14:textId="77777777" w:rsidR="006D149B" w:rsidRDefault="00000000">
      <w:pPr>
        <w:ind w:firstLine="720"/>
      </w:pPr>
      <w:r>
        <w:t>A cana-de-açúcar (</w:t>
      </w:r>
      <w:r>
        <w:rPr>
          <w:i/>
          <w:iCs/>
        </w:rPr>
        <w:t>Saccharum officinarum L.</w:t>
      </w:r>
      <w:r>
        <w:t>) é uma biomassa predominante em regiões litorâneas, principalmente no Nordeste. Essa biomassa é formada por três frações principais: caldo (~72,5%), bagaço (~27,5%) e palha, cada uma com relevância energética distinta. O caldo, rico em sacarose (12–18%), glicose e frutose, constitui substrato para produção de etanol de primeira geração (E1G), que é o biocombustível mais comercializado na atualidade (BNDES/CGEE, 2008; Marinho, 2017). O bagaço é composto por celulose (38–45%), hemicelulose (25–30%) e lignina (18–22%), das quais se produz o etanol de segunda geração (E2G) e cogeração elétrica (Marinho, 2017). A palha apresenta composição semelhante ao bagaço, com maior teor de cinzas e sílica, sendo assim utilizada também para E2G (BNDES/CGEE, 2008).</w:t>
      </w:r>
    </w:p>
    <w:p w14:paraId="64459D80" w14:textId="77777777" w:rsidR="006D149B" w:rsidRDefault="00000000" w:rsidP="002D5ACB">
      <w:pPr>
        <w:ind w:firstLine="720"/>
      </w:pPr>
      <w:r>
        <w:t>O que os laboratórios hoje se debruçam é na obtenção de outros biocombustíveis. A Tabela 1 mostra quais biocombustíveis também podem ser produzidos e quais rotas reacionais são aplicadas à cana-de-açúcar para obtê-los (</w:t>
      </w:r>
      <w:r w:rsidR="00970E36">
        <w:t>COSTA</w:t>
      </w:r>
      <w:r>
        <w:t xml:space="preserve"> et al., 2018; </w:t>
      </w:r>
      <w:r w:rsidR="00970E36">
        <w:t>MARINHO</w:t>
      </w:r>
      <w:r>
        <w:t>, 2017).</w:t>
      </w:r>
    </w:p>
    <w:p w14:paraId="5DB814C9" w14:textId="77777777" w:rsidR="002D5ACB" w:rsidRPr="002D5ACB" w:rsidRDefault="002D5ACB" w:rsidP="002D5ACB">
      <w:pPr>
        <w:ind w:firstLine="720"/>
      </w:pPr>
    </w:p>
    <w:p w14:paraId="7A024253" w14:textId="77777777" w:rsidR="002D5ACB" w:rsidRDefault="002D5ACB" w:rsidP="002D5ACB">
      <w:pPr>
        <w:pStyle w:val="Legenda"/>
        <w:keepNext/>
        <w:jc w:val="center"/>
      </w:pPr>
      <w:r>
        <w:t xml:space="preserve">Tabela </w:t>
      </w:r>
      <w:r>
        <w:fldChar w:fldCharType="begin"/>
      </w:r>
      <w:r>
        <w:instrText xml:space="preserve"> SEQ Tabela \* ARABIC </w:instrText>
      </w:r>
      <w:r>
        <w:fldChar w:fldCharType="separate"/>
      </w:r>
      <w:r>
        <w:rPr>
          <w:noProof/>
        </w:rPr>
        <w:t>1</w:t>
      </w:r>
      <w:r>
        <w:fldChar w:fldCharType="end"/>
      </w:r>
      <w:r>
        <w:t xml:space="preserve"> - </w:t>
      </w:r>
      <w:r w:rsidRPr="002451B6">
        <w:t>Biocombustíveis produzidos a partir da cana-de-açúcar e suas rotas reacionais</w:t>
      </w:r>
    </w:p>
    <w:tbl>
      <w:tblPr>
        <w:tblStyle w:val="a3"/>
        <w:tblW w:w="8887" w:type="dxa"/>
        <w:jc w:val="center"/>
        <w:tblInd w:w="0" w:type="dxa"/>
        <w:tblBorders>
          <w:top w:val="single" w:sz="4" w:space="0" w:color="666666"/>
          <w:bottom w:val="single" w:sz="4" w:space="0" w:color="666666"/>
          <w:insideH w:val="single" w:sz="4" w:space="0" w:color="666666"/>
        </w:tblBorders>
        <w:tblLayout w:type="fixed"/>
        <w:tblLook w:val="04A0" w:firstRow="1" w:lastRow="0" w:firstColumn="1" w:lastColumn="0" w:noHBand="0" w:noVBand="1"/>
      </w:tblPr>
      <w:tblGrid>
        <w:gridCol w:w="2457"/>
        <w:gridCol w:w="4165"/>
        <w:gridCol w:w="2265"/>
      </w:tblGrid>
      <w:tr w:rsidR="006D149B" w14:paraId="1E485649" w14:textId="77777777" w:rsidTr="006D149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57" w:type="dxa"/>
          </w:tcPr>
          <w:p w14:paraId="43B76C27" w14:textId="77777777" w:rsidR="006D149B" w:rsidRDefault="00000000">
            <w:r>
              <w:t>BIOCOMBUSTÍVEL</w:t>
            </w:r>
          </w:p>
        </w:tc>
        <w:tc>
          <w:tcPr>
            <w:tcW w:w="4165" w:type="dxa"/>
          </w:tcPr>
          <w:p w14:paraId="6EBCF3B3" w14:textId="77777777" w:rsidR="006D149B" w:rsidRDefault="00000000">
            <w:pPr>
              <w:cnfStyle w:val="100000000000" w:firstRow="1" w:lastRow="0" w:firstColumn="0" w:lastColumn="0" w:oddVBand="0" w:evenVBand="0" w:oddHBand="0" w:evenHBand="0" w:firstRowFirstColumn="0" w:firstRowLastColumn="0" w:lastRowFirstColumn="0" w:lastRowLastColumn="0"/>
            </w:pPr>
            <w:r>
              <w:t>ROTA REACIONAL</w:t>
            </w:r>
          </w:p>
        </w:tc>
        <w:tc>
          <w:tcPr>
            <w:tcW w:w="2265" w:type="dxa"/>
          </w:tcPr>
          <w:p w14:paraId="61DE0A91" w14:textId="77777777" w:rsidR="006D149B" w:rsidRDefault="00000000">
            <w:pPr>
              <w:cnfStyle w:val="100000000000" w:firstRow="1" w:lastRow="0" w:firstColumn="0" w:lastColumn="0" w:oddVBand="0" w:evenVBand="0" w:oddHBand="0" w:evenHBand="0" w:firstRowFirstColumn="0" w:firstRowLastColumn="0" w:lastRowFirstColumn="0" w:lastRowLastColumn="0"/>
            </w:pPr>
            <w:r>
              <w:t>REFERÊNCIA</w:t>
            </w:r>
          </w:p>
        </w:tc>
      </w:tr>
      <w:tr w:rsidR="006D149B" w14:paraId="541CA0EB" w14:textId="77777777" w:rsidTr="006D14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57" w:type="dxa"/>
          </w:tcPr>
          <w:p w14:paraId="582300CA" w14:textId="77777777" w:rsidR="006D149B" w:rsidRDefault="00000000">
            <w:r>
              <w:rPr>
                <w:b w:val="0"/>
                <w:bCs w:val="0"/>
              </w:rPr>
              <w:t>E2G</w:t>
            </w:r>
          </w:p>
        </w:tc>
        <w:tc>
          <w:tcPr>
            <w:tcW w:w="4165" w:type="dxa"/>
          </w:tcPr>
          <w:p w14:paraId="51E23028" w14:textId="77777777" w:rsidR="006D149B" w:rsidRDefault="00000000">
            <w:pPr>
              <w:cnfStyle w:val="000000100000" w:firstRow="0" w:lastRow="0" w:firstColumn="0" w:lastColumn="0" w:oddVBand="0" w:evenVBand="0" w:oddHBand="1" w:evenHBand="0" w:firstRowFirstColumn="0" w:firstRowLastColumn="0" w:lastRowFirstColumn="0" w:lastRowLastColumn="0"/>
            </w:pPr>
            <w:r>
              <w:t>Hidrólise Enzimática e Fermentação</w:t>
            </w:r>
          </w:p>
        </w:tc>
        <w:tc>
          <w:tcPr>
            <w:tcW w:w="2265" w:type="dxa"/>
          </w:tcPr>
          <w:p w14:paraId="6D5E4226" w14:textId="77777777" w:rsidR="006D149B" w:rsidRDefault="00000000">
            <w:pPr>
              <w:cnfStyle w:val="000000100000" w:firstRow="0" w:lastRow="0" w:firstColumn="0" w:lastColumn="0" w:oddVBand="0" w:evenVBand="0" w:oddHBand="1" w:evenHBand="0" w:firstRowFirstColumn="0" w:firstRowLastColumn="0" w:lastRowFirstColumn="0" w:lastRowLastColumn="0"/>
            </w:pPr>
            <w:r>
              <w:t>Marinho, 2017</w:t>
            </w:r>
          </w:p>
        </w:tc>
      </w:tr>
      <w:tr w:rsidR="006D149B" w14:paraId="348157EC" w14:textId="77777777" w:rsidTr="006D149B">
        <w:trPr>
          <w:jc w:val="center"/>
        </w:trPr>
        <w:tc>
          <w:tcPr>
            <w:cnfStyle w:val="001000000000" w:firstRow="0" w:lastRow="0" w:firstColumn="1" w:lastColumn="0" w:oddVBand="0" w:evenVBand="0" w:oddHBand="0" w:evenHBand="0" w:firstRowFirstColumn="0" w:firstRowLastColumn="0" w:lastRowFirstColumn="0" w:lastRowLastColumn="0"/>
            <w:tcW w:w="2457" w:type="dxa"/>
          </w:tcPr>
          <w:p w14:paraId="69562D9D" w14:textId="77777777" w:rsidR="006D149B" w:rsidRDefault="00000000">
            <w:r>
              <w:rPr>
                <w:b w:val="0"/>
                <w:bCs w:val="0"/>
              </w:rPr>
              <w:t>Biogás</w:t>
            </w:r>
          </w:p>
        </w:tc>
        <w:tc>
          <w:tcPr>
            <w:tcW w:w="4165" w:type="dxa"/>
          </w:tcPr>
          <w:p w14:paraId="2A20BC80" w14:textId="77777777" w:rsidR="006D149B" w:rsidRDefault="00000000">
            <w:pPr>
              <w:cnfStyle w:val="000000000000" w:firstRow="0" w:lastRow="0" w:firstColumn="0" w:lastColumn="0" w:oddVBand="0" w:evenVBand="0" w:oddHBand="0" w:evenHBand="0" w:firstRowFirstColumn="0" w:firstRowLastColumn="0" w:lastRowFirstColumn="0" w:lastRowLastColumn="0"/>
            </w:pPr>
            <w:r>
              <w:t>Digestão Anaeróbia</w:t>
            </w:r>
          </w:p>
        </w:tc>
        <w:tc>
          <w:tcPr>
            <w:tcW w:w="2265" w:type="dxa"/>
          </w:tcPr>
          <w:p w14:paraId="44EC3385" w14:textId="77777777" w:rsidR="006D149B" w:rsidRDefault="00000000">
            <w:pPr>
              <w:cnfStyle w:val="000000000000" w:firstRow="0" w:lastRow="0" w:firstColumn="0" w:lastColumn="0" w:oddVBand="0" w:evenVBand="0" w:oddHBand="0" w:evenHBand="0" w:firstRowFirstColumn="0" w:firstRowLastColumn="0" w:lastRowFirstColumn="0" w:lastRowLastColumn="0"/>
            </w:pPr>
            <w:r>
              <w:t>Costa, et. al., 2018</w:t>
            </w:r>
          </w:p>
        </w:tc>
      </w:tr>
      <w:tr w:rsidR="006D149B" w14:paraId="45417487" w14:textId="77777777" w:rsidTr="006D14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57" w:type="dxa"/>
          </w:tcPr>
          <w:p w14:paraId="6116D412" w14:textId="77777777" w:rsidR="006D149B" w:rsidRDefault="00000000">
            <w:r>
              <w:rPr>
                <w:b w:val="0"/>
                <w:bCs w:val="0"/>
              </w:rPr>
              <w:t>Biometano</w:t>
            </w:r>
          </w:p>
        </w:tc>
        <w:tc>
          <w:tcPr>
            <w:tcW w:w="4165" w:type="dxa"/>
          </w:tcPr>
          <w:p w14:paraId="43D2A07D" w14:textId="77777777" w:rsidR="006D149B" w:rsidRDefault="00000000">
            <w:pPr>
              <w:cnfStyle w:val="000000100000" w:firstRow="0" w:lastRow="0" w:firstColumn="0" w:lastColumn="0" w:oddVBand="0" w:evenVBand="0" w:oddHBand="1" w:evenHBand="0" w:firstRowFirstColumn="0" w:firstRowLastColumn="0" w:lastRowFirstColumn="0" w:lastRowLastColumn="0"/>
            </w:pPr>
            <w:r>
              <w:t>Digestão Anaeróbia</w:t>
            </w:r>
          </w:p>
        </w:tc>
        <w:tc>
          <w:tcPr>
            <w:tcW w:w="2265" w:type="dxa"/>
          </w:tcPr>
          <w:p w14:paraId="0263AF1C" w14:textId="77777777" w:rsidR="006D149B" w:rsidRDefault="00000000">
            <w:pPr>
              <w:cnfStyle w:val="000000100000" w:firstRow="0" w:lastRow="0" w:firstColumn="0" w:lastColumn="0" w:oddVBand="0" w:evenVBand="0" w:oddHBand="1" w:evenHBand="0" w:firstRowFirstColumn="0" w:firstRowLastColumn="0" w:lastRowFirstColumn="0" w:lastRowLastColumn="0"/>
            </w:pPr>
            <w:r>
              <w:t>Costa, el. al., 2018</w:t>
            </w:r>
          </w:p>
        </w:tc>
      </w:tr>
      <w:tr w:rsidR="006D149B" w14:paraId="4BF82F3B" w14:textId="77777777" w:rsidTr="006D149B">
        <w:trPr>
          <w:jc w:val="center"/>
        </w:trPr>
        <w:tc>
          <w:tcPr>
            <w:cnfStyle w:val="001000000000" w:firstRow="0" w:lastRow="0" w:firstColumn="1" w:lastColumn="0" w:oddVBand="0" w:evenVBand="0" w:oddHBand="0" w:evenHBand="0" w:firstRowFirstColumn="0" w:firstRowLastColumn="0" w:lastRowFirstColumn="0" w:lastRowLastColumn="0"/>
            <w:tcW w:w="2457" w:type="dxa"/>
          </w:tcPr>
          <w:p w14:paraId="7B203117" w14:textId="77777777" w:rsidR="006D149B" w:rsidRDefault="00000000">
            <w:r>
              <w:rPr>
                <w:b w:val="0"/>
                <w:bCs w:val="0"/>
              </w:rPr>
              <w:t>Biodiesel</w:t>
            </w:r>
          </w:p>
        </w:tc>
        <w:tc>
          <w:tcPr>
            <w:tcW w:w="4165" w:type="dxa"/>
          </w:tcPr>
          <w:p w14:paraId="1D082C3B" w14:textId="77777777" w:rsidR="006D149B" w:rsidRDefault="00000000">
            <w:pPr>
              <w:cnfStyle w:val="000000000000" w:firstRow="0" w:lastRow="0" w:firstColumn="0" w:lastColumn="0" w:oddVBand="0" w:evenVBand="0" w:oddHBand="0" w:evenHBand="0" w:firstRowFirstColumn="0" w:firstRowLastColumn="0" w:lastRowFirstColumn="0" w:lastRowLastColumn="0"/>
            </w:pPr>
            <w:r>
              <w:t>Transesterificação</w:t>
            </w:r>
          </w:p>
        </w:tc>
        <w:tc>
          <w:tcPr>
            <w:tcW w:w="2265" w:type="dxa"/>
          </w:tcPr>
          <w:p w14:paraId="5D958410" w14:textId="77777777" w:rsidR="006D149B" w:rsidRDefault="00000000">
            <w:pPr>
              <w:cnfStyle w:val="000000000000" w:firstRow="0" w:lastRow="0" w:firstColumn="0" w:lastColumn="0" w:oddVBand="0" w:evenVBand="0" w:oddHBand="0" w:evenHBand="0" w:firstRowFirstColumn="0" w:firstRowLastColumn="0" w:lastRowFirstColumn="0" w:lastRowLastColumn="0"/>
            </w:pPr>
            <w:r>
              <w:t>CGEE, 2008</w:t>
            </w:r>
          </w:p>
        </w:tc>
      </w:tr>
      <w:tr w:rsidR="006D149B" w14:paraId="6C0D0844" w14:textId="77777777" w:rsidTr="006D14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57" w:type="dxa"/>
          </w:tcPr>
          <w:p w14:paraId="0B38C6F9" w14:textId="77777777" w:rsidR="006D149B" w:rsidRDefault="00000000">
            <w:r>
              <w:rPr>
                <w:b w:val="0"/>
                <w:bCs w:val="0"/>
              </w:rPr>
              <w:t>HVO</w:t>
            </w:r>
          </w:p>
        </w:tc>
        <w:tc>
          <w:tcPr>
            <w:tcW w:w="4165" w:type="dxa"/>
          </w:tcPr>
          <w:p w14:paraId="1C35FE73" w14:textId="77777777" w:rsidR="006D149B" w:rsidRDefault="00000000">
            <w:pPr>
              <w:cnfStyle w:val="000000100000" w:firstRow="0" w:lastRow="0" w:firstColumn="0" w:lastColumn="0" w:oddVBand="0" w:evenVBand="0" w:oddHBand="1" w:evenHBand="0" w:firstRowFirstColumn="0" w:firstRowLastColumn="0" w:lastRowFirstColumn="0" w:lastRowLastColumn="0"/>
            </w:pPr>
            <w:r>
              <w:t>Extração de Ácidos Graxos e Hidrotratamento (Hidrodesoxigenação, Descarboxilação, Descarbonilação).</w:t>
            </w:r>
          </w:p>
        </w:tc>
        <w:tc>
          <w:tcPr>
            <w:tcW w:w="2265" w:type="dxa"/>
          </w:tcPr>
          <w:p w14:paraId="5E6F39E6" w14:textId="77777777" w:rsidR="006D149B" w:rsidRDefault="00000000">
            <w:pPr>
              <w:cnfStyle w:val="000000100000" w:firstRow="0" w:lastRow="0" w:firstColumn="0" w:lastColumn="0" w:oddVBand="0" w:evenVBand="0" w:oddHBand="1" w:evenHBand="0" w:firstRowFirstColumn="0" w:firstRowLastColumn="0" w:lastRowFirstColumn="0" w:lastRowLastColumn="0"/>
            </w:pPr>
            <w:r>
              <w:t>CGEE, 2008</w:t>
            </w:r>
          </w:p>
        </w:tc>
      </w:tr>
      <w:tr w:rsidR="006D149B" w14:paraId="1FA49C46" w14:textId="77777777" w:rsidTr="006D149B">
        <w:trPr>
          <w:jc w:val="center"/>
        </w:trPr>
        <w:tc>
          <w:tcPr>
            <w:cnfStyle w:val="001000000000" w:firstRow="0" w:lastRow="0" w:firstColumn="1" w:lastColumn="0" w:oddVBand="0" w:evenVBand="0" w:oddHBand="0" w:evenHBand="0" w:firstRowFirstColumn="0" w:firstRowLastColumn="0" w:lastRowFirstColumn="0" w:lastRowLastColumn="0"/>
            <w:tcW w:w="2457" w:type="dxa"/>
          </w:tcPr>
          <w:p w14:paraId="4B02FF21" w14:textId="77777777" w:rsidR="006D149B" w:rsidRDefault="00000000">
            <w:r>
              <w:rPr>
                <w:b w:val="0"/>
                <w:bCs w:val="0"/>
              </w:rPr>
              <w:t>Syngas</w:t>
            </w:r>
          </w:p>
        </w:tc>
        <w:tc>
          <w:tcPr>
            <w:tcW w:w="4165" w:type="dxa"/>
          </w:tcPr>
          <w:p w14:paraId="4D027A84" w14:textId="77777777" w:rsidR="006D149B" w:rsidRDefault="00000000">
            <w:pPr>
              <w:cnfStyle w:val="000000000000" w:firstRow="0" w:lastRow="0" w:firstColumn="0" w:lastColumn="0" w:oddVBand="0" w:evenVBand="0" w:oddHBand="0" w:evenHBand="0" w:firstRowFirstColumn="0" w:firstRowLastColumn="0" w:lastRowFirstColumn="0" w:lastRowLastColumn="0"/>
            </w:pPr>
            <w:r>
              <w:t>Gaseificação ou Pirólise</w:t>
            </w:r>
          </w:p>
        </w:tc>
        <w:tc>
          <w:tcPr>
            <w:tcW w:w="2265" w:type="dxa"/>
          </w:tcPr>
          <w:p w14:paraId="7322F883" w14:textId="77777777" w:rsidR="006D149B" w:rsidRDefault="00000000">
            <w:pPr>
              <w:cnfStyle w:val="000000000000" w:firstRow="0" w:lastRow="0" w:firstColumn="0" w:lastColumn="0" w:oddVBand="0" w:evenVBand="0" w:oddHBand="0" w:evenHBand="0" w:firstRowFirstColumn="0" w:firstRowLastColumn="0" w:lastRowFirstColumn="0" w:lastRowLastColumn="0"/>
            </w:pPr>
            <w:r>
              <w:t>Marinho, 2017</w:t>
            </w:r>
          </w:p>
        </w:tc>
      </w:tr>
      <w:tr w:rsidR="006D149B" w14:paraId="3331833F" w14:textId="77777777" w:rsidTr="006D14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57" w:type="dxa"/>
          </w:tcPr>
          <w:p w14:paraId="090BE573" w14:textId="77777777" w:rsidR="006D149B" w:rsidRDefault="00000000">
            <w:r>
              <w:rPr>
                <w:b w:val="0"/>
                <w:bCs w:val="0"/>
              </w:rPr>
              <w:t>Bio-Óleo</w:t>
            </w:r>
          </w:p>
        </w:tc>
        <w:tc>
          <w:tcPr>
            <w:tcW w:w="4165" w:type="dxa"/>
          </w:tcPr>
          <w:p w14:paraId="286E3336" w14:textId="77777777" w:rsidR="006D149B" w:rsidRDefault="00000000">
            <w:pPr>
              <w:cnfStyle w:val="000000100000" w:firstRow="0" w:lastRow="0" w:firstColumn="0" w:lastColumn="0" w:oddVBand="0" w:evenVBand="0" w:oddHBand="1" w:evenHBand="0" w:firstRowFirstColumn="0" w:firstRowLastColumn="0" w:lastRowFirstColumn="0" w:lastRowLastColumn="0"/>
            </w:pPr>
            <w:r>
              <w:t>Gaseificação ou Pirólise</w:t>
            </w:r>
          </w:p>
        </w:tc>
        <w:tc>
          <w:tcPr>
            <w:tcW w:w="2265" w:type="dxa"/>
          </w:tcPr>
          <w:p w14:paraId="26AF6E91" w14:textId="77777777" w:rsidR="006D149B" w:rsidRDefault="00000000">
            <w:pPr>
              <w:cnfStyle w:val="000000100000" w:firstRow="0" w:lastRow="0" w:firstColumn="0" w:lastColumn="0" w:oddVBand="0" w:evenVBand="0" w:oddHBand="1" w:evenHBand="0" w:firstRowFirstColumn="0" w:firstRowLastColumn="0" w:lastRowFirstColumn="0" w:lastRowLastColumn="0"/>
            </w:pPr>
            <w:r>
              <w:t>Marinho, 2017</w:t>
            </w:r>
          </w:p>
        </w:tc>
      </w:tr>
    </w:tbl>
    <w:p w14:paraId="0D84E82C" w14:textId="77777777" w:rsidR="006D149B" w:rsidRDefault="006D149B">
      <w:pPr>
        <w:ind w:firstLine="720"/>
      </w:pPr>
    </w:p>
    <w:p w14:paraId="3ECBA31F" w14:textId="77777777" w:rsidR="006D149B" w:rsidRDefault="00000000">
      <w:pPr>
        <w:ind w:firstLine="720"/>
      </w:pPr>
      <w:r>
        <w:t>A composição química da cana-de-açúcar e suas múltiplas rotas de aproveitamento energético evidenciam que Delmiro Gouveia reúne condições estratégicas para se tornar um polo de bioenergia em Alagoas. A fabricação de diferentes biocombustíveis derivados da cana fortalece a segurança energética, gerando receita adicional e promove desenvolvimento sustentável na região.</w:t>
      </w:r>
    </w:p>
    <w:p w14:paraId="253DAC83" w14:textId="3468AE39" w:rsidR="006D149B" w:rsidRDefault="00000000">
      <w:pPr>
        <w:pStyle w:val="Ttulo2"/>
        <w:numPr>
          <w:ilvl w:val="1"/>
          <w:numId w:val="1"/>
        </w:numPr>
      </w:pPr>
      <w:bookmarkStart w:id="1" w:name="_Ref225854019"/>
      <w:r>
        <w:t xml:space="preserve">Mamona </w:t>
      </w:r>
      <w:bookmarkStart w:id="2" w:name="_Hlk227157726"/>
      <w:r>
        <w:t>(</w:t>
      </w:r>
      <w:r>
        <w:rPr>
          <w:i/>
          <w:iCs/>
        </w:rPr>
        <w:t>Ricinnus cummo</w:t>
      </w:r>
      <w:r w:rsidR="00A36CDE">
        <w:rPr>
          <w:i/>
          <w:iCs/>
        </w:rPr>
        <w:t>n</w:t>
      </w:r>
      <w:r>
        <w:rPr>
          <w:i/>
          <w:iCs/>
        </w:rPr>
        <w:t>is L.</w:t>
      </w:r>
      <w:r>
        <w:t>)</w:t>
      </w:r>
      <w:bookmarkEnd w:id="1"/>
      <w:bookmarkEnd w:id="2"/>
    </w:p>
    <w:p w14:paraId="4A0FE5AC" w14:textId="77777777" w:rsidR="006D149B" w:rsidRDefault="00000000">
      <w:pPr>
        <w:ind w:firstLine="720"/>
      </w:pPr>
      <w:r>
        <w:t>A mamona</w:t>
      </w:r>
      <w:r w:rsidR="00497199">
        <w:t xml:space="preserve"> (</w:t>
      </w:r>
      <w:r w:rsidR="00497199" w:rsidRPr="00497199">
        <w:rPr>
          <w:i/>
          <w:iCs/>
        </w:rPr>
        <w:t>Ricinus communis</w:t>
      </w:r>
      <w:r w:rsidR="00497199">
        <w:t>)</w:t>
      </w:r>
      <w:r>
        <w:t xml:space="preserve"> tem um grande valor para a indústria. Dela é extraído o óleo de mamona, utilizado na fabricação de diversos produtos, como tintas, cosméticos, lubrificantes e plásticos. Atualmente, além dessas aplicações, essa planta também vem se destacando como uma importante alternativa para a produção de biocombustíveis, aumentando sua relevância econômica e ambiental (</w:t>
      </w:r>
      <w:r w:rsidR="005360AB">
        <w:t>RIZZI, et. al., 2012</w:t>
      </w:r>
      <w:r>
        <w:t>).</w:t>
      </w:r>
    </w:p>
    <w:p w14:paraId="5EEAC748" w14:textId="77777777" w:rsidR="00497199" w:rsidRDefault="00497199">
      <w:pPr>
        <w:ind w:firstLine="720"/>
      </w:pPr>
      <w:r>
        <w:lastRenderedPageBreak/>
        <w:t>O óleo de mamona apresenta grandes quantidades de ácidos graxos, especificamente o Ácido Ricinoleico (C18:2OH), com ~80% em massa. Contudo, outros ácidos como Oleico, Linoleico e Palmítico também são encontrados em quantidades. A partir desses compostos, torna-se possível a fabricação de Óleo Vegetal Hidrotratado (HVO) por reações de hidrotratamento (Hidrodesoxigenação, Descarboxilação e Descarbonilação) e Combustível Sustentável de Aviação (SAF) por reações de craqueamento catalítico.</w:t>
      </w:r>
    </w:p>
    <w:p w14:paraId="6FEC0027" w14:textId="77777777" w:rsidR="006D149B" w:rsidRDefault="00A30BD2" w:rsidP="00497199">
      <w:pPr>
        <w:ind w:firstLine="720"/>
      </w:pPr>
      <w:r>
        <w:t>Ramos e colaboradores (2021) definem que a produção de biodiesel a partir da mamona via reação de transesterificação se mostra uma opção viável, pois permite a obtenção de um combustível renovável e menos poluente, contribuindo para a redução dos impactos ambientais causados pelos combustíveis fósseis, além de apresentar um rendimento próximo dos 98,0%.</w:t>
      </w:r>
    </w:p>
    <w:p w14:paraId="4BCEC0B1" w14:textId="77777777" w:rsidR="006D149B" w:rsidRPr="00DA3D97" w:rsidRDefault="00000000" w:rsidP="00497199">
      <w:pPr>
        <w:ind w:firstLine="720"/>
      </w:pPr>
      <w:r>
        <w:t xml:space="preserve">Diante disso, a mamona se apresenta como uma alternativa promissora para a produção de biocombustíveis, reunindo vantagens como alta eficiência na produção, menor impacto ambiental e potencial de contribuir para a sustentabilidade energética. </w:t>
      </w:r>
    </w:p>
    <w:p w14:paraId="55C32F20" w14:textId="77777777" w:rsidR="006D149B" w:rsidRDefault="00000000">
      <w:pPr>
        <w:pStyle w:val="Ttulo2"/>
        <w:numPr>
          <w:ilvl w:val="1"/>
          <w:numId w:val="1"/>
        </w:numPr>
      </w:pPr>
      <w:r>
        <w:t>Palma</w:t>
      </w:r>
      <w:r w:rsidR="0013429B">
        <w:t xml:space="preserve"> (</w:t>
      </w:r>
      <w:r w:rsidR="0013429B" w:rsidRPr="0013429B">
        <w:rPr>
          <w:i/>
          <w:iCs/>
        </w:rPr>
        <w:t>Opuntia ficus-indica</w:t>
      </w:r>
      <w:r w:rsidR="0013429B">
        <w:t>)</w:t>
      </w:r>
    </w:p>
    <w:p w14:paraId="3BF3BCE3" w14:textId="77777777" w:rsidR="006D149B" w:rsidRDefault="00000000">
      <w:pPr>
        <w:ind w:firstLine="720"/>
      </w:pPr>
      <w:r>
        <w:t>A palma forrageira (</w:t>
      </w:r>
      <w:r w:rsidR="0013429B" w:rsidRPr="0013429B">
        <w:rPr>
          <w:i/>
          <w:iCs/>
        </w:rPr>
        <w:t>Opuntia ficus-indica</w:t>
      </w:r>
      <w:r>
        <w:t>) constitui uma das culturas mais adaptadas às condições climáticas do semiárido nordestino, destacando-se por sua elevada resistência à escassez hídrica, tolerância a altas temperaturas e baixa pluviosidade. A biomassa produzida nestas unidades, além de alimentar o gado, tem potencial energético, podendo ser convertida em biogás, bioetanol ou biodiesel a partir de resíduos vegetais e lipídios.</w:t>
      </w:r>
    </w:p>
    <w:p w14:paraId="10A21746" w14:textId="77777777" w:rsidR="006D149B" w:rsidRDefault="00000000">
      <w:pPr>
        <w:ind w:firstLine="720"/>
      </w:pPr>
      <w:r>
        <w:t xml:space="preserve">O óleo extraído das sementes de Opuntia fícus apresenta perfil de ácidos graxos que também confere potencial para produção de biocombustíveis. A Tabela </w:t>
      </w:r>
      <w:r w:rsidR="002D5ACB">
        <w:t>2</w:t>
      </w:r>
      <w:r>
        <w:t xml:space="preserve"> mostra os principais ácidos graxos identificados no óleo de palma.</w:t>
      </w:r>
    </w:p>
    <w:p w14:paraId="3563A4DC" w14:textId="77777777" w:rsidR="006D149B" w:rsidRDefault="006D149B">
      <w:pPr>
        <w:ind w:firstLine="720"/>
      </w:pPr>
    </w:p>
    <w:p w14:paraId="4AB849E3" w14:textId="77777777" w:rsidR="00DA3D97" w:rsidRDefault="00DA3D97" w:rsidP="00DA3D97">
      <w:pPr>
        <w:pStyle w:val="Legenda"/>
        <w:keepNext/>
        <w:jc w:val="center"/>
      </w:pPr>
      <w:r>
        <w:t xml:space="preserve">Tabela </w:t>
      </w:r>
      <w:r>
        <w:fldChar w:fldCharType="begin"/>
      </w:r>
      <w:r>
        <w:instrText xml:space="preserve"> SEQ Tabela \* ARABIC </w:instrText>
      </w:r>
      <w:r>
        <w:fldChar w:fldCharType="separate"/>
      </w:r>
      <w:r w:rsidR="002D5ACB">
        <w:rPr>
          <w:noProof/>
        </w:rPr>
        <w:t>2</w:t>
      </w:r>
      <w:r>
        <w:fldChar w:fldCharType="end"/>
      </w:r>
      <w:r>
        <w:t xml:space="preserve"> - Principais Ácidos Graxos presentes no óleo de palma</w:t>
      </w:r>
    </w:p>
    <w:tbl>
      <w:tblPr>
        <w:tblStyle w:val="TabeladeLista2"/>
        <w:tblW w:w="7513" w:type="dxa"/>
        <w:jc w:val="center"/>
        <w:tblLayout w:type="fixed"/>
        <w:tblLook w:val="0400" w:firstRow="0" w:lastRow="0" w:firstColumn="0" w:lastColumn="0" w:noHBand="0" w:noVBand="1"/>
      </w:tblPr>
      <w:tblGrid>
        <w:gridCol w:w="1968"/>
        <w:gridCol w:w="1995"/>
        <w:gridCol w:w="3550"/>
      </w:tblGrid>
      <w:tr w:rsidR="006D149B" w14:paraId="11F7E2A2" w14:textId="77777777" w:rsidTr="00DA3D97">
        <w:trPr>
          <w:cnfStyle w:val="000000100000" w:firstRow="0" w:lastRow="0" w:firstColumn="0" w:lastColumn="0" w:oddVBand="0" w:evenVBand="0" w:oddHBand="1" w:evenHBand="0" w:firstRowFirstColumn="0" w:firstRowLastColumn="0" w:lastRowFirstColumn="0" w:lastRowLastColumn="0"/>
          <w:jc w:val="center"/>
        </w:trPr>
        <w:tc>
          <w:tcPr>
            <w:tcW w:w="1968" w:type="dxa"/>
          </w:tcPr>
          <w:p w14:paraId="1AF76BA0" w14:textId="77777777" w:rsidR="006D149B" w:rsidRPr="00DA3D97" w:rsidRDefault="00000000">
            <w:pPr>
              <w:rPr>
                <w:b/>
                <w:bCs/>
              </w:rPr>
            </w:pPr>
            <w:r w:rsidRPr="00DA3D97">
              <w:rPr>
                <w:b/>
                <w:bCs/>
              </w:rPr>
              <w:t>ÁCIDO GRAXO</w:t>
            </w:r>
          </w:p>
        </w:tc>
        <w:tc>
          <w:tcPr>
            <w:tcW w:w="1995" w:type="dxa"/>
          </w:tcPr>
          <w:p w14:paraId="20E88AA8" w14:textId="77777777" w:rsidR="006D149B" w:rsidRPr="00DA3D97" w:rsidRDefault="00000000" w:rsidP="00DA3D97">
            <w:pPr>
              <w:jc w:val="center"/>
              <w:rPr>
                <w:b/>
                <w:bCs/>
              </w:rPr>
            </w:pPr>
            <w:r w:rsidRPr="00DA3D97">
              <w:rPr>
                <w:b/>
                <w:bCs/>
              </w:rPr>
              <w:t>SIGLA</w:t>
            </w:r>
          </w:p>
        </w:tc>
        <w:tc>
          <w:tcPr>
            <w:tcW w:w="3550" w:type="dxa"/>
          </w:tcPr>
          <w:p w14:paraId="141C04FC" w14:textId="77777777" w:rsidR="006D149B" w:rsidRPr="00DA3D97" w:rsidRDefault="00000000">
            <w:pPr>
              <w:rPr>
                <w:b/>
                <w:bCs/>
              </w:rPr>
            </w:pPr>
            <w:r w:rsidRPr="00DA3D97">
              <w:rPr>
                <w:b/>
                <w:bCs/>
              </w:rPr>
              <w:t>PERCENTUAL MÁSSICO (%)</w:t>
            </w:r>
          </w:p>
        </w:tc>
      </w:tr>
      <w:tr w:rsidR="006D149B" w14:paraId="18AF3F24" w14:textId="77777777" w:rsidTr="00DA3D97">
        <w:trPr>
          <w:jc w:val="center"/>
        </w:trPr>
        <w:tc>
          <w:tcPr>
            <w:tcW w:w="1968" w:type="dxa"/>
          </w:tcPr>
          <w:p w14:paraId="6DBE2555" w14:textId="77777777" w:rsidR="006D149B" w:rsidRDefault="00000000">
            <w:r>
              <w:t>Ácido Linolênico</w:t>
            </w:r>
          </w:p>
        </w:tc>
        <w:tc>
          <w:tcPr>
            <w:tcW w:w="1995" w:type="dxa"/>
          </w:tcPr>
          <w:p w14:paraId="32AB2ED5" w14:textId="77777777" w:rsidR="006D149B" w:rsidRDefault="00E01BF9" w:rsidP="00DA3D97">
            <w:pPr>
              <w:jc w:val="center"/>
            </w:pPr>
            <w:r>
              <w:t>C18:3</w:t>
            </w:r>
          </w:p>
        </w:tc>
        <w:tc>
          <w:tcPr>
            <w:tcW w:w="3550" w:type="dxa"/>
          </w:tcPr>
          <w:p w14:paraId="6C306C14" w14:textId="77777777" w:rsidR="006D149B" w:rsidRDefault="00000000" w:rsidP="00DA3D97">
            <w:pPr>
              <w:jc w:val="center"/>
            </w:pPr>
            <w:r>
              <w:t>~50,0</w:t>
            </w:r>
          </w:p>
        </w:tc>
      </w:tr>
      <w:tr w:rsidR="006D149B" w14:paraId="781A5CBF" w14:textId="77777777" w:rsidTr="00DA3D97">
        <w:trPr>
          <w:cnfStyle w:val="000000100000" w:firstRow="0" w:lastRow="0" w:firstColumn="0" w:lastColumn="0" w:oddVBand="0" w:evenVBand="0" w:oddHBand="1" w:evenHBand="0" w:firstRowFirstColumn="0" w:firstRowLastColumn="0" w:lastRowFirstColumn="0" w:lastRowLastColumn="0"/>
          <w:jc w:val="center"/>
        </w:trPr>
        <w:tc>
          <w:tcPr>
            <w:tcW w:w="1968" w:type="dxa"/>
          </w:tcPr>
          <w:p w14:paraId="161615EE" w14:textId="77777777" w:rsidR="006D149B" w:rsidRDefault="00000000">
            <w:r>
              <w:t>Ácido Oleico</w:t>
            </w:r>
          </w:p>
        </w:tc>
        <w:tc>
          <w:tcPr>
            <w:tcW w:w="1995" w:type="dxa"/>
          </w:tcPr>
          <w:p w14:paraId="68541ABC" w14:textId="77777777" w:rsidR="006D149B" w:rsidRDefault="00E01BF9" w:rsidP="00DA3D97">
            <w:pPr>
              <w:jc w:val="center"/>
            </w:pPr>
            <w:r>
              <w:t>C18:1</w:t>
            </w:r>
          </w:p>
        </w:tc>
        <w:tc>
          <w:tcPr>
            <w:tcW w:w="3550" w:type="dxa"/>
          </w:tcPr>
          <w:p w14:paraId="7D927EE0" w14:textId="77777777" w:rsidR="006D149B" w:rsidRDefault="00000000" w:rsidP="00DA3D97">
            <w:pPr>
              <w:jc w:val="center"/>
            </w:pPr>
            <w:r>
              <w:t>~21,0</w:t>
            </w:r>
          </w:p>
        </w:tc>
      </w:tr>
      <w:tr w:rsidR="006D149B" w14:paraId="1B32D0E1" w14:textId="77777777" w:rsidTr="00DA3D97">
        <w:trPr>
          <w:jc w:val="center"/>
        </w:trPr>
        <w:tc>
          <w:tcPr>
            <w:tcW w:w="1968" w:type="dxa"/>
          </w:tcPr>
          <w:p w14:paraId="2664F184" w14:textId="77777777" w:rsidR="006D149B" w:rsidRDefault="00000000">
            <w:r>
              <w:t>Ácido Linoleico</w:t>
            </w:r>
          </w:p>
        </w:tc>
        <w:tc>
          <w:tcPr>
            <w:tcW w:w="1995" w:type="dxa"/>
          </w:tcPr>
          <w:p w14:paraId="09921E9C" w14:textId="77777777" w:rsidR="006D149B" w:rsidRDefault="00E01BF9" w:rsidP="00DA3D97">
            <w:pPr>
              <w:jc w:val="center"/>
            </w:pPr>
            <w:r>
              <w:t>C18:2</w:t>
            </w:r>
          </w:p>
        </w:tc>
        <w:tc>
          <w:tcPr>
            <w:tcW w:w="3550" w:type="dxa"/>
          </w:tcPr>
          <w:p w14:paraId="45AD0F5A" w14:textId="77777777" w:rsidR="006D149B" w:rsidRDefault="00000000" w:rsidP="00DA3D97">
            <w:pPr>
              <w:jc w:val="center"/>
            </w:pPr>
            <w:r>
              <w:t>~14</w:t>
            </w:r>
          </w:p>
        </w:tc>
      </w:tr>
      <w:tr w:rsidR="006D149B" w14:paraId="1B1368DC" w14:textId="77777777" w:rsidTr="00DA3D97">
        <w:trPr>
          <w:cnfStyle w:val="000000100000" w:firstRow="0" w:lastRow="0" w:firstColumn="0" w:lastColumn="0" w:oddVBand="0" w:evenVBand="0" w:oddHBand="1" w:evenHBand="0" w:firstRowFirstColumn="0" w:firstRowLastColumn="0" w:lastRowFirstColumn="0" w:lastRowLastColumn="0"/>
          <w:jc w:val="center"/>
        </w:trPr>
        <w:tc>
          <w:tcPr>
            <w:tcW w:w="1968" w:type="dxa"/>
          </w:tcPr>
          <w:p w14:paraId="078411C5" w14:textId="77777777" w:rsidR="006D149B" w:rsidRDefault="00000000">
            <w:r>
              <w:t>Ácido Palmítico</w:t>
            </w:r>
          </w:p>
        </w:tc>
        <w:tc>
          <w:tcPr>
            <w:tcW w:w="1995" w:type="dxa"/>
          </w:tcPr>
          <w:p w14:paraId="70AA77B9" w14:textId="77777777" w:rsidR="006D149B" w:rsidRDefault="00000000" w:rsidP="00DA3D97">
            <w:pPr>
              <w:jc w:val="center"/>
            </w:pPr>
            <w:r>
              <w:t>C16:0</w:t>
            </w:r>
          </w:p>
        </w:tc>
        <w:tc>
          <w:tcPr>
            <w:tcW w:w="3550" w:type="dxa"/>
          </w:tcPr>
          <w:p w14:paraId="56BFE725" w14:textId="77777777" w:rsidR="006D149B" w:rsidRDefault="00000000" w:rsidP="00DA3D97">
            <w:pPr>
              <w:jc w:val="center"/>
            </w:pPr>
            <w:r>
              <w:t>~6,7</w:t>
            </w:r>
          </w:p>
        </w:tc>
      </w:tr>
      <w:tr w:rsidR="006D149B" w14:paraId="6B79C282" w14:textId="77777777" w:rsidTr="00DA3D97">
        <w:trPr>
          <w:jc w:val="center"/>
        </w:trPr>
        <w:tc>
          <w:tcPr>
            <w:tcW w:w="1968" w:type="dxa"/>
          </w:tcPr>
          <w:p w14:paraId="52AA8169" w14:textId="77777777" w:rsidR="006D149B" w:rsidRDefault="00000000">
            <w:r>
              <w:t>Ácido Esteárico</w:t>
            </w:r>
          </w:p>
        </w:tc>
        <w:tc>
          <w:tcPr>
            <w:tcW w:w="1995" w:type="dxa"/>
          </w:tcPr>
          <w:p w14:paraId="7233698A" w14:textId="77777777" w:rsidR="006D149B" w:rsidRDefault="00000000" w:rsidP="00DA3D97">
            <w:pPr>
              <w:jc w:val="center"/>
            </w:pPr>
            <w:r>
              <w:t>C18:0</w:t>
            </w:r>
          </w:p>
        </w:tc>
        <w:tc>
          <w:tcPr>
            <w:tcW w:w="3550" w:type="dxa"/>
          </w:tcPr>
          <w:p w14:paraId="3964CF84" w14:textId="77777777" w:rsidR="006D149B" w:rsidRDefault="00000000" w:rsidP="00DA3D97">
            <w:pPr>
              <w:jc w:val="center"/>
            </w:pPr>
            <w:r>
              <w:t>~5,7</w:t>
            </w:r>
          </w:p>
        </w:tc>
      </w:tr>
    </w:tbl>
    <w:p w14:paraId="3927E0F9" w14:textId="77777777" w:rsidR="006D149B" w:rsidRDefault="006D149B">
      <w:pPr>
        <w:ind w:firstLine="720"/>
      </w:pPr>
    </w:p>
    <w:p w14:paraId="49EE9217" w14:textId="77777777" w:rsidR="00DA3D97" w:rsidRDefault="00000000">
      <w:pPr>
        <w:ind w:firstLine="720"/>
      </w:pPr>
      <w:r>
        <w:t>Os ácidos graxos contidos no óleo de palma podem ser convertidos em biodiesel por meio de transesterificação, reação química com álcoois (metanol ou etanol) que gera ésteres metílicos ou etílicos, equivalentes ao biodiesel (ALQURASHI et al., 2022).</w:t>
      </w:r>
      <w:r w:rsidR="00E01BF9">
        <w:t xml:space="preserve"> A presença desses ácidos graxos também viabiliza o uso da Palma para fabricação de Óleo Vegetal Hidrotratado (HVO) por reações de hidrotratamento e Combustível de Aviação Sustentável (SAF) por craqueamento catalítico</w:t>
      </w:r>
      <w:r w:rsidR="00DA3D97">
        <w:t xml:space="preserve"> </w:t>
      </w:r>
      <w:r w:rsidR="00DA3D97">
        <w:rPr>
          <w:sz w:val="22"/>
          <w:szCs w:val="22"/>
        </w:rPr>
        <w:t>(KNOTHE, 2011)</w:t>
      </w:r>
      <w:r w:rsidR="00E01BF9">
        <w:t>.</w:t>
      </w:r>
      <w:r>
        <w:t xml:space="preserve"> </w:t>
      </w:r>
    </w:p>
    <w:p w14:paraId="606749D4" w14:textId="77777777" w:rsidR="006D149B" w:rsidRDefault="00000000">
      <w:pPr>
        <w:ind w:firstLine="720"/>
        <w:rPr>
          <w:b/>
          <w:bCs/>
        </w:rPr>
      </w:pPr>
      <w:r>
        <w:t xml:space="preserve">Os açúcares solúveis presentes nos cladódios da palma podem ser fermentados por leveduras como: </w:t>
      </w:r>
      <w:r w:rsidRPr="00DA3D97">
        <w:rPr>
          <w:i/>
          <w:iCs/>
        </w:rPr>
        <w:t>Saccharomyces cerevisiae</w:t>
      </w:r>
      <w:r>
        <w:t xml:space="preserve"> e </w:t>
      </w:r>
      <w:r w:rsidRPr="00DA3D97">
        <w:rPr>
          <w:i/>
          <w:iCs/>
        </w:rPr>
        <w:t>Kluyveromyces marxianus</w:t>
      </w:r>
      <w:r>
        <w:t xml:space="preserve"> (KULOYO et al., 2014).</w:t>
      </w:r>
      <w:r>
        <w:rPr>
          <w:b/>
          <w:bCs/>
        </w:rPr>
        <w:t xml:space="preserve"> </w:t>
      </w:r>
      <w:r>
        <w:rPr>
          <w:b/>
          <w:bCs/>
        </w:rPr>
        <w:br/>
      </w:r>
      <w:r>
        <w:rPr>
          <w:b/>
          <w:bCs/>
        </w:rPr>
        <w:tab/>
      </w:r>
      <w:r>
        <w:t>Através de digestão anaeróbica, microrganismos convertem a biomassa da palma em metano e dióxido de carbono. Pesquisas mostram que a palma, especialmente quando fermentada junto a esterco bovino, gera quantidades significativas de metano, podendo ser utilizada para geração de energia elétrica ou térmica em sistemas rurais (ESPINOSA-SOLARES et al., 2022).</w:t>
      </w:r>
      <w:r>
        <w:rPr>
          <w:b/>
          <w:bCs/>
        </w:rPr>
        <w:t xml:space="preserve"> </w:t>
      </w:r>
    </w:p>
    <w:p w14:paraId="7588432C" w14:textId="77777777" w:rsidR="006D149B" w:rsidRPr="00DA3D97" w:rsidRDefault="00000000" w:rsidP="00DA3D97">
      <w:pPr>
        <w:ind w:firstLine="720"/>
        <w:rPr>
          <w:b/>
          <w:bCs/>
          <w:sz w:val="22"/>
          <w:szCs w:val="22"/>
        </w:rPr>
      </w:pPr>
      <w:r>
        <w:lastRenderedPageBreak/>
        <w:t>A pirólise térmica da biomassa da palma gera Bio-óleo, líquido energético que pode ser usado como combustível ou fonte química; Syngas, mistura de CO, H₂ e CH₄, utilizada em caldeiras ou para geração de eletricidade e Biochar, resíduo sólido que pode atuar como condicionador de solo ou combustível sólido. Essa rota amplia as possibilidades de uso energético da palma, aproveitando integralmente a biomassa (MAAOUI et al., 2023).</w:t>
      </w:r>
    </w:p>
    <w:p w14:paraId="0785E42D" w14:textId="77777777" w:rsidR="006D149B" w:rsidRDefault="00000000">
      <w:pPr>
        <w:pStyle w:val="Ttulo2"/>
        <w:numPr>
          <w:ilvl w:val="1"/>
          <w:numId w:val="1"/>
        </w:numPr>
      </w:pPr>
      <w:r>
        <w:t>Pinhão-Manso</w:t>
      </w:r>
      <w:r w:rsidR="00A66E97">
        <w:t xml:space="preserve"> (</w:t>
      </w:r>
      <w:r w:rsidR="00A66E97">
        <w:rPr>
          <w:i/>
          <w:iCs/>
        </w:rPr>
        <w:t>Jatropha curcas</w:t>
      </w:r>
      <w:r w:rsidR="00A66E97">
        <w:t>)</w:t>
      </w:r>
    </w:p>
    <w:p w14:paraId="368F491F" w14:textId="77777777" w:rsidR="00445721" w:rsidRDefault="00000000" w:rsidP="00445721">
      <w:pPr>
        <w:ind w:firstLine="720"/>
      </w:pPr>
      <w:r>
        <w:t xml:space="preserve">A biomassa proveniente de espécies da família </w:t>
      </w:r>
      <w:r>
        <w:rPr>
          <w:i/>
          <w:iCs/>
        </w:rPr>
        <w:t>Euphorbiaceae</w:t>
      </w:r>
      <w:r>
        <w:t xml:space="preserve"> e </w:t>
      </w:r>
      <w:r>
        <w:rPr>
          <w:i/>
          <w:iCs/>
        </w:rPr>
        <w:t>Jatropha curcas</w:t>
      </w:r>
      <w:r>
        <w:t xml:space="preserve"> têm se destacado na produção de biodiesel, contribuindo para a diversificação das fontes de energia renovável.</w:t>
      </w:r>
      <w:r w:rsidR="00497199">
        <w:t xml:space="preserve"> </w:t>
      </w:r>
      <w:r>
        <w:t xml:space="preserve">Os estudos de </w:t>
      </w:r>
      <w:r w:rsidR="00E01BF9">
        <w:t>Kumar</w:t>
      </w:r>
      <w:r>
        <w:t xml:space="preserve"> e colaboradores (</w:t>
      </w:r>
      <w:r w:rsidR="00A66E97">
        <w:t>2018</w:t>
      </w:r>
      <w:r>
        <w:t xml:space="preserve">) mostram que o óleo de Pinhão-Manso apresenta ácidos graxos com variações significativas: ácido palmítico (8,64–17,05%), ácido esteárico (4,34–7,94%), ácido oleico (26,26–46,36%) e ácido linoleico (28,72–53,78%). </w:t>
      </w:r>
      <w:r w:rsidR="00497199">
        <w:t xml:space="preserve">A presença desses ácidos graxos viabiliza a produção dos biocombustíveis citados no tópico </w:t>
      </w:r>
      <w:r w:rsidR="00445721">
        <w:fldChar w:fldCharType="begin"/>
      </w:r>
      <w:r w:rsidR="00445721">
        <w:instrText xml:space="preserve"> REF _Ref225854019 \r \h </w:instrText>
      </w:r>
      <w:r w:rsidR="00445721">
        <w:fldChar w:fldCharType="separate"/>
      </w:r>
      <w:r w:rsidR="00445721">
        <w:t>3.3</w:t>
      </w:r>
      <w:r w:rsidR="00445721">
        <w:fldChar w:fldCharType="end"/>
      </w:r>
      <w:r w:rsidR="00445721">
        <w:t>.</w:t>
      </w:r>
    </w:p>
    <w:p w14:paraId="31F4FBA3" w14:textId="77777777" w:rsidR="006D149B" w:rsidRDefault="00000000" w:rsidP="00445721">
      <w:pPr>
        <w:ind w:firstLine="720"/>
      </w:pPr>
      <w:r>
        <w:t>Dessa forma, a composição química do óleo de Jatropha curcas L. reforça seu potencial como matéria-prima para a produção de biocombustíveis, consolidando sua importância no desenvolvimento de alternativas energéticas sustentáveis e na redução da dependência de combustíveis fósseis.</w:t>
      </w:r>
    </w:p>
    <w:p w14:paraId="1E6659BC" w14:textId="77777777" w:rsidR="006D149B" w:rsidRDefault="006D149B">
      <w:pPr>
        <w:ind w:firstLine="720"/>
      </w:pPr>
    </w:p>
    <w:p w14:paraId="578D39A4" w14:textId="77777777" w:rsidR="006D149B" w:rsidRDefault="00000000" w:rsidP="002D5ACB">
      <w:pPr>
        <w:pStyle w:val="Ttulo1"/>
        <w:numPr>
          <w:ilvl w:val="0"/>
          <w:numId w:val="1"/>
        </w:numPr>
      </w:pPr>
      <w:r>
        <w:t>CONCLUSÃO</w:t>
      </w:r>
    </w:p>
    <w:p w14:paraId="5FE93932" w14:textId="77777777" w:rsidR="00970E36" w:rsidRPr="00970E36" w:rsidRDefault="00970E36" w:rsidP="00970E36">
      <w:pPr>
        <w:ind w:firstLine="720"/>
      </w:pPr>
      <w:r w:rsidRPr="00970E36">
        <w:t>O município de Delmiro Gouveia reúne condições ambientais e produtivas que o posicionam como um importante agente na transição energética do semiárido alagoano. A diversidade de biomassas identificadas demonstra elevado potencial para a produção de diferentes biocombustíveis, incluindo etanol, biodiesel, biogás, biometano, HVO, SAF, bio-óleo e syngas. O aproveitamento dessas fontes fortalece o agronegócio local, gera novas oportunidades econômicas e promove o desenvolvimento sustentável. Nesse contexto, Delmiro Gouveia pode consolidar-se como polo regional de bioenergia, transformando recursos agrícolas e ambientais em soluções energéticas limpas e inovadoras, alinhadas às demandas globais de sustentabilidade.</w:t>
      </w:r>
    </w:p>
    <w:p w14:paraId="11440D3B" w14:textId="77777777" w:rsidR="00A30BD2" w:rsidRPr="00A30BD2" w:rsidRDefault="00000000" w:rsidP="00A30BD2">
      <w:pPr>
        <w:pStyle w:val="Ttulo1"/>
      </w:pPr>
      <w:r>
        <w:t>REFERÊNCIAS</w:t>
      </w:r>
    </w:p>
    <w:p w14:paraId="7ABC50A5" w14:textId="77777777" w:rsidR="00A30BD2" w:rsidRPr="00A30BD2" w:rsidRDefault="00A30BD2">
      <w:pPr>
        <w:spacing w:before="240" w:after="240" w:line="276" w:lineRule="auto"/>
        <w:rPr>
          <w:i/>
          <w:iCs/>
        </w:rPr>
      </w:pPr>
      <w:r w:rsidRPr="00A30BD2">
        <w:t xml:space="preserve">ALBUQUERQUE, S. G. de; SANTOS, D. C. dos. Palma-forrageira. </w:t>
      </w:r>
      <w:r w:rsidRPr="00A30BD2">
        <w:rPr>
          <w:i/>
          <w:iCs/>
        </w:rPr>
        <w:t>In</w:t>
      </w:r>
      <w:r w:rsidRPr="00A30BD2">
        <w:t>: KIILL, L. H. P.; MENEZES, E. A. (ed.). Espécies Vegetais Exóticas com Potencial Econômico para o Semi-Árido. Petrolina: Embrapa Semi-Árido; Brasília, DF: Embrapa Informação Tecnológica, 2005. cap. 3, p. 91-127. Disponível em:</w:t>
      </w:r>
      <w:hyperlink r:id="rId9">
        <w:r w:rsidRPr="00A30BD2">
          <w:t xml:space="preserve"> </w:t>
        </w:r>
      </w:hyperlink>
      <w:hyperlink r:id="rId10">
        <w:r w:rsidRPr="00A30BD2">
          <w:rPr>
            <w:color w:val="1155CC"/>
            <w:u w:val="single"/>
          </w:rPr>
          <w:t>https://www.embrapa.br/busca-de-publicacoes/-/publicacao/155504/palma-forrageira</w:t>
        </w:r>
      </w:hyperlink>
      <w:r w:rsidRPr="00A30BD2">
        <w:t xml:space="preserve">. Acesso em: 11 mar. 2026. </w:t>
      </w:r>
    </w:p>
    <w:p w14:paraId="256EBD55" w14:textId="77777777" w:rsidR="00A30BD2" w:rsidRPr="00970E36" w:rsidRDefault="00A30BD2" w:rsidP="00970E36">
      <w:pPr>
        <w:spacing w:before="240" w:after="240" w:line="276" w:lineRule="auto"/>
        <w:rPr>
          <w:i/>
          <w:iCs/>
        </w:rPr>
      </w:pPr>
      <w:r w:rsidRPr="00A30BD2">
        <w:t xml:space="preserve">ALQURASHI, A. S. </w:t>
      </w:r>
      <w:r w:rsidRPr="00A30BD2">
        <w:rPr>
          <w:i/>
          <w:iCs/>
        </w:rPr>
        <w:t>et al</w:t>
      </w:r>
      <w:r w:rsidRPr="00A30BD2">
        <w:t>. Chemical composition and bioactive potential of Opuntia ficus-indica seed oil. Molecules, Basel, v. 27, n. 17, p. 5453, 2022. Disponível em:</w:t>
      </w:r>
      <w:hyperlink r:id="rId11">
        <w:r w:rsidRPr="00A30BD2">
          <w:t xml:space="preserve"> </w:t>
        </w:r>
      </w:hyperlink>
      <w:hyperlink r:id="rId12">
        <w:r w:rsidRPr="00A30BD2">
          <w:rPr>
            <w:color w:val="1155CC"/>
            <w:u w:val="single"/>
          </w:rPr>
          <w:t>https://www.mdpi.com/1420-3049/27/17/5453</w:t>
        </w:r>
      </w:hyperlink>
      <w:r w:rsidRPr="00A30BD2">
        <w:t xml:space="preserve">. Acesso em: 11 mar. 2026. </w:t>
      </w:r>
    </w:p>
    <w:p w14:paraId="2462353B" w14:textId="77777777" w:rsidR="00A30BD2" w:rsidRDefault="00A30BD2">
      <w:r w:rsidRPr="00A30BD2">
        <w:t xml:space="preserve">BNDES/CGEE. </w:t>
      </w:r>
      <w:r w:rsidRPr="00A30BD2">
        <w:rPr>
          <w:i/>
          <w:iCs/>
        </w:rPr>
        <w:t>Bioetanol de Cana-de-Açúcar: Energia para o Desenvolvimento Sustentável</w:t>
      </w:r>
      <w:r w:rsidRPr="00A30BD2">
        <w:t>. Rio de Janeiro: BNDES, 2008.</w:t>
      </w:r>
    </w:p>
    <w:p w14:paraId="66A0D99F" w14:textId="77777777" w:rsidR="00A30BD2" w:rsidRPr="00A30BD2" w:rsidRDefault="00A30BD2"/>
    <w:p w14:paraId="43C983A6" w14:textId="77777777" w:rsidR="00A30BD2" w:rsidRPr="00A30BD2" w:rsidRDefault="00A30BD2">
      <w:r w:rsidRPr="00A30BD2">
        <w:lastRenderedPageBreak/>
        <w:t xml:space="preserve">COSTA, K. J. C. et al. </w:t>
      </w:r>
      <w:r w:rsidRPr="00A30BD2">
        <w:rPr>
          <w:i/>
          <w:iCs/>
        </w:rPr>
        <w:t>Geração de energia elétrica a partir do aproveitamento do biogás gerado por RSU no Sertão de Alagoas</w:t>
      </w:r>
      <w:r w:rsidRPr="00A30BD2">
        <w:t>. Revista Caburé — UFAL Campus Sertão, v. 1, n. 1, p. 81-90, 2018.</w:t>
      </w:r>
    </w:p>
    <w:p w14:paraId="24CC5DCF" w14:textId="77777777" w:rsidR="00A30BD2" w:rsidRPr="00A30BD2" w:rsidRDefault="00A30BD2">
      <w:pPr>
        <w:spacing w:before="240" w:after="240" w:line="276" w:lineRule="auto"/>
      </w:pPr>
      <w:r w:rsidRPr="00A30BD2">
        <w:t xml:space="preserve">EMBRAPA. </w:t>
      </w:r>
      <w:r w:rsidRPr="00A30BD2">
        <w:rPr>
          <w:i/>
          <w:iCs/>
        </w:rPr>
        <w:t>Palma forrageira</w:t>
      </w:r>
      <w:r w:rsidRPr="00A30BD2">
        <w:t>. Brasília, DF: Embrapa, 2017. Disponível em:</w:t>
      </w:r>
      <w:hyperlink r:id="rId13">
        <w:r w:rsidRPr="00A30BD2">
          <w:t xml:space="preserve"> </w:t>
        </w:r>
      </w:hyperlink>
      <w:hyperlink r:id="rId14">
        <w:r w:rsidRPr="00A30BD2">
          <w:rPr>
            <w:color w:val="1155CC"/>
            <w:u w:val="single"/>
          </w:rPr>
          <w:t>https://www.embrapa.br/busca-de-publicacoes/-/publicacao/155504/palma-forrageira</w:t>
        </w:r>
      </w:hyperlink>
      <w:r w:rsidRPr="00A30BD2">
        <w:t>. Acesso em: 11 mar. 2026.</w:t>
      </w:r>
    </w:p>
    <w:p w14:paraId="4F379442" w14:textId="77777777" w:rsidR="00A30BD2" w:rsidRPr="00A30BD2" w:rsidRDefault="00A30BD2">
      <w:pPr>
        <w:spacing w:before="240" w:after="240" w:line="276" w:lineRule="auto"/>
      </w:pPr>
      <w:r w:rsidRPr="00A30BD2">
        <w:t xml:space="preserve">ESPINOSA-SOLARES, T. </w:t>
      </w:r>
      <w:r w:rsidRPr="00A30BD2">
        <w:rPr>
          <w:i/>
          <w:iCs/>
        </w:rPr>
        <w:t>et al</w:t>
      </w:r>
      <w:r w:rsidRPr="00A30BD2">
        <w:t>. Biochemical methane potential of Opuntia ficus-indica (L.) Mill. cladodes in co-digestion with cow manure. Journal of Arid Environments, [S. l.], v. 202, p. 104757, 2022. Disponível em:</w:t>
      </w:r>
      <w:hyperlink r:id="rId15">
        <w:r w:rsidRPr="00A30BD2">
          <w:t xml:space="preserve"> </w:t>
        </w:r>
      </w:hyperlink>
      <w:hyperlink r:id="rId16">
        <w:r w:rsidRPr="00A30BD2">
          <w:rPr>
            <w:color w:val="1155CC"/>
            <w:u w:val="single"/>
          </w:rPr>
          <w:t>https://www.sciencedirect.com/science/article/abs/pii/S0140196322000520</w:t>
        </w:r>
      </w:hyperlink>
      <w:r w:rsidRPr="00A30BD2">
        <w:t>. Acesso em: 11 mar. 2026.</w:t>
      </w:r>
    </w:p>
    <w:p w14:paraId="223F7B73" w14:textId="77777777" w:rsidR="00A30BD2" w:rsidRPr="00A30BD2" w:rsidRDefault="005360AB">
      <w:r>
        <w:t>RIZZI, B.; SILVA, G.; MAIOR, T. S.</w:t>
      </w:r>
      <w:r w:rsidR="00A30BD2" w:rsidRPr="00A30BD2">
        <w:t>. B</w:t>
      </w:r>
      <w:r>
        <w:t>olsista de Valor</w:t>
      </w:r>
      <w:r w:rsidR="00A30BD2" w:rsidRPr="00A30BD2">
        <w:t xml:space="preserve">. Disponível em: </w:t>
      </w:r>
      <w:hyperlink r:id="rId17">
        <w:r w:rsidR="00A30BD2" w:rsidRPr="00A30BD2">
          <w:rPr>
            <w:color w:val="1155CC"/>
            <w:u w:val="single"/>
          </w:rPr>
          <w:t>https://editoraessentia.iff.edu.br/index.php/BolsistaDeValor/article/view/1838</w:t>
        </w:r>
      </w:hyperlink>
      <w:r w:rsidR="00A30BD2" w:rsidRPr="00A30BD2">
        <w:t xml:space="preserve"> </w:t>
      </w:r>
    </w:p>
    <w:p w14:paraId="786FAB96" w14:textId="77777777" w:rsidR="00A30BD2" w:rsidRPr="00A30BD2" w:rsidRDefault="00A30BD2">
      <w:pPr>
        <w:spacing w:before="240" w:after="240" w:line="276" w:lineRule="auto"/>
      </w:pPr>
      <w:r w:rsidRPr="00A30BD2">
        <w:t xml:space="preserve">KULOYO, O. O. </w:t>
      </w:r>
      <w:r w:rsidRPr="00A30BD2">
        <w:rPr>
          <w:i/>
          <w:iCs/>
        </w:rPr>
        <w:t>et al</w:t>
      </w:r>
      <w:r w:rsidRPr="00A30BD2">
        <w:t>. Opuntia ficus-indica cladodes as feedstock for ethanol production by Kluyveromyces marxianus and Saccharomyces cerevisiae. World Journal of Microbiology and Biotechnology, [S. l.], v. 30, n. 12, p. 3173–3183, 2014. Disponível em:</w:t>
      </w:r>
      <w:hyperlink r:id="rId18">
        <w:r w:rsidRPr="00A30BD2">
          <w:t xml:space="preserve"> </w:t>
        </w:r>
      </w:hyperlink>
      <w:hyperlink r:id="rId19">
        <w:r w:rsidRPr="00A30BD2">
          <w:rPr>
            <w:color w:val="1155CC"/>
            <w:u w:val="single"/>
          </w:rPr>
          <w:t>https://pubmed.ncbi.nlm.nih.gov/25248867/</w:t>
        </w:r>
      </w:hyperlink>
      <w:r w:rsidRPr="00A30BD2">
        <w:t>. Acesso em: 11 mar. 2026.</w:t>
      </w:r>
    </w:p>
    <w:p w14:paraId="6F169E43" w14:textId="77777777" w:rsidR="00A30BD2" w:rsidRPr="00A30BD2" w:rsidRDefault="00A30BD2">
      <w:r w:rsidRPr="00A30BD2">
        <w:t>KUMAR, Rajneesh; DAS, Niranjan. Seed oil of Jatropha curcas L. germplasm: Analysis of oil quality and fatty acid composition. Industrial Crops and Products, [s. l.], v. 124, p. 663-668, 15 nov. 2018.</w:t>
      </w:r>
    </w:p>
    <w:p w14:paraId="51C26B72" w14:textId="77777777" w:rsidR="00A30BD2" w:rsidRPr="00A30BD2" w:rsidRDefault="00A30BD2">
      <w:pPr>
        <w:spacing w:before="240" w:after="240" w:line="276" w:lineRule="auto"/>
      </w:pPr>
      <w:r w:rsidRPr="00A30BD2">
        <w:t xml:space="preserve">MAAOUI, A. </w:t>
      </w:r>
      <w:r w:rsidRPr="00A30BD2">
        <w:rPr>
          <w:i/>
          <w:iCs/>
        </w:rPr>
        <w:t>et al</w:t>
      </w:r>
      <w:r w:rsidRPr="00A30BD2">
        <w:t>. Towards local circular economy through Opuntia ficus-indica cladodes conversion into renewable biofuels and biochars: product distribution and kinetic modelling. Fuel, [S. l.], v. 332, p. 126056, 2023. Disponível em:</w:t>
      </w:r>
      <w:hyperlink r:id="rId20">
        <w:r w:rsidRPr="00A30BD2">
          <w:t xml:space="preserve"> </w:t>
        </w:r>
      </w:hyperlink>
      <w:hyperlink r:id="rId21">
        <w:r w:rsidRPr="00A30BD2">
          <w:rPr>
            <w:color w:val="1155CC"/>
            <w:u w:val="single"/>
          </w:rPr>
          <w:t>https://www.sciencedirect.com/science/article/abs/pii/S0016236122028800</w:t>
        </w:r>
      </w:hyperlink>
      <w:r w:rsidRPr="00A30BD2">
        <w:t>. Acesso em: 11 mar. 2026.</w:t>
      </w:r>
    </w:p>
    <w:p w14:paraId="2AA0DF0A" w14:textId="77777777" w:rsidR="00A30BD2" w:rsidRPr="00A30BD2" w:rsidRDefault="00A30BD2">
      <w:r w:rsidRPr="00A30BD2">
        <w:t xml:space="preserve">MARINHO, N. S. A. </w:t>
      </w:r>
      <w:r w:rsidRPr="00A30BD2">
        <w:rPr>
          <w:i/>
          <w:iCs/>
        </w:rPr>
        <w:t>Produção de etanol de primeira e segunda geração e de eletricidade com cana-de-açúcar e cana-energia</w:t>
      </w:r>
      <w:r w:rsidRPr="00A30BD2">
        <w:t>. Dissertação (Mestrado em Energia da Biomassa) — CECA/UFAL, Rio Largo, 2017.</w:t>
      </w:r>
    </w:p>
    <w:p w14:paraId="78994850" w14:textId="77777777" w:rsidR="00A30BD2" w:rsidRDefault="00A30BD2" w:rsidP="00A30BD2"/>
    <w:p w14:paraId="2B78226B" w14:textId="77777777" w:rsidR="00970E36" w:rsidRDefault="00A30BD2" w:rsidP="00970E36">
      <w:r>
        <w:t>RAMOS, J. D. F.; FARIAS, H. H.; SANTOS, J. C. O.</w:t>
      </w:r>
      <w:r w:rsidRPr="00A30BD2">
        <w:t>. SÍNTESE DE BIOCOMBUSTÍVEIS POR TRANSESTERIFICAÇÃO METÍLICA DO ÓLEO DE MAMONA. Disponível em: &lt;</w:t>
      </w:r>
      <w:hyperlink r:id="rId22">
        <w:r w:rsidRPr="00A30BD2">
          <w:rPr>
            <w:color w:val="1155CC"/>
            <w:u w:val="single"/>
          </w:rPr>
          <w:t>https://ns1.editorarealize.com.br/editora/anais/conepetro/2021/TRABALHO_EV147_MD4_SA9_ID251_29032021101855.pdf</w:t>
        </w:r>
      </w:hyperlink>
      <w:r w:rsidRPr="00A30BD2">
        <w:t>&gt;</w:t>
      </w:r>
    </w:p>
    <w:p w14:paraId="3ACD385D" w14:textId="77777777" w:rsidR="00970E36" w:rsidRDefault="00970E36" w:rsidP="00970E36"/>
    <w:p w14:paraId="6DF82B4A" w14:textId="77777777" w:rsidR="00A30BD2" w:rsidRPr="00A30BD2" w:rsidRDefault="00A30BD2" w:rsidP="00970E36">
      <w:r w:rsidRPr="00A30BD2">
        <w:t>SILVA, Clielson Alves da. Caracterização do sistema de criação de ovinos no Assentamento Maria Bonita - Delmiro Gouveia/AL. 2018. 106 f. Disponível em:</w:t>
      </w:r>
      <w:hyperlink r:id="rId23">
        <w:r w:rsidRPr="00A30BD2">
          <w:t xml:space="preserve"> </w:t>
        </w:r>
      </w:hyperlink>
      <w:hyperlink r:id="rId24">
        <w:r w:rsidRPr="00A30BD2">
          <w:rPr>
            <w:color w:val="1155CC"/>
            <w:u w:val="single"/>
          </w:rPr>
          <w:t>https://repositorio.ufsc.br/bitstream/handle/123456789/193090/PAGR-P0065-D.pdf</w:t>
        </w:r>
      </w:hyperlink>
      <w:r w:rsidRPr="00A30BD2">
        <w:t>. Acesso em: 11 mar. 2026.</w:t>
      </w:r>
    </w:p>
    <w:sectPr w:rsidR="00A30BD2" w:rsidRPr="00A30BD2">
      <w:headerReference w:type="even" r:id="rId25"/>
      <w:headerReference w:type="default" r:id="rId26"/>
      <w:footerReference w:type="even" r:id="rId27"/>
      <w:footerReference w:type="default" r:id="rId28"/>
      <w:headerReference w:type="first" r:id="rId29"/>
      <w:footerReference w:type="first" r:id="rId30"/>
      <w:pgSz w:w="11906" w:h="16838"/>
      <w:pgMar w:top="2268" w:right="1418" w:bottom="1418" w:left="1418" w:header="170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F70F5" w14:textId="77777777" w:rsidR="000738AE" w:rsidRDefault="000738AE">
      <w:r>
        <w:separator/>
      </w:r>
    </w:p>
  </w:endnote>
  <w:endnote w:type="continuationSeparator" w:id="0">
    <w:p w14:paraId="2E98540A" w14:textId="77777777" w:rsidR="000738AE" w:rsidRDefault="00073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embedRegular r:id="rId1" w:fontKey="{FCEF38FF-321F-43E8-A174-798D3CCC4757}"/>
  </w:font>
  <w:font w:name="Tahoma">
    <w:panose1 w:val="020B0604030504040204"/>
    <w:charset w:val="00"/>
    <w:family w:val="swiss"/>
    <w:pitch w:val="variable"/>
    <w:sig w:usb0="E1002EFF" w:usb1="C000605B" w:usb2="00000029" w:usb3="00000000" w:csb0="000101FF" w:csb1="00000000"/>
    <w:embedRegular r:id="rId2" w:fontKey="{04A82425-EC93-40D7-93EE-DDE19E2D58D4}"/>
  </w:font>
  <w:font w:name="Calibri">
    <w:panose1 w:val="020F0502020204030204"/>
    <w:charset w:val="00"/>
    <w:family w:val="swiss"/>
    <w:pitch w:val="variable"/>
    <w:sig w:usb0="E4002EFF" w:usb1="C200247B" w:usb2="00000009" w:usb3="00000000" w:csb0="000001FF" w:csb1="00000000"/>
    <w:embedRegular r:id="rId3" w:fontKey="{FA26B29C-BC28-4277-A357-20FDFD7694C8}"/>
  </w:font>
  <w:font w:name="Cambria">
    <w:panose1 w:val="02040503050406030204"/>
    <w:charset w:val="00"/>
    <w:family w:val="roman"/>
    <w:pitch w:val="variable"/>
    <w:sig w:usb0="E00006FF" w:usb1="420024FF" w:usb2="02000000" w:usb3="00000000" w:csb0="0000019F" w:csb1="00000000"/>
    <w:embedRegular r:id="rId4" w:fontKey="{FF8348A2-E59C-4A13-AA17-367728F93676}"/>
  </w:font>
  <w:font w:name="Georgia">
    <w:panose1 w:val="02040502050405020303"/>
    <w:charset w:val="00"/>
    <w:family w:val="roman"/>
    <w:pitch w:val="variable"/>
    <w:sig w:usb0="00000287" w:usb1="00000000" w:usb2="00000000" w:usb3="00000000" w:csb0="0000009F" w:csb1="00000000"/>
    <w:embedItalic r:id="rId5" w:fontKey="{0691F35C-D212-430C-A30A-E5A255120F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B88D4" w14:textId="77777777" w:rsidR="006D149B" w:rsidRDefault="00000000">
    <w:pPr>
      <w:pBdr>
        <w:top w:val="nil"/>
        <w:left w:val="nil"/>
        <w:bottom w:val="nil"/>
        <w:right w:val="nil"/>
        <w:between w:val="nil"/>
      </w:pBdr>
      <w:tabs>
        <w:tab w:val="center" w:pos="3600"/>
        <w:tab w:val="right" w:pos="7200"/>
      </w:tabs>
      <w:jc w:val="right"/>
      <w:rPr>
        <w:rFonts w:ascii="Calibri" w:eastAsia="Calibri" w:hAnsi="Calibri" w:cs="Calibri"/>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46CF360" w14:textId="77777777" w:rsidR="006D149B" w:rsidRDefault="006D149B">
    <w:pPr>
      <w:pBdr>
        <w:top w:val="nil"/>
        <w:left w:val="nil"/>
        <w:bottom w:val="nil"/>
        <w:right w:val="nil"/>
        <w:between w:val="nil"/>
      </w:pBdr>
      <w:tabs>
        <w:tab w:val="center" w:pos="3600"/>
        <w:tab w:val="right" w:pos="7200"/>
      </w:tabs>
      <w:jc w:val="left"/>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1240" w14:textId="77777777" w:rsidR="006D149B" w:rsidRDefault="00000000">
    <w:pPr>
      <w:pBdr>
        <w:top w:val="nil"/>
        <w:left w:val="nil"/>
        <w:bottom w:val="nil"/>
        <w:right w:val="nil"/>
        <w:between w:val="nil"/>
      </w:pBdr>
      <w:tabs>
        <w:tab w:val="center" w:pos="3600"/>
        <w:tab w:val="right" w:pos="7200"/>
      </w:tabs>
      <w:jc w:val="right"/>
      <w:rPr>
        <w:rFonts w:ascii="Calibri" w:eastAsia="Calibri" w:hAnsi="Calibri" w:cs="Calibri"/>
        <w:color w:val="000000"/>
      </w:rPr>
    </w:pPr>
    <w:r>
      <w:rPr>
        <w:color w:val="000000"/>
      </w:rPr>
      <w:fldChar w:fldCharType="begin"/>
    </w:r>
    <w:r>
      <w:rPr>
        <w:color w:val="000000"/>
      </w:rPr>
      <w:instrText>PAGE</w:instrText>
    </w:r>
    <w:r>
      <w:rPr>
        <w:color w:val="000000"/>
      </w:rPr>
      <w:fldChar w:fldCharType="separate"/>
    </w:r>
    <w:r w:rsidR="0013429B">
      <w:rPr>
        <w:noProof/>
        <w:color w:val="000000"/>
      </w:rPr>
      <w:t>1</w:t>
    </w:r>
    <w:r>
      <w:rPr>
        <w:color w:val="000000"/>
      </w:rPr>
      <w:fldChar w:fldCharType="end"/>
    </w:r>
    <w:r>
      <w:rPr>
        <w:noProof/>
      </w:rPr>
      <w:drawing>
        <wp:anchor distT="0" distB="0" distL="114300" distR="114300" simplePos="0" relativeHeight="251661312" behindDoc="0" locked="0" layoutInCell="1" hidden="0" allowOverlap="1" wp14:anchorId="76F15D5F" wp14:editId="2497F84E">
          <wp:simplePos x="0" y="0"/>
          <wp:positionH relativeFrom="column">
            <wp:posOffset>732789</wp:posOffset>
          </wp:positionH>
          <wp:positionV relativeFrom="paragraph">
            <wp:posOffset>-136624</wp:posOffset>
          </wp:positionV>
          <wp:extent cx="4293870" cy="735965"/>
          <wp:effectExtent l="0" t="0" r="0" b="0"/>
          <wp:wrapNone/>
          <wp:docPr id="205531936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293870" cy="735965"/>
                  </a:xfrm>
                  <a:prstGeom prst="rect">
                    <a:avLst/>
                  </a:prstGeom>
                  <a:ln/>
                </pic:spPr>
              </pic:pic>
            </a:graphicData>
          </a:graphic>
        </wp:anchor>
      </w:drawing>
    </w:r>
  </w:p>
  <w:p w14:paraId="1AA90129" w14:textId="77777777" w:rsidR="006D149B" w:rsidRDefault="006D149B">
    <w:pPr>
      <w:pBdr>
        <w:top w:val="nil"/>
        <w:left w:val="nil"/>
        <w:bottom w:val="nil"/>
        <w:right w:val="nil"/>
        <w:between w:val="nil"/>
      </w:pBdr>
      <w:tabs>
        <w:tab w:val="center" w:pos="3600"/>
        <w:tab w:val="right" w:pos="7200"/>
      </w:tabs>
      <w:ind w:firstLine="567"/>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3B25E" w14:textId="77777777" w:rsidR="006D149B" w:rsidRDefault="00000000">
    <w:pPr>
      <w:pBdr>
        <w:top w:val="nil"/>
        <w:left w:val="nil"/>
        <w:bottom w:val="nil"/>
        <w:right w:val="nil"/>
        <w:between w:val="nil"/>
      </w:pBdr>
      <w:tabs>
        <w:tab w:val="center" w:pos="3600"/>
        <w:tab w:val="right" w:pos="7200"/>
      </w:tabs>
      <w:ind w:firstLine="567"/>
      <w:jc w:val="center"/>
      <w:rPr>
        <w:color w:val="000000"/>
      </w:rPr>
    </w:pPr>
    <w:r>
      <w:rPr>
        <w:noProof/>
      </w:rPr>
      <w:drawing>
        <wp:inline distT="0" distB="0" distL="0" distR="0" wp14:anchorId="4D153C07" wp14:editId="42ACC2CB">
          <wp:extent cx="4499610" cy="627380"/>
          <wp:effectExtent l="0" t="0" r="0" b="0"/>
          <wp:docPr id="2055319368" name="image1.png" descr="Logotipo, nome da empres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Logotipo, nome da empresa&#10;&#10;O conteúdo gerado por IA pode estar incorreto."/>
                  <pic:cNvPicPr preferRelativeResize="0"/>
                </pic:nvPicPr>
                <pic:blipFill>
                  <a:blip r:embed="rId1"/>
                  <a:srcRect/>
                  <a:stretch>
                    <a:fillRect/>
                  </a:stretch>
                </pic:blipFill>
                <pic:spPr>
                  <a:xfrm>
                    <a:off x="0" y="0"/>
                    <a:ext cx="4499610" cy="62738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08E5F" w14:textId="77777777" w:rsidR="000738AE" w:rsidRDefault="000738AE">
      <w:r>
        <w:separator/>
      </w:r>
    </w:p>
  </w:footnote>
  <w:footnote w:type="continuationSeparator" w:id="0">
    <w:p w14:paraId="6B4EC41A" w14:textId="77777777" w:rsidR="000738AE" w:rsidRDefault="00073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94EC" w14:textId="77777777" w:rsidR="006D149B" w:rsidRDefault="00000000">
    <w:pPr>
      <w:pBdr>
        <w:top w:val="nil"/>
        <w:left w:val="nil"/>
        <w:bottom w:val="nil"/>
        <w:right w:val="nil"/>
        <w:between w:val="nil"/>
      </w:pBdr>
      <w:tabs>
        <w:tab w:val="left" w:pos="2133"/>
        <w:tab w:val="center" w:pos="3600"/>
        <w:tab w:val="right" w:pos="7200"/>
        <w:tab w:val="right" w:pos="7088"/>
      </w:tabs>
      <w:rPr>
        <w:i/>
        <w:iCs/>
        <w:color w:val="000000"/>
      </w:rPr>
    </w:pPr>
    <w:r>
      <w:rPr>
        <w:noProof/>
      </w:rPr>
      <w:drawing>
        <wp:anchor distT="0" distB="0" distL="0" distR="0" simplePos="0" relativeHeight="251660288" behindDoc="0" locked="0" layoutInCell="1" hidden="0" allowOverlap="1" wp14:anchorId="29BE9611" wp14:editId="0F8FCB84">
          <wp:simplePos x="0" y="0"/>
          <wp:positionH relativeFrom="column">
            <wp:posOffset>-917358</wp:posOffset>
          </wp:positionH>
          <wp:positionV relativeFrom="paragraph">
            <wp:posOffset>-1071665</wp:posOffset>
          </wp:positionV>
          <wp:extent cx="7599638" cy="1439662"/>
          <wp:effectExtent l="0" t="0" r="0" b="0"/>
          <wp:wrapSquare wrapText="bothSides" distT="0" distB="0" distL="0" distR="0"/>
          <wp:docPr id="2055319370" name="image4.png" descr="Ícon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4.png" descr="Ícone&#10;&#10;O conteúdo gerado por IA pode estar incorreto."/>
                  <pic:cNvPicPr preferRelativeResize="0"/>
                </pic:nvPicPr>
                <pic:blipFill>
                  <a:blip r:embed="rId1"/>
                  <a:srcRect b="23599"/>
                  <a:stretch>
                    <a:fillRect/>
                  </a:stretch>
                </pic:blipFill>
                <pic:spPr>
                  <a:xfrm>
                    <a:off x="0" y="0"/>
                    <a:ext cx="7599638" cy="1439662"/>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00D5" w14:textId="77777777" w:rsidR="006D149B" w:rsidRDefault="00000000">
    <w:pPr>
      <w:pBdr>
        <w:top w:val="nil"/>
        <w:left w:val="nil"/>
        <w:bottom w:val="nil"/>
        <w:right w:val="nil"/>
        <w:between w:val="nil"/>
      </w:pBdr>
      <w:tabs>
        <w:tab w:val="center" w:pos="3600"/>
        <w:tab w:val="right" w:pos="7200"/>
        <w:tab w:val="right" w:pos="7088"/>
      </w:tabs>
      <w:rPr>
        <w:color w:val="000000"/>
      </w:rPr>
    </w:pPr>
    <w:r>
      <w:rPr>
        <w:noProof/>
        <w:color w:val="000000"/>
      </w:rPr>
      <w:drawing>
        <wp:anchor distT="0" distB="0" distL="114300" distR="114300" simplePos="0" relativeHeight="251658240" behindDoc="0" locked="0" layoutInCell="1" hidden="0" allowOverlap="1" wp14:anchorId="1A7F496B" wp14:editId="203045C5">
          <wp:simplePos x="0" y="0"/>
          <wp:positionH relativeFrom="margin">
            <wp:posOffset>-920746</wp:posOffset>
          </wp:positionH>
          <wp:positionV relativeFrom="topMargin">
            <wp:posOffset>-838</wp:posOffset>
          </wp:positionV>
          <wp:extent cx="7596505" cy="1432560"/>
          <wp:effectExtent l="0" t="0" r="0" b="0"/>
          <wp:wrapSquare wrapText="bothSides" distT="0" distB="0" distL="114300" distR="114300"/>
          <wp:docPr id="205531936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96505" cy="143256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22E14" w14:textId="77777777" w:rsidR="006D149B" w:rsidRDefault="00000000">
    <w:pPr>
      <w:tabs>
        <w:tab w:val="right" w:pos="7086"/>
      </w:tabs>
      <w:jc w:val="right"/>
      <w:rPr>
        <w:b/>
        <w:bCs/>
      </w:rPr>
    </w:pPr>
    <w:r>
      <w:rPr>
        <w:noProof/>
      </w:rPr>
      <w:drawing>
        <wp:anchor distT="0" distB="0" distL="114300" distR="114300" simplePos="0" relativeHeight="251659264" behindDoc="0" locked="0" layoutInCell="1" hidden="0" allowOverlap="1" wp14:anchorId="751D864C" wp14:editId="08B61A22">
          <wp:simplePos x="0" y="0"/>
          <wp:positionH relativeFrom="column">
            <wp:posOffset>-900427</wp:posOffset>
          </wp:positionH>
          <wp:positionV relativeFrom="paragraph">
            <wp:posOffset>-1080131</wp:posOffset>
          </wp:positionV>
          <wp:extent cx="7596505" cy="1432560"/>
          <wp:effectExtent l="0" t="0" r="0" b="0"/>
          <wp:wrapSquare wrapText="bothSides" distT="0" distB="0" distL="114300" distR="114300"/>
          <wp:docPr id="205531936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96505" cy="1432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167E4F"/>
    <w:multiLevelType w:val="multilevel"/>
    <w:tmpl w:val="FA8A21C2"/>
    <w:lvl w:ilvl="0">
      <w:start w:val="1"/>
      <w:numFmt w:val="decimal"/>
      <w:pStyle w:val="Els-reference"/>
      <w:lvlText w:val="%1."/>
      <w:lvlJc w:val="left"/>
      <w:pPr>
        <w:tabs>
          <w:tab w:val="num" w:pos="720"/>
        </w:tabs>
        <w:ind w:left="720" w:hanging="720"/>
      </w:pPr>
    </w:lvl>
    <w:lvl w:ilvl="1">
      <w:start w:val="1"/>
      <w:numFmt w:val="decimal"/>
      <w:pStyle w:val="Els-1storder-head"/>
      <w:lvlText w:val="%2."/>
      <w:lvlJc w:val="left"/>
      <w:pPr>
        <w:tabs>
          <w:tab w:val="num" w:pos="1440"/>
        </w:tabs>
        <w:ind w:left="1440" w:hanging="720"/>
      </w:pPr>
    </w:lvl>
    <w:lvl w:ilvl="2">
      <w:start w:val="1"/>
      <w:numFmt w:val="decimal"/>
      <w:pStyle w:val="Els-2ndorder-head"/>
      <w:lvlText w:val="%3."/>
      <w:lvlJc w:val="left"/>
      <w:pPr>
        <w:tabs>
          <w:tab w:val="num" w:pos="2160"/>
        </w:tabs>
        <w:ind w:left="2160" w:hanging="720"/>
      </w:pPr>
    </w:lvl>
    <w:lvl w:ilvl="3">
      <w:start w:val="1"/>
      <w:numFmt w:val="decimal"/>
      <w:pStyle w:val="Els-3rdorder-hea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DD10972"/>
    <w:multiLevelType w:val="multilevel"/>
    <w:tmpl w:val="64569A58"/>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600" w:hanging="1080"/>
      </w:pPr>
    </w:lvl>
    <w:lvl w:ilvl="7">
      <w:start w:val="1"/>
      <w:numFmt w:val="decimal"/>
      <w:lvlText w:val="%1.%2.%3.%4.%5.%6.%7.%8."/>
      <w:lvlJc w:val="left"/>
      <w:pPr>
        <w:ind w:left="4320" w:hanging="1440"/>
      </w:pPr>
    </w:lvl>
    <w:lvl w:ilvl="8">
      <w:start w:val="1"/>
      <w:numFmt w:val="decimal"/>
      <w:lvlText w:val="%1.%2.%3.%4.%5.%6.%7.%8.%9."/>
      <w:lvlJc w:val="left"/>
      <w:pPr>
        <w:ind w:left="4680" w:hanging="1440"/>
      </w:pPr>
    </w:lvl>
  </w:abstractNum>
  <w:num w:numId="1" w16cid:durableId="359670195">
    <w:abstractNumId w:val="1"/>
  </w:num>
  <w:num w:numId="2" w16cid:durableId="1166477987">
    <w:abstractNumId w:val="0"/>
  </w:num>
  <w:num w:numId="3" w16cid:durableId="1344474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49B"/>
    <w:rsid w:val="000738AE"/>
    <w:rsid w:val="0013429B"/>
    <w:rsid w:val="0019241B"/>
    <w:rsid w:val="002D5AC2"/>
    <w:rsid w:val="002D5ACB"/>
    <w:rsid w:val="00394592"/>
    <w:rsid w:val="00445721"/>
    <w:rsid w:val="00497199"/>
    <w:rsid w:val="005360AB"/>
    <w:rsid w:val="00540C04"/>
    <w:rsid w:val="006D149B"/>
    <w:rsid w:val="00760985"/>
    <w:rsid w:val="00970E36"/>
    <w:rsid w:val="00A30BD2"/>
    <w:rsid w:val="00A348A4"/>
    <w:rsid w:val="00A36CDE"/>
    <w:rsid w:val="00A66E97"/>
    <w:rsid w:val="00AC690F"/>
    <w:rsid w:val="00DA3D97"/>
    <w:rsid w:val="00E01BF9"/>
    <w:rsid w:val="00E45199"/>
    <w:rsid w:val="00EE64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98BE1"/>
  <w15:docId w15:val="{9D941CD9-E320-4577-A03D-27F1DECFC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b/>
      <w:bCs/>
      <w:color w:val="000000"/>
    </w:rPr>
  </w:style>
  <w:style w:type="paragraph" w:styleId="Ttulo2">
    <w:name w:val="heading 2"/>
    <w:basedOn w:val="Normal"/>
    <w:next w:val="Normal"/>
    <w:uiPriority w:val="9"/>
    <w:unhideWhenUsed/>
    <w:qFormat/>
    <w:pPr>
      <w:keepNext/>
      <w:keepLines/>
      <w:spacing w:before="360" w:after="80"/>
      <w:ind w:left="720"/>
      <w:outlineLvl w:val="1"/>
    </w:pPr>
    <w:rPr>
      <w:b/>
      <w:bCs/>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Legenda">
    <w:name w:val="caption"/>
    <w:basedOn w:val="Els-caption"/>
    <w:next w:val="Els-caption"/>
    <w:qFormat/>
    <w:rsid w:val="00C50931"/>
    <w:pPr>
      <w:spacing w:before="0" w:after="0"/>
    </w:pPr>
  </w:style>
  <w:style w:type="paragraph" w:customStyle="1" w:styleId="Els-caption">
    <w:name w:val="Els-caption"/>
    <w:rsid w:val="008B0184"/>
    <w:pPr>
      <w:keepLines/>
      <w:spacing w:before="100" w:after="120"/>
    </w:pPr>
    <w:rPr>
      <w:sz w:val="18"/>
      <w:lang w:val="en-US" w:eastAsia="en-US"/>
    </w:rPr>
  </w:style>
  <w:style w:type="paragraph" w:customStyle="1" w:styleId="Els-1storder-head">
    <w:name w:val="Els-1storder-head"/>
    <w:basedOn w:val="Els-body-text"/>
    <w:next w:val="Els-body-text"/>
    <w:rsid w:val="008B0184"/>
    <w:pPr>
      <w:keepNext/>
      <w:numPr>
        <w:ilvl w:val="1"/>
        <w:numId w:val="2"/>
      </w:numPr>
      <w:suppressAutoHyphens/>
      <w:spacing w:before="240" w:after="60" w:line="240" w:lineRule="exact"/>
    </w:pPr>
    <w:rPr>
      <w:b/>
      <w:sz w:val="22"/>
    </w:rPr>
  </w:style>
  <w:style w:type="paragraph" w:customStyle="1" w:styleId="Els-body-text">
    <w:name w:val="Els-body-text"/>
    <w:rsid w:val="008B0184"/>
    <w:rPr>
      <w:lang w:val="en-US" w:eastAsia="en-US"/>
    </w:rPr>
  </w:style>
  <w:style w:type="paragraph" w:customStyle="1" w:styleId="Els-2ndorder-head">
    <w:name w:val="Els-2ndorder-head"/>
    <w:basedOn w:val="Els-body-text"/>
    <w:next w:val="Els-body-text"/>
    <w:rsid w:val="008B0184"/>
    <w:pPr>
      <w:keepNext/>
      <w:numPr>
        <w:ilvl w:val="2"/>
        <w:numId w:val="2"/>
      </w:numPr>
      <w:suppressAutoHyphens/>
      <w:spacing w:before="80"/>
    </w:pPr>
    <w:rPr>
      <w:i/>
    </w:rPr>
  </w:style>
  <w:style w:type="paragraph" w:customStyle="1" w:styleId="Els-3rdorder-head">
    <w:name w:val="Els-3rdorder-head"/>
    <w:basedOn w:val="Els-body-text"/>
    <w:next w:val="Els-body-text"/>
    <w:rsid w:val="008B0184"/>
    <w:pPr>
      <w:keepNext/>
      <w:numPr>
        <w:ilvl w:val="3"/>
        <w:numId w:val="2"/>
      </w:numPr>
      <w:suppressAutoHyphens/>
      <w:spacing w:before="60"/>
    </w:pPr>
    <w:rPr>
      <w:i/>
    </w:rPr>
  </w:style>
  <w:style w:type="paragraph" w:customStyle="1" w:styleId="Els-Affiliation">
    <w:name w:val="Els-Affiliation"/>
    <w:rsid w:val="008B0184"/>
    <w:pPr>
      <w:suppressAutoHyphens/>
      <w:spacing w:line="240" w:lineRule="exact"/>
    </w:pPr>
    <w:rPr>
      <w:i/>
      <w:noProof/>
      <w:lang w:eastAsia="en-US"/>
    </w:rPr>
  </w:style>
  <w:style w:type="paragraph" w:customStyle="1" w:styleId="Els-Author">
    <w:name w:val="Els-Author"/>
    <w:next w:val="Els-Affiliation"/>
    <w:rsid w:val="008B0184"/>
    <w:pPr>
      <w:keepNext/>
      <w:suppressAutoHyphens/>
      <w:spacing w:after="60" w:line="310" w:lineRule="exact"/>
    </w:pPr>
    <w:rPr>
      <w:noProof/>
      <w:sz w:val="22"/>
      <w:lang w:eastAsia="en-US"/>
    </w:rPr>
  </w:style>
  <w:style w:type="paragraph" w:customStyle="1" w:styleId="Els-bulletlist">
    <w:name w:val="Els-bulletlist"/>
    <w:basedOn w:val="Els-body-text"/>
    <w:rsid w:val="008B0184"/>
    <w:pPr>
      <w:tabs>
        <w:tab w:val="left" w:pos="240"/>
        <w:tab w:val="num" w:pos="360"/>
      </w:tabs>
      <w:ind w:left="240" w:hanging="240"/>
    </w:pPr>
  </w:style>
  <w:style w:type="paragraph" w:customStyle="1" w:styleId="Els-chem-equation">
    <w:name w:val="Els-chem-equation"/>
    <w:basedOn w:val="Els-body-text"/>
    <w:next w:val="Els-body-text"/>
    <w:rsid w:val="008B0184"/>
    <w:pPr>
      <w:tabs>
        <w:tab w:val="right" w:pos="7088"/>
      </w:tabs>
      <w:spacing w:before="120" w:after="120"/>
    </w:pPr>
    <w:rPr>
      <w:noProof/>
      <w:lang w:val="en-GB"/>
    </w:rPr>
  </w:style>
  <w:style w:type="paragraph" w:customStyle="1" w:styleId="Els-equation">
    <w:name w:val="Els-equation"/>
    <w:basedOn w:val="Els-body-text"/>
    <w:next w:val="Els-body-text"/>
    <w:rsid w:val="008B0184"/>
    <w:pPr>
      <w:tabs>
        <w:tab w:val="right" w:pos="7088"/>
      </w:tabs>
      <w:spacing w:before="120" w:after="120"/>
    </w:pPr>
    <w:rPr>
      <w:i/>
      <w:noProof/>
      <w:lang w:val="en-GB"/>
    </w:rPr>
  </w:style>
  <w:style w:type="paragraph" w:customStyle="1" w:styleId="Els-footnote">
    <w:name w:val="Els-footnote"/>
    <w:rsid w:val="008B0184"/>
    <w:pPr>
      <w:keepLines/>
      <w:widowControl w:val="0"/>
      <w:ind w:left="120" w:hanging="120"/>
    </w:pPr>
    <w:rPr>
      <w:sz w:val="18"/>
      <w:lang w:val="en-US" w:eastAsia="en-US"/>
    </w:rPr>
  </w:style>
  <w:style w:type="paragraph" w:customStyle="1" w:styleId="Els-numlist">
    <w:name w:val="Els-numlist"/>
    <w:basedOn w:val="Els-body-text"/>
    <w:rsid w:val="008B0184"/>
    <w:pPr>
      <w:tabs>
        <w:tab w:val="left" w:pos="240"/>
        <w:tab w:val="num" w:pos="360"/>
      </w:tabs>
      <w:ind w:left="240" w:hanging="240"/>
    </w:pPr>
  </w:style>
  <w:style w:type="paragraph" w:customStyle="1" w:styleId="Els-reference">
    <w:name w:val="Els-reference"/>
    <w:rsid w:val="008B0184"/>
    <w:pPr>
      <w:numPr>
        <w:numId w:val="3"/>
      </w:numPr>
      <w:ind w:left="482"/>
    </w:pPr>
    <w:rPr>
      <w:noProof/>
      <w:sz w:val="18"/>
      <w:lang w:eastAsia="en-US"/>
    </w:rPr>
  </w:style>
  <w:style w:type="paragraph" w:customStyle="1" w:styleId="Els-reference-head">
    <w:name w:val="Els-reference-head"/>
    <w:basedOn w:val="Els-body-text"/>
    <w:next w:val="Els-referenceno-number"/>
    <w:rsid w:val="008B0184"/>
    <w:pPr>
      <w:keepNext/>
      <w:spacing w:before="240" w:after="60"/>
    </w:pPr>
    <w:rPr>
      <w:b/>
      <w:sz w:val="22"/>
      <w:szCs w:val="22"/>
    </w:rPr>
  </w:style>
  <w:style w:type="paragraph" w:customStyle="1" w:styleId="Els-table-text">
    <w:name w:val="Els-table-text"/>
    <w:rsid w:val="008B0184"/>
    <w:pPr>
      <w:keepNext/>
      <w:spacing w:after="80" w:line="240" w:lineRule="exact"/>
    </w:pPr>
    <w:rPr>
      <w:sz w:val="18"/>
      <w:lang w:val="en-US" w:eastAsia="en-US"/>
    </w:rPr>
  </w:style>
  <w:style w:type="paragraph" w:customStyle="1" w:styleId="Els-Title">
    <w:name w:val="Els-Title"/>
    <w:next w:val="Els-Author"/>
    <w:rsid w:val="008B0184"/>
    <w:pPr>
      <w:suppressAutoHyphens/>
      <w:spacing w:before="240" w:after="120" w:line="360" w:lineRule="exact"/>
    </w:pPr>
    <w:rPr>
      <w:b/>
      <w:sz w:val="32"/>
      <w:lang w:val="en-US" w:eastAsia="en-US"/>
    </w:rPr>
  </w:style>
  <w:style w:type="character" w:styleId="Refdenotadefim">
    <w:name w:val="endnote reference"/>
    <w:basedOn w:val="Fontepargpadro"/>
    <w:semiHidden/>
    <w:rsid w:val="008B0184"/>
    <w:rPr>
      <w:vertAlign w:val="superscript"/>
    </w:rPr>
  </w:style>
  <w:style w:type="paragraph" w:styleId="Cabealho">
    <w:name w:val="header"/>
    <w:link w:val="CabealhoChar"/>
    <w:uiPriority w:val="99"/>
    <w:rsid w:val="008B0184"/>
    <w:pPr>
      <w:tabs>
        <w:tab w:val="center" w:pos="3600"/>
        <w:tab w:val="right" w:pos="7200"/>
      </w:tabs>
      <w:spacing w:line="200" w:lineRule="atLeast"/>
    </w:pPr>
    <w:rPr>
      <w:noProof/>
      <w:lang w:eastAsia="en-US"/>
    </w:rPr>
  </w:style>
  <w:style w:type="paragraph" w:styleId="Rodap">
    <w:name w:val="footer"/>
    <w:basedOn w:val="Cabealho"/>
    <w:link w:val="RodapChar"/>
    <w:uiPriority w:val="99"/>
    <w:rsid w:val="008B0184"/>
  </w:style>
  <w:style w:type="character" w:styleId="Refdenotaderodap">
    <w:name w:val="footnote reference"/>
    <w:semiHidden/>
    <w:rsid w:val="008B0184"/>
    <w:rPr>
      <w:vertAlign w:val="superscript"/>
    </w:rPr>
  </w:style>
  <w:style w:type="paragraph" w:styleId="Textodenotaderodap">
    <w:name w:val="footnote text"/>
    <w:basedOn w:val="Normal"/>
    <w:semiHidden/>
    <w:rsid w:val="008B0184"/>
    <w:rPr>
      <w:rFonts w:ascii="Univers" w:hAnsi="Univers"/>
    </w:rPr>
  </w:style>
  <w:style w:type="character" w:styleId="Hyperlink">
    <w:name w:val="Hyperlink"/>
    <w:basedOn w:val="Fontepargpadro"/>
    <w:rsid w:val="008B0184"/>
    <w:rPr>
      <w:color w:val="0000FF"/>
      <w:u w:val="single"/>
    </w:rPr>
  </w:style>
  <w:style w:type="character" w:customStyle="1" w:styleId="MTEquationSection">
    <w:name w:val="MTEquationSection"/>
    <w:basedOn w:val="Fontepargpadro"/>
    <w:rsid w:val="008B0184"/>
    <w:rPr>
      <w:vanish/>
      <w:color w:val="FF0000"/>
    </w:rPr>
  </w:style>
  <w:style w:type="character" w:styleId="Nmerodepgina">
    <w:name w:val="page number"/>
    <w:basedOn w:val="Fontepargpadro"/>
    <w:rsid w:val="008B0184"/>
    <w:rPr>
      <w:sz w:val="20"/>
      <w:szCs w:val="20"/>
    </w:rPr>
  </w:style>
  <w:style w:type="paragraph" w:customStyle="1" w:styleId="Els-Chapterno">
    <w:name w:val="Els-Chapter no"/>
    <w:rsid w:val="008B0184"/>
    <w:pPr>
      <w:tabs>
        <w:tab w:val="num" w:pos="720"/>
      </w:tabs>
      <w:spacing w:before="907" w:line="260" w:lineRule="exact"/>
      <w:ind w:left="720" w:hanging="720"/>
    </w:pPr>
    <w:rPr>
      <w:lang w:val="en-US" w:eastAsia="en-US"/>
    </w:rPr>
  </w:style>
  <w:style w:type="paragraph" w:customStyle="1" w:styleId="Els-referenceno-number">
    <w:name w:val="Els-reference no-number"/>
    <w:basedOn w:val="Els-reference"/>
    <w:rsid w:val="008B0184"/>
    <w:pPr>
      <w:numPr>
        <w:numId w:val="0"/>
      </w:numPr>
      <w:ind w:left="240" w:hanging="240"/>
    </w:pPr>
  </w:style>
  <w:style w:type="character" w:customStyle="1" w:styleId="Els-captionChar">
    <w:name w:val="Els-caption Char"/>
    <w:basedOn w:val="Fontepargpadro"/>
    <w:rsid w:val="008B0184"/>
    <w:rPr>
      <w:sz w:val="18"/>
      <w:lang w:val="en-US" w:eastAsia="en-US" w:bidi="ar-SA"/>
    </w:rPr>
  </w:style>
  <w:style w:type="character" w:styleId="Refdecomentrio">
    <w:name w:val="annotation reference"/>
    <w:basedOn w:val="Fontepargpadro"/>
    <w:semiHidden/>
    <w:rsid w:val="008B0184"/>
    <w:rPr>
      <w:sz w:val="16"/>
      <w:szCs w:val="16"/>
    </w:rPr>
  </w:style>
  <w:style w:type="paragraph" w:styleId="Textodecomentrio">
    <w:name w:val="annotation text"/>
    <w:basedOn w:val="Normal"/>
    <w:semiHidden/>
    <w:rsid w:val="008B0184"/>
  </w:style>
  <w:style w:type="paragraph" w:styleId="Assuntodocomentrio">
    <w:name w:val="annotation subject"/>
    <w:basedOn w:val="Textodecomentrio"/>
    <w:next w:val="Textodecomentrio"/>
    <w:semiHidden/>
    <w:rsid w:val="008B0184"/>
    <w:rPr>
      <w:b/>
      <w:bCs/>
    </w:rPr>
  </w:style>
  <w:style w:type="paragraph" w:styleId="Textodebalo">
    <w:name w:val="Balloon Text"/>
    <w:basedOn w:val="Normal"/>
    <w:semiHidden/>
    <w:rsid w:val="008B0184"/>
    <w:rPr>
      <w:rFonts w:ascii="Tahoma" w:hAnsi="Tahoma" w:cs="Tahoma"/>
      <w:sz w:val="16"/>
      <w:szCs w:val="16"/>
    </w:rPr>
  </w:style>
  <w:style w:type="paragraph" w:customStyle="1" w:styleId="Els-Abstract">
    <w:name w:val="Els-Abstract"/>
    <w:basedOn w:val="Els-1storder-head"/>
    <w:next w:val="Els-body-text"/>
    <w:autoRedefine/>
    <w:rsid w:val="00402878"/>
    <w:pPr>
      <w:numPr>
        <w:ilvl w:val="0"/>
        <w:numId w:val="0"/>
      </w:numPr>
      <w:jc w:val="center"/>
    </w:pPr>
    <w:rPr>
      <w:sz w:val="20"/>
      <w:szCs w:val="18"/>
      <w:lang w:val="pt-BR"/>
    </w:rPr>
  </w:style>
  <w:style w:type="paragraph" w:styleId="SemEspaamento">
    <w:name w:val="No Spacing"/>
    <w:uiPriority w:val="1"/>
    <w:qFormat/>
    <w:rsid w:val="00350CBE"/>
    <w:rPr>
      <w:rFonts w:asciiTheme="minorHAnsi" w:eastAsiaTheme="minorHAnsi" w:hAnsiTheme="minorHAnsi" w:cstheme="minorBidi"/>
      <w:sz w:val="22"/>
      <w:szCs w:val="22"/>
      <w:lang w:eastAsia="en-US"/>
    </w:rPr>
  </w:style>
  <w:style w:type="character" w:styleId="TextodoEspaoReservado">
    <w:name w:val="Placeholder Text"/>
    <w:basedOn w:val="Fontepargpadro"/>
    <w:uiPriority w:val="99"/>
    <w:semiHidden/>
    <w:rsid w:val="00A658BE"/>
    <w:rPr>
      <w:color w:val="808080"/>
    </w:rPr>
  </w:style>
  <w:style w:type="table" w:styleId="Tabelacomgrade">
    <w:name w:val="Table Grid"/>
    <w:basedOn w:val="Tabelanormal"/>
    <w:rsid w:val="003F69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rsid w:val="000A4877"/>
    <w:rPr>
      <w:noProof/>
      <w:lang w:eastAsia="en-US"/>
    </w:rPr>
  </w:style>
  <w:style w:type="character" w:customStyle="1" w:styleId="hlfld-contribauthor">
    <w:name w:val="hlfld-contribauthor"/>
    <w:basedOn w:val="Fontepargpadro"/>
    <w:rsid w:val="00FA2CC0"/>
  </w:style>
  <w:style w:type="paragraph" w:customStyle="1" w:styleId="comma-separator">
    <w:name w:val="comma-separator"/>
    <w:basedOn w:val="Normal"/>
    <w:rsid w:val="00FA2CC0"/>
    <w:pPr>
      <w:spacing w:before="100" w:beforeAutospacing="1" w:after="100" w:afterAutospacing="1"/>
    </w:pPr>
  </w:style>
  <w:style w:type="character" w:customStyle="1" w:styleId="comma-separator1">
    <w:name w:val="comma-separator1"/>
    <w:basedOn w:val="Fontepargpadro"/>
    <w:rsid w:val="00FA2CC0"/>
  </w:style>
  <w:style w:type="character" w:customStyle="1" w:styleId="Ttulo1Char">
    <w:name w:val="Título 1 Char"/>
    <w:basedOn w:val="Fontepargpadro"/>
    <w:rsid w:val="00FA2CC0"/>
    <w:rPr>
      <w:rFonts w:asciiTheme="majorHAnsi" w:eastAsiaTheme="majorEastAsia" w:hAnsiTheme="majorHAnsi" w:cstheme="majorBidi"/>
      <w:color w:val="365F91" w:themeColor="accent1" w:themeShade="BF"/>
      <w:kern w:val="2"/>
      <w:sz w:val="32"/>
      <w:szCs w:val="32"/>
      <w:lang w:val="pt-BR" w:eastAsia="en-US"/>
    </w:rPr>
  </w:style>
  <w:style w:type="character" w:customStyle="1" w:styleId="hlfld-title">
    <w:name w:val="hlfld-title"/>
    <w:basedOn w:val="Fontepargpadro"/>
    <w:rsid w:val="00FA2CC0"/>
  </w:style>
  <w:style w:type="character" w:customStyle="1" w:styleId="cit-title">
    <w:name w:val="cit-title"/>
    <w:basedOn w:val="Fontepargpadro"/>
    <w:rsid w:val="00FA2CC0"/>
  </w:style>
  <w:style w:type="character" w:customStyle="1" w:styleId="cit-year-info">
    <w:name w:val="cit-year-info"/>
    <w:basedOn w:val="Fontepargpadro"/>
    <w:rsid w:val="00FA2CC0"/>
  </w:style>
  <w:style w:type="character" w:customStyle="1" w:styleId="cit-volume">
    <w:name w:val="cit-volume"/>
    <w:basedOn w:val="Fontepargpadro"/>
    <w:rsid w:val="00FA2CC0"/>
  </w:style>
  <w:style w:type="character" w:customStyle="1" w:styleId="cit-issue">
    <w:name w:val="cit-issue"/>
    <w:basedOn w:val="Fontepargpadro"/>
    <w:rsid w:val="00FA2CC0"/>
  </w:style>
  <w:style w:type="character" w:customStyle="1" w:styleId="cit-pagerange">
    <w:name w:val="cit-pagerange"/>
    <w:basedOn w:val="Fontepargpadro"/>
    <w:rsid w:val="00FA2CC0"/>
  </w:style>
  <w:style w:type="paragraph" w:styleId="Reviso">
    <w:name w:val="Revision"/>
    <w:hidden/>
    <w:uiPriority w:val="99"/>
    <w:semiHidden/>
    <w:rsid w:val="000444D4"/>
    <w:rPr>
      <w:rFonts w:asciiTheme="minorHAnsi" w:eastAsiaTheme="minorHAnsi" w:hAnsiTheme="minorHAnsi" w:cstheme="minorBidi"/>
      <w:kern w:val="2"/>
      <w:sz w:val="22"/>
      <w:szCs w:val="22"/>
      <w:lang w:eastAsia="en-US"/>
    </w:rPr>
  </w:style>
  <w:style w:type="table" w:customStyle="1" w:styleId="a">
    <w:basedOn w:val="TableNormal2"/>
    <w:tblPr>
      <w:tblStyleRowBandSize w:val="1"/>
      <w:tblStyleColBandSize w:val="1"/>
      <w:tblCellMar>
        <w:top w:w="0" w:type="dxa"/>
        <w:left w:w="108" w:type="dxa"/>
        <w:bottom w:w="0" w:type="dxa"/>
        <w:right w:w="108" w:type="dxa"/>
      </w:tblCellMar>
    </w:tblPr>
  </w:style>
  <w:style w:type="character" w:customStyle="1" w:styleId="RodapChar">
    <w:name w:val="Rodapé Char"/>
    <w:basedOn w:val="Fontepargpadro"/>
    <w:link w:val="Rodap"/>
    <w:uiPriority w:val="99"/>
    <w:rsid w:val="00DB5EC1"/>
    <w:rPr>
      <w:noProof/>
      <w:lang w:eastAsia="en-US"/>
    </w:r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paragraph" w:styleId="PargrafodaLista">
    <w:name w:val="List Paragraph"/>
    <w:basedOn w:val="Normal"/>
    <w:uiPriority w:val="34"/>
    <w:qFormat/>
    <w:rsid w:val="00A4580D"/>
    <w:pPr>
      <w:ind w:left="720"/>
      <w:contextualSpacing/>
    </w:pPr>
  </w:style>
  <w:style w:type="character" w:customStyle="1" w:styleId="Ttulo2Char">
    <w:name w:val="Título 2 Char"/>
    <w:basedOn w:val="Fontepargpadro"/>
    <w:uiPriority w:val="9"/>
    <w:rsid w:val="00F43072"/>
    <w:rPr>
      <w:b/>
      <w:bCs/>
      <w:sz w:val="24"/>
    </w:rPr>
  </w:style>
  <w:style w:type="character" w:styleId="MenoPendente">
    <w:name w:val="Unresolved Mention"/>
    <w:basedOn w:val="Fontepargpadro"/>
    <w:uiPriority w:val="99"/>
    <w:semiHidden/>
    <w:unhideWhenUsed/>
    <w:rsid w:val="00324DCF"/>
    <w:rPr>
      <w:color w:val="605E5C"/>
      <w:shd w:val="clear" w:color="auto" w:fill="E1DFDD"/>
    </w:rPr>
  </w:style>
  <w:style w:type="table" w:styleId="TabeladeLista2">
    <w:name w:val="List Table 2"/>
    <w:basedOn w:val="Tabelanormal"/>
    <w:uiPriority w:val="47"/>
    <w:rsid w:val="0039027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314D2F"/>
    <w:pPr>
      <w:spacing w:before="100" w:beforeAutospacing="1" w:after="100" w:afterAutospacing="1"/>
      <w:jc w:val="left"/>
    </w:pPr>
  </w:style>
  <w:style w:type="character" w:styleId="nfase">
    <w:name w:val="Emphasis"/>
    <w:basedOn w:val="Fontepargpadro"/>
    <w:uiPriority w:val="20"/>
    <w:qFormat/>
    <w:rsid w:val="00314D2F"/>
    <w:rPr>
      <w:i/>
      <w:iCs/>
    </w:rPr>
  </w:style>
  <w:style w:type="character" w:styleId="Forte">
    <w:name w:val="Strong"/>
    <w:basedOn w:val="Fontepargpadro"/>
    <w:uiPriority w:val="22"/>
    <w:qFormat/>
    <w:rsid w:val="00314D2F"/>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0"/>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mbrapa.br/busca-de-publicacoes/-/publicacao/155504/palma-forrageira" TargetMode="External"/><Relationship Id="rId18" Type="http://schemas.openxmlformats.org/officeDocument/2006/relationships/hyperlink" Target="https://pubmed.ncbi.nlm.nih.gov/25248867/"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s://www.sciencedirect.com/science/article/abs/pii/S0016236122028800" TargetMode="External"/><Relationship Id="rId7" Type="http://schemas.openxmlformats.org/officeDocument/2006/relationships/footnotes" Target="footnotes.xml"/><Relationship Id="rId12" Type="http://schemas.openxmlformats.org/officeDocument/2006/relationships/hyperlink" Target="https://www.mdpi.com/1420-3049/27/17/5453" TargetMode="External"/><Relationship Id="rId17" Type="http://schemas.openxmlformats.org/officeDocument/2006/relationships/hyperlink" Target="https://editoraessentia.iff.edu.br/index.php/BolsistaDeValor/article/view/1838"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ciencedirect.com/science/article/abs/pii/S0140196322000520" TargetMode="External"/><Relationship Id="rId20" Type="http://schemas.openxmlformats.org/officeDocument/2006/relationships/hyperlink" Target="https://www.sciencedirect.com/science/article/abs/pii/S001623612202880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dpi.com/1420-3049/27/17/5453" TargetMode="External"/><Relationship Id="rId24" Type="http://schemas.openxmlformats.org/officeDocument/2006/relationships/hyperlink" Target="https://repositorio.ufsc.br/bitstream/handle/123456789/193090/PAGR-P0065-D.pdf"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sciencedirect.com/science/article/abs/pii/S0140196322000520" TargetMode="External"/><Relationship Id="rId23" Type="http://schemas.openxmlformats.org/officeDocument/2006/relationships/hyperlink" Target="https://repositorio.ufsc.br/bitstream/handle/123456789/193090/PAGR-P0065-D.pdf" TargetMode="External"/><Relationship Id="rId28" Type="http://schemas.openxmlformats.org/officeDocument/2006/relationships/footer" Target="footer2.xml"/><Relationship Id="rId10" Type="http://schemas.openxmlformats.org/officeDocument/2006/relationships/hyperlink" Target="https://www.embrapa.br/busca-de-publicacoes/-/publicacao/155504/palma-forrageira" TargetMode="External"/><Relationship Id="rId19" Type="http://schemas.openxmlformats.org/officeDocument/2006/relationships/hyperlink" Target="https://pubmed.ncbi.nlm.nih.gov/25248867/"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mbrapa.br/busca-de-publicacoes/-/publicacao/155504/palma-forrageira" TargetMode="External"/><Relationship Id="rId14" Type="http://schemas.openxmlformats.org/officeDocument/2006/relationships/hyperlink" Target="https://www.embrapa.br/busca-de-publicacoes/-/publicacao/155504/palma-forrageira" TargetMode="External"/><Relationship Id="rId22" Type="http://schemas.openxmlformats.org/officeDocument/2006/relationships/hyperlink" Target="https://ns1.editorarealize.com.br/editora/anais/conepetro/2021/TRABALHO_EV147_MD4_SA9_ID251_29032021101855.pdf" TargetMode="External"/><Relationship Id="rId27" Type="http://schemas.openxmlformats.org/officeDocument/2006/relationships/footer" Target="footer1.xm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BNT_Author.XSL" StyleName="ABNT NBR 14724:2025 - Author" Version="4"/>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UhTW6LL0nJHwfpdMABILwYFQ==">CgMxLjAyDmgucTJxMTBvd3lucjQxOAByITEzc3NWZGw0dGRNSUEzWFhDZ1ZtQmlCQWVUMlpCVkg1QQ==</go:docsCustomData>
</go:gDocsCustomXmlDataStorage>
</file>

<file path=customXml/itemProps1.xml><?xml version="1.0" encoding="utf-8"?>
<ds:datastoreItem xmlns:ds="http://schemas.openxmlformats.org/officeDocument/2006/customXml" ds:itemID="{E49698A7-895E-42F6-9BCF-9BBC5AEF5DE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6</Pages>
  <Words>2885</Words>
  <Characters>15583</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Reis</dc:creator>
  <cp:lastModifiedBy>Vitor Lima</cp:lastModifiedBy>
  <cp:revision>6</cp:revision>
  <dcterms:created xsi:type="dcterms:W3CDTF">2026-02-03T14:29:00Z</dcterms:created>
  <dcterms:modified xsi:type="dcterms:W3CDTF">2026-04-15T20:57:00Z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2021-11-04T09:12:24Z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5587a44c-12f0-4d84-98cd-f79dcdb8b2fc</vt:lpwstr>
  </property>
  <property fmtid="{D5CDD505-2E9C-101B-9397-08002B2CF9AE}" pid="8" name="MSIP_Label_549ac42a-3eb4-4074-b885-aea26bd6241e_ContentBits">
    <vt:lpwstr>0</vt:lpwstr>
  </property>
</Properties>
</file>