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CD9C" w14:textId="77777777" w:rsidR="00FA7457" w:rsidRDefault="00000000">
      <w:pPr>
        <w:pBdr>
          <w:top w:val="nil"/>
          <w:left w:val="nil"/>
          <w:bottom w:val="nil"/>
          <w:right w:val="nil"/>
          <w:between w:val="nil"/>
        </w:pBdr>
        <w:spacing w:before="240" w:after="120" w:line="360" w:lineRule="auto"/>
        <w:jc w:val="center"/>
        <w:rPr>
          <w:b/>
          <w:bCs/>
          <w:color w:val="000000"/>
          <w:sz w:val="32"/>
          <w:szCs w:val="32"/>
        </w:rPr>
      </w:pPr>
      <w:r>
        <w:rPr>
          <w:b/>
          <w:bCs/>
          <w:color w:val="000000"/>
          <w:sz w:val="32"/>
          <w:szCs w:val="32"/>
        </w:rPr>
        <w:t xml:space="preserve">A participação do município de </w:t>
      </w:r>
      <w:r>
        <w:rPr>
          <w:b/>
          <w:bCs/>
          <w:sz w:val="32"/>
          <w:szCs w:val="32"/>
        </w:rPr>
        <w:t>Canindé do São Francisco</w:t>
      </w:r>
      <w:r>
        <w:rPr>
          <w:b/>
          <w:bCs/>
          <w:color w:val="000000"/>
          <w:sz w:val="32"/>
          <w:szCs w:val="32"/>
        </w:rPr>
        <w:t xml:space="preserve"> na transição energética da região </w:t>
      </w:r>
      <w:r>
        <w:rPr>
          <w:b/>
          <w:bCs/>
          <w:sz w:val="32"/>
          <w:szCs w:val="32"/>
        </w:rPr>
        <w:t>norte da Bahia</w:t>
      </w:r>
      <w:r>
        <w:rPr>
          <w:b/>
          <w:bCs/>
          <w:color w:val="000000"/>
          <w:sz w:val="32"/>
          <w:szCs w:val="32"/>
        </w:rPr>
        <w:t>: Biocombustíveis</w:t>
      </w:r>
    </w:p>
    <w:p w14:paraId="63F9C711" w14:textId="4BECB9F7" w:rsidR="00FA7457" w:rsidRPr="00993BD1" w:rsidRDefault="00000000">
      <w:pPr>
        <w:pBdr>
          <w:top w:val="nil"/>
          <w:left w:val="nil"/>
          <w:bottom w:val="nil"/>
          <w:right w:val="nil"/>
          <w:between w:val="nil"/>
        </w:pBdr>
        <w:jc w:val="center"/>
        <w:rPr>
          <w:i/>
          <w:iCs/>
          <w:color w:val="000000"/>
          <w:vertAlign w:val="superscript"/>
        </w:rPr>
      </w:pPr>
      <w:r w:rsidRPr="00993BD1">
        <w:t>Alexandre Casé Martins, Everaldo Liberalino Silva Neto</w:t>
      </w:r>
      <w:r w:rsidRPr="00993BD1">
        <w:rPr>
          <w:vertAlign w:val="superscript"/>
        </w:rPr>
        <w:t>a</w:t>
      </w:r>
      <w:r w:rsidRPr="00993BD1">
        <w:t>, Ingrid Lohana Teixeira da Silva</w:t>
      </w:r>
      <w:r w:rsidR="00E113E1">
        <w:rPr>
          <w:vertAlign w:val="superscript"/>
        </w:rPr>
        <w:t>a</w:t>
      </w:r>
      <w:r w:rsidRPr="00993BD1">
        <w:t>*,</w:t>
      </w:r>
      <w:r w:rsidRPr="00993BD1">
        <w:rPr>
          <w:color w:val="000000"/>
        </w:rPr>
        <w:t xml:space="preserve"> </w:t>
      </w:r>
      <w:r w:rsidRPr="00993BD1">
        <w:t>Lucas Feitosa Barboza</w:t>
      </w:r>
      <w:r w:rsidRPr="00993BD1">
        <w:rPr>
          <w:vertAlign w:val="superscript"/>
        </w:rPr>
        <w:t xml:space="preserve">a, </w:t>
      </w:r>
      <w:r w:rsidRPr="00993BD1">
        <w:rPr>
          <w:color w:val="000000"/>
        </w:rPr>
        <w:t>Venancio Vitor Lima da Silva Bezerra</w:t>
      </w:r>
      <w:r w:rsidRPr="00993BD1">
        <w:rPr>
          <w:color w:val="000000"/>
          <w:vertAlign w:val="superscript"/>
        </w:rPr>
        <w:t>a,b</w:t>
      </w:r>
      <w:r w:rsidRPr="00993BD1">
        <w:rPr>
          <w:i/>
          <w:iCs/>
          <w:color w:val="000000"/>
          <w:vertAlign w:val="superscript"/>
        </w:rPr>
        <w:t xml:space="preserve"> </w:t>
      </w:r>
    </w:p>
    <w:p w14:paraId="0056B883" w14:textId="77777777" w:rsidR="00FA7457" w:rsidRDefault="00FA7457">
      <w:pPr>
        <w:pBdr>
          <w:top w:val="nil"/>
          <w:left w:val="nil"/>
          <w:bottom w:val="nil"/>
          <w:right w:val="nil"/>
          <w:between w:val="nil"/>
        </w:pBdr>
        <w:jc w:val="center"/>
        <w:rPr>
          <w:i/>
          <w:iCs/>
          <w:color w:val="000000"/>
          <w:vertAlign w:val="superscript"/>
        </w:rPr>
      </w:pPr>
    </w:p>
    <w:p w14:paraId="19F12B32" w14:textId="77777777" w:rsidR="00FA7457" w:rsidRDefault="00000000">
      <w:pPr>
        <w:pBdr>
          <w:top w:val="nil"/>
          <w:left w:val="nil"/>
          <w:bottom w:val="nil"/>
          <w:right w:val="nil"/>
          <w:between w:val="nil"/>
        </w:pBdr>
        <w:jc w:val="center"/>
        <w:rPr>
          <w:i/>
          <w:iCs/>
          <w:color w:val="000000"/>
        </w:rPr>
      </w:pPr>
      <w:r>
        <w:rPr>
          <w:i/>
          <w:iCs/>
          <w:color w:val="000000"/>
          <w:vertAlign w:val="superscript"/>
        </w:rPr>
        <w:t>a</w:t>
      </w:r>
      <w:r>
        <w:rPr>
          <w:i/>
          <w:iCs/>
          <w:color w:val="000000"/>
        </w:rPr>
        <w:t>Instituto Federal da Bahia, Paulo Afonso - BA, Brasil</w:t>
      </w:r>
    </w:p>
    <w:p w14:paraId="5412DA15" w14:textId="77777777" w:rsidR="00FA7457" w:rsidRDefault="00000000">
      <w:pPr>
        <w:pBdr>
          <w:top w:val="nil"/>
          <w:left w:val="nil"/>
          <w:bottom w:val="nil"/>
          <w:right w:val="nil"/>
          <w:between w:val="nil"/>
        </w:pBdr>
        <w:jc w:val="center"/>
        <w:rPr>
          <w:i/>
          <w:iCs/>
          <w:color w:val="000000"/>
        </w:rPr>
      </w:pPr>
      <w:r>
        <w:rPr>
          <w:i/>
          <w:iCs/>
          <w:color w:val="000000"/>
          <w:vertAlign w:val="superscript"/>
        </w:rPr>
        <w:t>b</w:t>
      </w:r>
      <w:r>
        <w:rPr>
          <w:i/>
          <w:iCs/>
          <w:color w:val="000000"/>
        </w:rPr>
        <w:t>Universidade Federal de Alagoas, Maceió – AL, Brasil</w:t>
      </w:r>
    </w:p>
    <w:p w14:paraId="72453352" w14:textId="4EA9C3D4" w:rsidR="00FA7457" w:rsidRDefault="00000000">
      <w:pPr>
        <w:pBdr>
          <w:top w:val="nil"/>
          <w:left w:val="nil"/>
          <w:bottom w:val="nil"/>
          <w:right w:val="nil"/>
          <w:between w:val="nil"/>
        </w:pBdr>
        <w:jc w:val="center"/>
        <w:rPr>
          <w:i/>
          <w:iCs/>
          <w:color w:val="000000"/>
        </w:rPr>
      </w:pPr>
      <w:r>
        <w:rPr>
          <w:i/>
          <w:iCs/>
          <w:color w:val="000000"/>
        </w:rPr>
        <w:t>*2025100500</w:t>
      </w:r>
      <w:r w:rsidR="00A74040">
        <w:rPr>
          <w:i/>
          <w:iCs/>
          <w:color w:val="000000"/>
        </w:rPr>
        <w:t>09</w:t>
      </w:r>
      <w:r>
        <w:rPr>
          <w:i/>
          <w:iCs/>
          <w:color w:val="000000"/>
        </w:rPr>
        <w:t>@ifba.edu.br</w:t>
      </w:r>
    </w:p>
    <w:p w14:paraId="63CEBF15" w14:textId="77777777" w:rsidR="00FA7457" w:rsidRDefault="00000000">
      <w:pPr>
        <w:pStyle w:val="Ttulo1"/>
        <w:rPr>
          <w:sz w:val="28"/>
          <w:szCs w:val="28"/>
        </w:rPr>
      </w:pPr>
      <w:r>
        <w:rPr>
          <w:sz w:val="28"/>
          <w:szCs w:val="28"/>
        </w:rPr>
        <w:t>RESUMO</w:t>
      </w:r>
    </w:p>
    <w:p w14:paraId="0D8570DC" w14:textId="77777777" w:rsidR="00FA7457" w:rsidRDefault="00FA7457">
      <w:pPr>
        <w:pBdr>
          <w:top w:val="nil"/>
          <w:left w:val="nil"/>
          <w:bottom w:val="nil"/>
          <w:right w:val="nil"/>
          <w:between w:val="nil"/>
        </w:pBdr>
        <w:rPr>
          <w:color w:val="000000"/>
        </w:rPr>
      </w:pPr>
    </w:p>
    <w:p w14:paraId="7DF75C9C" w14:textId="77777777" w:rsidR="001F2A59" w:rsidRPr="001F2A59" w:rsidRDefault="001F2A59" w:rsidP="001F2A59">
      <w:pPr>
        <w:pBdr>
          <w:top w:val="nil"/>
          <w:left w:val="nil"/>
          <w:bottom w:val="nil"/>
          <w:right w:val="nil"/>
          <w:between w:val="nil"/>
        </w:pBdr>
        <w:rPr>
          <w:color w:val="000000"/>
        </w:rPr>
      </w:pPr>
      <w:r w:rsidRPr="001F2A59">
        <w:rPr>
          <w:color w:val="000000"/>
        </w:rPr>
        <w:t>O município de Canindé do São Francisco, situado no semiárido sergipano, apresenta grande potencial para integrar a transição energética da região norte da Bahia por meio da produção de biocombustíveis. O estudo identificou quatro biomassas estratégicas: mamona, palma forrageira, pinhão-manso e moringa. A mamona se destaca pelo alto teor de óleo rico em ácido ricinoleico, adequado para biodiesel, HVO e SAF; a palma forrageira, pela elevada concentração de açúcares e carboidratos, que favorecem a produção de bioetanol e biogás; o pinhão-manso, pelo óleo com perfil oleico-linoleico, que possibilita biodiesel de qualidade e aproveitamento energético dos resíduos; e a moringa, cujas sementes produzem óleo de alta estabilidade oxidativa, com rendimento expressivo na transesterificação para biodiesel. O artigo conclui que, com investimentos adequados, Canindé do São Francisco pode se tornar um polo relevante na transição energética, contribuindo para o desenvolvimento sustentável e para a revitalização socioambiental do Vale do São Francisco.</w:t>
      </w:r>
    </w:p>
    <w:p w14:paraId="33AE90B3" w14:textId="77777777" w:rsidR="001F2A59" w:rsidRDefault="001F2A59">
      <w:pPr>
        <w:pBdr>
          <w:top w:val="nil"/>
          <w:left w:val="nil"/>
          <w:bottom w:val="nil"/>
          <w:right w:val="nil"/>
          <w:between w:val="nil"/>
        </w:pBdr>
        <w:rPr>
          <w:color w:val="000000"/>
        </w:rPr>
      </w:pPr>
    </w:p>
    <w:p w14:paraId="53474E6F" w14:textId="316E40C9" w:rsidR="00FA7457" w:rsidRPr="001F2A59" w:rsidRDefault="00000000">
      <w:pPr>
        <w:pBdr>
          <w:top w:val="nil"/>
          <w:left w:val="nil"/>
          <w:bottom w:val="nil"/>
          <w:right w:val="nil"/>
          <w:between w:val="nil"/>
        </w:pBdr>
        <w:rPr>
          <w:i/>
          <w:iCs/>
          <w:color w:val="000000"/>
        </w:rPr>
      </w:pPr>
      <w:r>
        <w:rPr>
          <w:b/>
          <w:bCs/>
          <w:color w:val="000000"/>
        </w:rPr>
        <w:t>Palavras-chave</w:t>
      </w:r>
      <w:r>
        <w:rPr>
          <w:color w:val="000000"/>
        </w:rPr>
        <w:t xml:space="preserve">: </w:t>
      </w:r>
      <w:r w:rsidR="001F2A59">
        <w:rPr>
          <w:i/>
          <w:iCs/>
          <w:color w:val="000000"/>
        </w:rPr>
        <w:t>Biocombustíveis, Mamona, Palma Forrageira, Pinhão-Manso, Moringa</w:t>
      </w:r>
    </w:p>
    <w:p w14:paraId="7198E019" w14:textId="77777777" w:rsidR="00FA7457" w:rsidRDefault="00FA7457">
      <w:pPr>
        <w:pBdr>
          <w:top w:val="nil"/>
          <w:left w:val="nil"/>
          <w:bottom w:val="nil"/>
          <w:right w:val="nil"/>
          <w:between w:val="nil"/>
        </w:pBdr>
      </w:pPr>
    </w:p>
    <w:p w14:paraId="10DA0EE1" w14:textId="77777777" w:rsidR="00FA7457" w:rsidRDefault="00000000">
      <w:pPr>
        <w:pStyle w:val="Ttulo1"/>
        <w:numPr>
          <w:ilvl w:val="0"/>
          <w:numId w:val="1"/>
        </w:numPr>
        <w:ind w:left="708" w:hanging="363"/>
        <w:rPr>
          <w:sz w:val="28"/>
          <w:szCs w:val="28"/>
        </w:rPr>
      </w:pPr>
      <w:r>
        <w:rPr>
          <w:sz w:val="28"/>
          <w:szCs w:val="28"/>
        </w:rPr>
        <w:t>INTRODUÇÃO</w:t>
      </w:r>
    </w:p>
    <w:p w14:paraId="18798184" w14:textId="77777777" w:rsidR="00FA7457" w:rsidRDefault="00000000">
      <w:pPr>
        <w:ind w:firstLine="708"/>
      </w:pPr>
      <w:r>
        <w:t>A busca por fontes alternativas aos combustíveis fósseis tem se intensificado na contemporaneidade, principalmente diante da necessidade de reduzir impactos ambientais e promover o uso de energias renováveis. Nesse contexto, os biocombustíveis se destacam por serem produzidos a partir de biomassas, especialmente de origem vegetal, contribuindo para o desenvolvimento sustentável e a diversificação da matriz energética.</w:t>
      </w:r>
    </w:p>
    <w:p w14:paraId="086A6C24" w14:textId="77777777" w:rsidR="00FA7457" w:rsidRDefault="00000000">
      <w:pPr>
        <w:ind w:firstLine="708"/>
      </w:pPr>
      <w:r>
        <w:t>O Brasil apresenta grande potencial nesse setor devido às suas condições naturais favoráveis e à diversidade de culturas agrícolas. O município de Canindé do São Francisco, localizado no estado de Sergipe, possui características típicas do semiárido, com predomínio da agricultura e da pecuária como base econômica. De acordo com a EMDAGRO (2021), a produção local é marcada pela presença de culturas resistentes, incluindo oleaginosas e forrageiras adaptadas às condições climáticas da região. Entre as principais biomassas encontradas no município, destacam-se a mamona, o pinhão-manso, a moringa e a palma, todas com potencial para uso energético.</w:t>
      </w:r>
    </w:p>
    <w:p w14:paraId="75C3439E" w14:textId="77777777" w:rsidR="00FA7457" w:rsidRDefault="00000000">
      <w:pPr>
        <w:ind w:firstLine="708"/>
      </w:pPr>
      <w:r>
        <w:lastRenderedPageBreak/>
        <w:t>Dessa forma, este trabalho tem como objetivo analisar a utilização dessas biomassas no município de Canindé do São Francisco para a produção de biocombustíveis, discutindo seu potencial no contexto da transição energética regional.</w:t>
      </w:r>
    </w:p>
    <w:p w14:paraId="5F05FA7C" w14:textId="77777777" w:rsidR="00FA7457" w:rsidRDefault="00000000">
      <w:pPr>
        <w:pStyle w:val="Ttulo1"/>
        <w:numPr>
          <w:ilvl w:val="0"/>
          <w:numId w:val="1"/>
        </w:numPr>
        <w:rPr>
          <w:sz w:val="28"/>
          <w:szCs w:val="28"/>
        </w:rPr>
      </w:pPr>
      <w:r>
        <w:rPr>
          <w:sz w:val="28"/>
          <w:szCs w:val="28"/>
        </w:rPr>
        <w:t>METODOLOGIA</w:t>
      </w:r>
    </w:p>
    <w:p w14:paraId="2CB8048D" w14:textId="6372C4F9" w:rsidR="00FA7457" w:rsidRDefault="00000000" w:rsidP="00993BD1">
      <w:pPr>
        <w:ind w:firstLine="720"/>
      </w:pPr>
      <w:r>
        <w:t>A identificação das biomassas produzidas no município de Canindé do São Francisco foi desenvolvida por meio de consulta a sítios eletrônicos de órgãos públicos e publicações científicas. A partir desses dados, foi feito um levantamento das principais espécies agrícolas presentes na região e, em seguida, uma revisão bibliográfica para selecionar aquelas com potencial para a produção de biocombustíveis. As biomassas selecionadas foram então analisadas quanto à sua composição físico-química, a fim de identificar seus principais compostos e as possíveis rotas de conversão energética aplicáveis. Dessa forma, buscou-se avaliar a viabilidade da utilização dessas matérias-primas para a produção de biocombustíveis no contexto do município estudado (EMDAGRO, 2021)</w:t>
      </w:r>
    </w:p>
    <w:p w14:paraId="2A93573C" w14:textId="77777777" w:rsidR="00FA7457" w:rsidRDefault="00000000">
      <w:pPr>
        <w:pStyle w:val="Ttulo1"/>
        <w:numPr>
          <w:ilvl w:val="0"/>
          <w:numId w:val="1"/>
        </w:numPr>
        <w:rPr>
          <w:sz w:val="28"/>
          <w:szCs w:val="28"/>
        </w:rPr>
      </w:pPr>
      <w:r>
        <w:rPr>
          <w:sz w:val="28"/>
          <w:szCs w:val="28"/>
        </w:rPr>
        <w:t>RESULTADOS</w:t>
      </w:r>
    </w:p>
    <w:p w14:paraId="7186739B" w14:textId="541233B1" w:rsidR="00FA7457" w:rsidRDefault="00000000">
      <w:pPr>
        <w:ind w:firstLine="720"/>
      </w:pPr>
      <w:r>
        <w:t xml:space="preserve">O município de Canindé do São Francisco apresenta diversas biomassas, como Mamona, Soja, Milho, Pinhão-manso, Moringa e Palma. Porém, apenas a Mamona, Pinhão-manso, Moringa e Palma encontram-se em uma situação vantajosa para a produção de biocombustíveis nesta região. Estando presente em maior quantidade na agricultura da cidade e apresentando mais adaptabilidade ao clima do semiárido, estas espécies apresentam potencial para a produção de diferentes tipos de combustíveis sustentáveis. </w:t>
      </w:r>
    </w:p>
    <w:p w14:paraId="4E0E0734" w14:textId="77777777" w:rsidR="00FA7457" w:rsidRDefault="00000000">
      <w:pPr>
        <w:pStyle w:val="Ttulo2"/>
        <w:numPr>
          <w:ilvl w:val="1"/>
          <w:numId w:val="1"/>
        </w:numPr>
      </w:pPr>
      <w:bookmarkStart w:id="0" w:name="_heading=h.uaxawzow1ys5" w:colFirst="0" w:colLast="0"/>
      <w:bookmarkEnd w:id="0"/>
      <w:r>
        <w:t>Mamona (</w:t>
      </w:r>
      <w:r>
        <w:rPr>
          <w:i/>
          <w:iCs/>
        </w:rPr>
        <w:t>Ricinus communis L.</w:t>
      </w:r>
      <w:r>
        <w:t>)</w:t>
      </w:r>
    </w:p>
    <w:p w14:paraId="0B374683" w14:textId="77777777" w:rsidR="00FA7457" w:rsidRDefault="00000000">
      <w:pPr>
        <w:ind w:firstLine="708"/>
      </w:pPr>
      <w:r>
        <w:t>A mamona (</w:t>
      </w:r>
      <w:r w:rsidRPr="002B6A88">
        <w:rPr>
          <w:i/>
          <w:iCs/>
        </w:rPr>
        <w:t>Ricinus communis L.</w:t>
      </w:r>
      <w:r>
        <w:t xml:space="preserve">) é uma oleaginosa altamente adaptada ao clima semiárido e a solos de baixa fertilidade, condições típicas de Canindé do São Francisco, onde predomina solo raso, arenoso e de drenagem razoável (EMBRAPA, 2003; EMBRAPA, 1999). </w:t>
      </w:r>
    </w:p>
    <w:p w14:paraId="6298C34A" w14:textId="77777777" w:rsidR="00FA7457" w:rsidRDefault="00000000">
      <w:pPr>
        <w:ind w:firstLine="708"/>
      </w:pPr>
      <w:r>
        <w:t>A cultura apresenta rendimento de óleo em torno de 50% da massa das sementes, com predominância de ácido ricinoleico (C18:2OH), que compõe cerca de 80–90% dos triglicerídeos das cultivares comerciais, conferindo ao óleo alta viscosidade, estabilidade térmica e boa lubrificação (EMBRAPA, 2005). Essas características fazem da mamona biomassa estratégica para a produção de biodiesel bem como para derivados como Biodiesel, Óleo Vegetal Hidrotratado (HVO) e Combustível Sustentável de Aviação (SAF), embora exija etapas adicionais de desinsaturação e remoção do grupo hidroxila para uso refinado (EMBRAPA, 2005; CONAFER, 2025).</w:t>
      </w:r>
    </w:p>
    <w:p w14:paraId="1988D476" w14:textId="77777777" w:rsidR="00FA7457" w:rsidRDefault="00000000">
      <w:pPr>
        <w:pStyle w:val="Ttulo2"/>
        <w:numPr>
          <w:ilvl w:val="1"/>
          <w:numId w:val="1"/>
        </w:numPr>
      </w:pPr>
      <w:bookmarkStart w:id="1" w:name="_heading=h.8p49rjcb9g76" w:colFirst="0" w:colLast="0"/>
      <w:bookmarkEnd w:id="1"/>
      <w:r>
        <w:t>Palma forrageira (</w:t>
      </w:r>
      <w:r>
        <w:rPr>
          <w:i/>
          <w:iCs/>
        </w:rPr>
        <w:t>Opuntia spp.</w:t>
      </w:r>
      <w:r>
        <w:t>)</w:t>
      </w:r>
    </w:p>
    <w:p w14:paraId="314B7FE5" w14:textId="7C6B1461" w:rsidR="00FA7457" w:rsidRDefault="00000000">
      <w:pPr>
        <w:ind w:firstLine="708"/>
      </w:pPr>
      <w:r>
        <w:t>A palma forrageira (</w:t>
      </w:r>
      <w:r>
        <w:rPr>
          <w:i/>
          <w:iCs/>
        </w:rPr>
        <w:t>Opuntia spp.</w:t>
      </w:r>
      <w:r>
        <w:t xml:space="preserve">) é uma cultura altamente adaptada ao semiárido nordestino, incluindo o entorno do vale do São Francisco, onde se situa Canindé do São Francisco, devido à sua tolerância à escassez hídrica, às altas temperaturas e aos solos de baixa fertilidade (EMDAGRO, 2019; FAEC/SENAR, 2021). A cultura apresenta teores de carboidratos e açúcares entre 30% e 50% da matéria seca, o que a torna atrativa para processos de conversão energética, como produção de bioetanol e biogás, especialmente quando se utilizam partes da biomassa de baixa qualidade forrageira (RIBEIRO, 2019; HUSSEIN et al., 2022). </w:t>
      </w:r>
    </w:p>
    <w:p w14:paraId="3876438B" w14:textId="77777777" w:rsidR="00FA7457" w:rsidRDefault="00000000">
      <w:pPr>
        <w:ind w:firstLine="708"/>
      </w:pPr>
      <w:r>
        <w:lastRenderedPageBreak/>
        <w:t>Além do uso energético, a palma funciona como cobertura viva ou bordadura, auxiliando na proteção do solo contra erosão por impacto de gotas de chuva, o que é relevante em áreas de aclive com solos pobres, típicas do semiárido de Canindé do São Francisco (FAEC/SENAR, 2021; EMDAGRO, 2019). A combinação de tolerância à seca, baixa exigência de fertilização e alta produtividade em solos degradados reforça o papel da palma como biomassa estratégica para sistemas integrados de produção de biogás, etanol e forragem no vale do São Francisco (RIBEIRO, 2019; HUSSEIN et al., 2022).</w:t>
      </w:r>
    </w:p>
    <w:p w14:paraId="2C09ECAF" w14:textId="77777777" w:rsidR="00FA7457" w:rsidRDefault="00000000">
      <w:pPr>
        <w:pStyle w:val="Ttulo2"/>
        <w:numPr>
          <w:ilvl w:val="1"/>
          <w:numId w:val="1"/>
        </w:numPr>
      </w:pPr>
      <w:bookmarkStart w:id="2" w:name="_heading=h.dwyb8v9bu62f" w:colFirst="0" w:colLast="0"/>
      <w:bookmarkEnd w:id="2"/>
      <w:r>
        <w:t>Pinhão-manso (</w:t>
      </w:r>
      <w:r>
        <w:rPr>
          <w:i/>
          <w:iCs/>
        </w:rPr>
        <w:t>Jatropha curcas</w:t>
      </w:r>
      <w:r>
        <w:t>)</w:t>
      </w:r>
    </w:p>
    <w:p w14:paraId="404F255F" w14:textId="743A36FC" w:rsidR="00FA7457" w:rsidRDefault="00000000" w:rsidP="00DB3290">
      <w:r>
        <w:tab/>
        <w:t>O pinhão-manso (</w:t>
      </w:r>
      <w:r w:rsidRPr="00DB3290">
        <w:t>Jatropha curcas</w:t>
      </w:r>
      <w:r>
        <w:t xml:space="preserve"> L.), no contexto específico do município de Canindé de São Francisco, apresenta condições ecológicas particularmente favoráveis ao seu desenvolvimento</w:t>
      </w:r>
      <w:r w:rsidR="00DB3290">
        <w:t xml:space="preserve"> </w:t>
      </w:r>
      <w:r>
        <w:t>(INFOSANBAS, 2026).</w:t>
      </w:r>
    </w:p>
    <w:p w14:paraId="37597392" w14:textId="5D6D71E2" w:rsidR="00FA7457" w:rsidRPr="00DB3290" w:rsidRDefault="00000000" w:rsidP="00DB3290">
      <w:pPr>
        <w:ind w:firstLine="720"/>
      </w:pPr>
      <w:r>
        <w:t>Estudos realizados com genótipos de diferentes origens confirmam essa tendência: os principais ácidos graxos encontrados nas amostras de óleo foram</w:t>
      </w:r>
      <w:r w:rsidR="00DB3290">
        <w:t>:</w:t>
      </w:r>
      <w:r>
        <w:t xml:space="preserve"> oleico (41,5–48,8%), linoleico (34,6–44,4%), palmítico (10,5–13,0%) e esteárico (2,3–2,8%). Análise cromatográfica conduzida por Moura </w:t>
      </w:r>
      <w:r w:rsidR="00A74040">
        <w:t>e colaboradores</w:t>
      </w:r>
      <w:r>
        <w:t xml:space="preserve"> (2019) identificou especificamente o ácido oleico como o componente majoritário, com 50,4%, reforçando o padrão oleico-linoleico que, conforme destacado pela literatura internacional, torna o óleo de </w:t>
      </w:r>
      <w:r w:rsidRPr="00DB3290">
        <w:t>J. curcas</w:t>
      </w:r>
      <w:r>
        <w:t xml:space="preserve"> adequado como biocombustível em motores de combustão interna, sem exigir modificações significativas no projeto dos motores.</w:t>
      </w:r>
    </w:p>
    <w:p w14:paraId="2DB5491F" w14:textId="77777777" w:rsidR="008B4D55" w:rsidRPr="00DB3290" w:rsidRDefault="00000000" w:rsidP="00DB3290">
      <w:pPr>
        <w:ind w:firstLine="720"/>
      </w:pPr>
      <w:r>
        <w:t xml:space="preserve">A produção de biocombustíveis a partir do pinhão-manso envolve diferentes rotas tecnológicas, com destaque para a transesterificação do óleo extraído de suas sementes, que constitui a forma mais consolidada de obtenção de biodiesel. Esse óleo apresenta propriedades físico-químicas favoráveis, como baixo índice de acidez (~0,59 mg KOH/g), índice de saponificação adequado (~139 mg KOH/g) e elevada estabilidade térmica (acima de 200°C, com onset próximo de 400°C), além de um perfil rico em ácido oleico (50,4%), o que o torna apropriado para uso energético. No Brasil, seu cultivo foi incentivado pelo Programa Nacional de Produção e Uso de Biodiesel (PNPB), especialmente no Nordeste, como alternativa de geração de renda no meio rural. </w:t>
      </w:r>
    </w:p>
    <w:p w14:paraId="69961167" w14:textId="0E3F4E8E" w:rsidR="00FA7457" w:rsidRDefault="00000000" w:rsidP="00DB3290">
      <w:pPr>
        <w:ind w:firstLine="720"/>
      </w:pPr>
      <w:r>
        <w:t>Além do biodiesel, o óleo bruto pode ser utilizado diretamente como combustível em motores adaptados, na forma de óleo vegetal puro (OVP), graças à sua viscosidade cinemática (37,4 mm²/s) e densidade (0,9155 g/mL), próximas às do diesel mineral. Além disso, toda a cadeia produtiva possibilita aproveitamento energético: a torta residual da extração, rica em proteínas (31% a 34,5%), pode ser utilizada na produção de biogás e biometano por digestão anaeróbia ou como fertilizante após detoxificação, enquanto a biomassa lignocelulósica (galhos, cascas e folhas) pode ser convertida por pirólise ou gaseificação em biocarvão, bio-óleo e syngas.</w:t>
      </w:r>
    </w:p>
    <w:p w14:paraId="3D267AE7" w14:textId="3B7D03AA" w:rsidR="00FA7457" w:rsidRDefault="00000000" w:rsidP="00DB3290">
      <w:pPr>
        <w:pStyle w:val="Ttulo2"/>
        <w:numPr>
          <w:ilvl w:val="1"/>
          <w:numId w:val="1"/>
        </w:numPr>
      </w:pPr>
      <w:bookmarkStart w:id="3" w:name="_heading=h.22dwhalinfm7" w:colFirst="0" w:colLast="0"/>
      <w:bookmarkEnd w:id="3"/>
      <w:r>
        <w:t>Moringa (</w:t>
      </w:r>
      <w:r w:rsidRPr="00A74040">
        <w:rPr>
          <w:i/>
          <w:iCs/>
        </w:rPr>
        <w:t>Moringa oleifera</w:t>
      </w:r>
      <w:r>
        <w:t>)</w:t>
      </w:r>
    </w:p>
    <w:p w14:paraId="0845CBA2" w14:textId="77777777" w:rsidR="00FA7457" w:rsidRDefault="00000000" w:rsidP="00A74040">
      <w:pPr>
        <w:ind w:firstLine="720"/>
      </w:pPr>
      <w:r>
        <w:t>A moringa (</w:t>
      </w:r>
      <w:r w:rsidRPr="00DB3290">
        <w:t>Moringa oleifera</w:t>
      </w:r>
      <w:r>
        <w:t xml:space="preserve"> Lam.), tem grande potencial para a produção de biocombustível no município de Canindé de São Francisco, uma vez que se adapta a variadas condições climáticas (temperatura média anual de 25,8°C, precipitação de 485,5 mm/ano e território composto integralmente pelo bioma Caatinga), com suas sementes produzindo entre 35% a 40% de óleo (EMBRAPA, 2019). </w:t>
      </w:r>
    </w:p>
    <w:p w14:paraId="78A1C5EA" w14:textId="77777777" w:rsidR="00FA7457" w:rsidRDefault="00000000" w:rsidP="00A74040">
      <w:pPr>
        <w:ind w:firstLine="720"/>
      </w:pPr>
      <w:r>
        <w:lastRenderedPageBreak/>
        <w:t xml:space="preserve">A principal fração de interesse energético da moringa é a semente madura, cujo valor reside na combinação de elevado teor lipídico com alta qualidade do óleo extraído. As sementes apresentam valor especial do ponto de vista econômico, visto que, uma vez amadurecidas, rendem 38–40% de óleo vegetal incolor e inodoro. Em termos de composição proteica, as sementes são ricas em proteínas (33,90%) e lipídeos (37,20%). </w:t>
      </w:r>
    </w:p>
    <w:p w14:paraId="71328775" w14:textId="77777777" w:rsidR="00FA7457" w:rsidRDefault="00000000" w:rsidP="00A74040">
      <w:pPr>
        <w:ind w:firstLine="720"/>
      </w:pPr>
      <w:r>
        <w:t>O óleo bruto extraído das sementes contém os seguintes ácidos graxos: palmítico (7%), palmitoleico (2%), esteárico (4%), oleico (78%), linoleico (1%), araquídico (4%) e behênico (4%), perfil que o posiciona como um dos óleos vegetais de maior concentração em ácidos graxos monoinsaturados entre as espécies cultiváveis no semiárido. Sendo o ácido behênico (C22:0), componente raro em outros óleos vegetais, o responsável pela excepcional resistência à oxidação do óleo e do biodiesel dela derivado. O biodiesel de moringa apresentou viscosidade e massa específica dentro das determinações exigidas pela ANP, indicando grande potencial do óleo da moringa oleífera para a produção de biocombustível, com a vantagem adicional de facilitar o transporte e o armazenamento do combustível em condições tropicais (PASSOS et al., 2012).</w:t>
      </w:r>
    </w:p>
    <w:p w14:paraId="3A83919C" w14:textId="77777777" w:rsidR="00FA7457" w:rsidRDefault="00000000" w:rsidP="00DB3290">
      <w:r>
        <w:t xml:space="preserve">A principal rota de biocombustível a partir da </w:t>
      </w:r>
      <w:r w:rsidRPr="00DB3290">
        <w:t>Moringa oleifera</w:t>
      </w:r>
      <w:r>
        <w:t xml:space="preserve"> é a produção de biodiesel por transesterificação do óleo extraído das sementes, processo tecnicamente validado por diversas pesquisas brasileiras e internacionais. Estudo publicado no periódico </w:t>
      </w:r>
      <w:r w:rsidRPr="00DB3290">
        <w:t>HOLOS</w:t>
      </w:r>
      <w:r>
        <w:t xml:space="preserve"> (IFRN) demonstrou que o biodiesel foi produzido pela rota metílica com catalisador KOH, fornecendo rendimento de 83,68% em biodiesel e conversão dos ácidos graxos em ésteres metílicos de 99,9% — resultado que evidencia a eficiência quase total da conversão.</w:t>
      </w:r>
    </w:p>
    <w:p w14:paraId="6475DC1F" w14:textId="029A42A2" w:rsidR="00FA7457" w:rsidRDefault="00000000" w:rsidP="00DB3290">
      <w:r>
        <w:t>Além do biodiesel convencional, o óleo de moringa apresenta potencial para uso direto como óleo vegetal puro (OVP) em motores adaptados, aproveitando a viscosidade cinemática de 43,34 cSt (40°C) e o elevado ponto de fulgor. A biomassa residual do processo — torta de prensagem com ~33,9% de proteína bruta — pode ser submetida à digestão anaeróbia para produção de biogás, ou aproveitada como fertilizante orgânico e suplemento animal após processamento adequado.</w:t>
      </w:r>
    </w:p>
    <w:p w14:paraId="1DF82929" w14:textId="77777777" w:rsidR="00DB3290" w:rsidRDefault="00DB3290" w:rsidP="00DB3290"/>
    <w:p w14:paraId="188A71EC" w14:textId="77777777" w:rsidR="00FA7457" w:rsidRDefault="00000000">
      <w:pPr>
        <w:pStyle w:val="Ttulo1"/>
        <w:numPr>
          <w:ilvl w:val="0"/>
          <w:numId w:val="1"/>
        </w:numPr>
        <w:rPr>
          <w:sz w:val="28"/>
          <w:szCs w:val="28"/>
        </w:rPr>
      </w:pPr>
      <w:bookmarkStart w:id="4" w:name="_heading=h.by2lsekdptk2" w:colFirst="0" w:colLast="0"/>
      <w:bookmarkEnd w:id="4"/>
      <w:r>
        <w:rPr>
          <w:sz w:val="28"/>
          <w:szCs w:val="28"/>
        </w:rPr>
        <w:t>CONCLUSÃO</w:t>
      </w:r>
    </w:p>
    <w:p w14:paraId="12412A5A" w14:textId="77777777" w:rsidR="00FA7457" w:rsidRDefault="00000000">
      <w:pPr>
        <w:ind w:firstLine="720"/>
      </w:pPr>
      <w:r>
        <w:t>Canindé do São Francisco é uma cidade que, com o investimento certo, pode ser de grande importância para a transição energética na região do semiárido, apresentando não só as biomassas discorridas neste trabalho, como também produção significante de outros tipos de matéria prima cujo podem apresentar mais oportunidades na área futuramente. Desta forma, comprova-se mais uma vez que as cidades presentes no território Sertanejo, de uma maneira geral, têm potencial para participar ativamente numa caminhada para um futuro sustentável, seja na produção de biocombustíveis ou em pesquisas voltadas para a revitalização do São Francisco e consequentemente, do meio ambiente.</w:t>
      </w:r>
    </w:p>
    <w:p w14:paraId="69027A56" w14:textId="77777777" w:rsidR="00FA7457" w:rsidRDefault="00FA7457"/>
    <w:p w14:paraId="1F1C2590" w14:textId="77777777" w:rsidR="00FA7457" w:rsidRDefault="00000000">
      <w:pPr>
        <w:pStyle w:val="Ttulo1"/>
      </w:pPr>
      <w:bookmarkStart w:id="5" w:name="_heading=h.arm9c59h2vkm" w:colFirst="0" w:colLast="0"/>
      <w:bookmarkEnd w:id="5"/>
      <w:r>
        <w:rPr>
          <w:sz w:val="28"/>
          <w:szCs w:val="28"/>
        </w:rPr>
        <w:t>REFERÊNCIAS</w:t>
      </w:r>
    </w:p>
    <w:p w14:paraId="15D9C382" w14:textId="77777777" w:rsidR="00FA7457" w:rsidRDefault="00000000">
      <w:pPr>
        <w:spacing w:before="240" w:after="240"/>
      </w:pPr>
      <w:r>
        <w:t>EMBRAPA. Mamona – relações com o solo. Embrapa Informação Tecnológica, 2022.</w:t>
      </w:r>
    </w:p>
    <w:p w14:paraId="5E2DFC8F" w14:textId="77777777" w:rsidR="00FA7457" w:rsidRDefault="00000000">
      <w:pPr>
        <w:spacing w:before="240" w:after="240"/>
      </w:pPr>
      <w:r>
        <w:t>EMBRAPA. Desenvolvimento da mamona no Nordeste tem apoio da Embrapa. Embrapa Notícias, 2003.</w:t>
      </w:r>
    </w:p>
    <w:p w14:paraId="253EEBD8" w14:textId="77777777" w:rsidR="00FA7457" w:rsidRDefault="00000000">
      <w:pPr>
        <w:spacing w:before="240" w:after="240"/>
      </w:pPr>
      <w:r>
        <w:lastRenderedPageBreak/>
        <w:t>EMBRAPA. Agricultura no semi‑árido brasileiro. In: Agricultura tropical. Brasília, DF: Embrapa, 1999. Cap. X, p. 453–491.</w:t>
      </w:r>
    </w:p>
    <w:p w14:paraId="79EA748A" w14:textId="77777777" w:rsidR="00FA7457" w:rsidRDefault="00000000">
      <w:pPr>
        <w:spacing w:before="240" w:after="240"/>
      </w:pPr>
      <w:r>
        <w:t>EMBRAPA ALGODÃO. O cultivo sustentável da mamona no semiárido brasileiro. Documentos, n. 100. Campina Grande, PB: Embrapa, 2005.</w:t>
      </w:r>
    </w:p>
    <w:p w14:paraId="3285BF61" w14:textId="77777777" w:rsidR="00FA7457" w:rsidRDefault="00000000">
      <w:pPr>
        <w:spacing w:before="240" w:after="240"/>
      </w:pPr>
      <w:r>
        <w:t>Agrolink. Mamona ganha destaque na recuperação de solos degradados e impulsiona a agricultura regenerativa. Agrolink Notícias, 2025.</w:t>
      </w:r>
    </w:p>
    <w:p w14:paraId="500BBFC8" w14:textId="77777777" w:rsidR="00FA7457" w:rsidRDefault="00000000">
      <w:pPr>
        <w:spacing w:before="240" w:after="240"/>
      </w:pPr>
      <w:r>
        <w:t>CONAFER. Zoneamento agrícola da mamona: cultura é alternativa de geração de emprego e renda no semiárido nordestino. 2025.</w:t>
      </w:r>
    </w:p>
    <w:p w14:paraId="6DC949CC" w14:textId="77777777" w:rsidR="00FA7457" w:rsidRDefault="00000000">
      <w:pPr>
        <w:spacing w:before="240" w:after="240"/>
      </w:pPr>
      <w:r>
        <w:t>EMDAGRO. Variedades de palmas trazem resistência à praga e dá segurança a agricultores do sertão. Sergipe: Emdagro, 2019.</w:t>
      </w:r>
    </w:p>
    <w:p w14:paraId="5E2117C2" w14:textId="77777777" w:rsidR="00FA7457" w:rsidRDefault="00000000">
      <w:pPr>
        <w:spacing w:before="240" w:after="240"/>
      </w:pPr>
      <w:r>
        <w:t>FAEC/SENAR. Manejo e utilização da palma forrageira são ampliados no Ceará. Fortaleza, CE: FAEC/SENAR, 2021.</w:t>
      </w:r>
    </w:p>
    <w:p w14:paraId="36996909" w14:textId="77777777" w:rsidR="00FA7457" w:rsidRDefault="00000000">
      <w:pPr>
        <w:spacing w:before="240" w:after="240"/>
      </w:pPr>
      <w:r>
        <w:t>RIBEIRO, R. M. R. Produção de palma forrageira no semiárido brasileiro. 2023. 118 p. Tese (Doutorado em Ciências Agrárias) – Universidade Federal do Ceará, Fortaleza, 2023.</w:t>
      </w:r>
    </w:p>
    <w:p w14:paraId="365F45E7" w14:textId="77777777" w:rsidR="00FA7457" w:rsidRDefault="00000000">
      <w:pPr>
        <w:spacing w:before="240" w:after="240"/>
      </w:pPr>
      <w:r>
        <w:t>HUSSEIN, A. A. et al. Opuntia spp. in biogas production. In: Sustainable biogas technology. Berlin: Springer, 2022. p. 747–774.</w:t>
      </w:r>
    </w:p>
    <w:p w14:paraId="00097B46" w14:textId="77777777" w:rsidR="00FA7457" w:rsidRDefault="00000000">
      <w:pPr>
        <w:spacing w:before="240" w:after="240"/>
      </w:pPr>
      <w:r>
        <w:t>YANG, S. et al. Biomass characterization of Agave and Opuntia as water‑use efficient bioenergy crops suitable for semi‑arid marginal lands. BioResources, v. 10, n. 2, p. 2.221–2.237, 2015.</w:t>
      </w:r>
    </w:p>
    <w:p w14:paraId="06CAE36E" w14:textId="77777777" w:rsidR="00FA7457" w:rsidRDefault="00000000">
      <w:pPr>
        <w:spacing w:before="240" w:after="240" w:line="276" w:lineRule="auto"/>
        <w:ind w:right="-10"/>
      </w:pPr>
      <w:r>
        <w:t xml:space="preserve">ARRUDA, F. P. de et al. </w:t>
      </w:r>
      <w:r>
        <w:rPr>
          <w:b/>
          <w:bCs/>
        </w:rPr>
        <w:t>Cultivo de pinhão-manso (</w:t>
      </w:r>
      <w:r>
        <w:rPr>
          <w:b/>
          <w:bCs/>
          <w:i/>
          <w:iCs/>
        </w:rPr>
        <w:t>Jatropha curcas</w:t>
      </w:r>
      <w:r>
        <w:rPr>
          <w:b/>
          <w:bCs/>
        </w:rPr>
        <w:t xml:space="preserve"> L.) como alternativa para o semi-árido nordestino</w:t>
      </w:r>
      <w:r>
        <w:t xml:space="preserve">. </w:t>
      </w:r>
      <w:r>
        <w:rPr>
          <w:i/>
          <w:iCs/>
        </w:rPr>
        <w:t>Revista Brasileira de Oleaginosas e Fibrosas</w:t>
      </w:r>
      <w:r>
        <w:t>, Campina Grande, v. 8, n. 1, p. 789–799, jan./abr. 2004. Disponível em: https://www.researchgate.net/publication/284320138. Acesso em: 25 mar. 2026.</w:t>
      </w:r>
    </w:p>
    <w:p w14:paraId="3083B2E1" w14:textId="77777777" w:rsidR="00FA7457" w:rsidRDefault="00000000">
      <w:pPr>
        <w:spacing w:before="240" w:after="240" w:line="276" w:lineRule="auto"/>
        <w:ind w:right="-10"/>
      </w:pPr>
      <w:r>
        <w:t xml:space="preserve">INFOSANBAS. </w:t>
      </w:r>
      <w:r>
        <w:rPr>
          <w:b/>
          <w:bCs/>
        </w:rPr>
        <w:t>Canindé de São Francisco – SE</w:t>
      </w:r>
      <w:r>
        <w:t>. Disponível em: https://infosanbas.org.br/municipio/caninde-de-sao-francisco-se/. Acesso em: 25 mar. 2026.</w:t>
      </w:r>
    </w:p>
    <w:p w14:paraId="4772208C" w14:textId="77777777" w:rsidR="00FA7457" w:rsidRDefault="00000000">
      <w:pPr>
        <w:spacing w:before="240" w:after="240" w:line="276" w:lineRule="auto"/>
        <w:ind w:right="-10"/>
      </w:pPr>
      <w:r>
        <w:t xml:space="preserve">SAETAE, D.; SUNTORNSUK, W. apud — Revisão: </w:t>
      </w:r>
      <w:r>
        <w:rPr>
          <w:b/>
          <w:bCs/>
        </w:rPr>
        <w:t>Jatropha curcas L.: aspectos morfofisiológicos e químicos</w:t>
      </w:r>
      <w:r>
        <w:t xml:space="preserve">. </w:t>
      </w:r>
      <w:r>
        <w:rPr>
          <w:i/>
          <w:iCs/>
        </w:rPr>
        <w:t>Brazilian Journal of Food Technology</w:t>
      </w:r>
      <w:r>
        <w:t>, v. 20, 2017. SciELO Brasil. Disponível em: https://www.scielo.br/j/bjft/a/FDk5q9QjGYRLmmPdTvmsRFG/?lang=pt. Acesso em: 25 mar. 2026.</w:t>
      </w:r>
    </w:p>
    <w:p w14:paraId="00577514" w14:textId="77777777" w:rsidR="00FA7457" w:rsidRDefault="00000000">
      <w:pPr>
        <w:spacing w:before="240" w:after="240" w:line="276" w:lineRule="auto"/>
        <w:ind w:right="-10"/>
      </w:pPr>
      <w:r>
        <w:t xml:space="preserve">MOURA, Carla V. R. de et al. </w:t>
      </w:r>
      <w:r>
        <w:rPr>
          <w:b/>
          <w:bCs/>
        </w:rPr>
        <w:t>Caracterização Físico-Química de Óleos Vegetais de Oleaginosas Adaptáveis ao Nordeste Brasileiro</w:t>
      </w:r>
      <w:r>
        <w:t xml:space="preserve">. </w:t>
      </w:r>
      <w:r>
        <w:rPr>
          <w:i/>
          <w:iCs/>
        </w:rPr>
        <w:t>Revista Virtual de Química</w:t>
      </w:r>
      <w:r>
        <w:t xml:space="preserve">, v. 11, n. 3, p. 573–595, 2019. UFPI. Disponível em: </w:t>
      </w:r>
      <w:r>
        <w:lastRenderedPageBreak/>
        <w:t>https://www.alice.cnptia.embrapa.br/alice/bitstream/doc/1110781/1/CaracterizacaoOleosVegetaisRevVirtQuimica2019.pdf. Acesso em: 25 mar. 2026.</w:t>
      </w:r>
    </w:p>
    <w:p w14:paraId="3633280E" w14:textId="77777777" w:rsidR="00FA7457" w:rsidRDefault="00000000">
      <w:pPr>
        <w:spacing w:before="240" w:after="240" w:line="276" w:lineRule="auto"/>
        <w:ind w:right="-10"/>
      </w:pPr>
      <w:r>
        <w:t xml:space="preserve">DIAS, L. et al. apud — </w:t>
      </w:r>
      <w:r>
        <w:rPr>
          <w:b/>
          <w:bCs/>
        </w:rPr>
        <w:t xml:space="preserve">Produção e distribuição da biomassa de </w:t>
      </w:r>
      <w:r>
        <w:rPr>
          <w:b/>
          <w:bCs/>
          <w:i/>
          <w:iCs/>
        </w:rPr>
        <w:t>Jatropha curcas</w:t>
      </w:r>
      <w:r>
        <w:rPr>
          <w:b/>
          <w:bCs/>
        </w:rPr>
        <w:t xml:space="preserve"> no Semiárido Brasileiro</w:t>
      </w:r>
      <w:r>
        <w:t xml:space="preserve">. </w:t>
      </w:r>
      <w:r>
        <w:rPr>
          <w:i/>
          <w:iCs/>
        </w:rPr>
        <w:t>CERNE</w:t>
      </w:r>
      <w:r>
        <w:t>, 2015. SciELO Brasil. Disponível em: https://www.scielo.br/j/cerne/a/QQtyQXcfxrKjshNRHZNjv3f/?lang=pt. Acesso em: 25 mar. 2026.</w:t>
      </w:r>
    </w:p>
    <w:p w14:paraId="639465DF" w14:textId="77777777" w:rsidR="00FA7457" w:rsidRDefault="00000000">
      <w:pPr>
        <w:spacing w:before="240" w:after="240" w:line="276" w:lineRule="auto"/>
        <w:ind w:right="-10"/>
      </w:pPr>
      <w:r>
        <w:t xml:space="preserve">DIAS, Luiz A. dos S. et al. </w:t>
      </w:r>
      <w:r>
        <w:rPr>
          <w:b/>
          <w:bCs/>
        </w:rPr>
        <w:t xml:space="preserve">Chemical properties of the oil of five genotypes of </w:t>
      </w:r>
      <w:r>
        <w:rPr>
          <w:b/>
          <w:bCs/>
          <w:i/>
          <w:iCs/>
        </w:rPr>
        <w:t>Jatropha curcas</w:t>
      </w:r>
      <w:r>
        <w:rPr>
          <w:b/>
          <w:bCs/>
        </w:rPr>
        <w:t xml:space="preserve"> L., in Colombia</w:t>
      </w:r>
      <w:r>
        <w:t xml:space="preserve">. </w:t>
      </w:r>
      <w:r>
        <w:rPr>
          <w:i/>
          <w:iCs/>
        </w:rPr>
        <w:t>Agronomía Mesoamericana</w:t>
      </w:r>
      <w:r>
        <w:t>. Disponível em: https://revistas.ucr.ac.cr/index.php/ragromeso/article/view/6431. Acesso em: 25 mar. 2026.</w:t>
      </w:r>
    </w:p>
    <w:p w14:paraId="4F14FA7F" w14:textId="77777777" w:rsidR="00FA7457" w:rsidRDefault="00000000">
      <w:pPr>
        <w:spacing w:before="240" w:after="240" w:line="276" w:lineRule="auto"/>
        <w:ind w:right="-10"/>
      </w:pPr>
      <w:r>
        <w:t xml:space="preserve">PASSOS, R. M. et al. </w:t>
      </w:r>
      <w:r>
        <w:rPr>
          <w:b/>
          <w:bCs/>
        </w:rPr>
        <w:t xml:space="preserve">Obtenção do Biodiesel através da transesterificação do óleo de </w:t>
      </w:r>
      <w:r>
        <w:rPr>
          <w:b/>
          <w:bCs/>
          <w:i/>
          <w:iCs/>
        </w:rPr>
        <w:t>Moringa oleifera</w:t>
      </w:r>
      <w:r>
        <w:rPr>
          <w:b/>
          <w:bCs/>
        </w:rPr>
        <w:t xml:space="preserve"> Lam</w:t>
      </w:r>
      <w:r>
        <w:t xml:space="preserve">. </w:t>
      </w:r>
      <w:r>
        <w:rPr>
          <w:i/>
          <w:iCs/>
        </w:rPr>
        <w:t>HOLOS</w:t>
      </w:r>
      <w:r>
        <w:t>, ano 28, v. 1, p. 49–61, 2012. IFRN. Disponível em: https://www2.ifrn.edu.br/ojs/index.php/HOLOS/article/view/803. Acesso em: 25 mar. 2026.</w:t>
      </w:r>
    </w:p>
    <w:p w14:paraId="72DAB5D9" w14:textId="77777777" w:rsidR="00FA7457" w:rsidRDefault="00000000">
      <w:pPr>
        <w:spacing w:before="240" w:after="240" w:line="276" w:lineRule="auto"/>
        <w:ind w:right="-10"/>
      </w:pPr>
      <w:r>
        <w:t xml:space="preserve">MENEGHETTI, Simoni M. P. </w:t>
      </w:r>
      <w:r>
        <w:rPr>
          <w:b/>
          <w:bCs/>
        </w:rPr>
        <w:t xml:space="preserve">Óleo de </w:t>
      </w:r>
      <w:r>
        <w:rPr>
          <w:b/>
          <w:bCs/>
          <w:i/>
          <w:iCs/>
        </w:rPr>
        <w:t>Moringa oleifera</w:t>
      </w:r>
      <w:r>
        <w:rPr>
          <w:b/>
          <w:bCs/>
        </w:rPr>
        <w:t>: alternativa potencial para obtenção de biodiesel</w:t>
      </w:r>
      <w:r>
        <w:t xml:space="preserve">. </w:t>
      </w:r>
      <w:r>
        <w:rPr>
          <w:i/>
          <w:iCs/>
        </w:rPr>
        <w:t>BiodieselBR.com</w:t>
      </w:r>
      <w:r>
        <w:t>, 2011. Disponível em: https://www.biodieselbr.com/noticias/colunistas/meneghetti/oleo-moringa-oleifera-alternativa-potencial-obtencao-biodiesel. Acesso em: 25 mar. 2026.</w:t>
      </w:r>
    </w:p>
    <w:p w14:paraId="4B7F2C42" w14:textId="77777777" w:rsidR="00FA7457" w:rsidRDefault="00000000">
      <w:pPr>
        <w:spacing w:before="240" w:after="240" w:line="276" w:lineRule="auto"/>
        <w:ind w:right="-10"/>
      </w:pPr>
      <w:r>
        <w:t xml:space="preserve">SILVA, J. C. et al. </w:t>
      </w:r>
      <w:r>
        <w:rPr>
          <w:b/>
          <w:bCs/>
        </w:rPr>
        <w:t xml:space="preserve">Caracterização físico-química da folha, das vagens verde e madura e da amêndoa madura da </w:t>
      </w:r>
      <w:r>
        <w:rPr>
          <w:b/>
          <w:bCs/>
          <w:i/>
          <w:iCs/>
        </w:rPr>
        <w:t>Moringa oleifera</w:t>
      </w:r>
      <w:r>
        <w:rPr>
          <w:b/>
          <w:bCs/>
        </w:rPr>
        <w:t xml:space="preserve"> Lam</w:t>
      </w:r>
      <w:r>
        <w:t>. ResearchGate, 2020. Disponível em: https://www.researchgate.net/publication/340389027. Acesso em: 25 mar. 2026.</w:t>
      </w:r>
    </w:p>
    <w:p w14:paraId="68D1C581" w14:textId="77777777" w:rsidR="00FA7457" w:rsidRDefault="00000000">
      <w:pPr>
        <w:spacing w:before="240" w:after="240" w:line="276" w:lineRule="auto"/>
        <w:ind w:right="-10"/>
      </w:pPr>
      <w:r>
        <w:t xml:space="preserve">EMBRAPA. </w:t>
      </w:r>
      <w:r>
        <w:rPr>
          <w:b/>
          <w:bCs/>
        </w:rPr>
        <w:t xml:space="preserve">Caracterização da </w:t>
      </w:r>
      <w:r>
        <w:rPr>
          <w:b/>
          <w:bCs/>
          <w:i/>
          <w:iCs/>
        </w:rPr>
        <w:t>Moringa oleifera</w:t>
      </w:r>
      <w:r>
        <w:rPr>
          <w:b/>
          <w:bCs/>
        </w:rPr>
        <w:t xml:space="preserve"> Lam e sua utilização na alimentação animal</w:t>
      </w:r>
      <w:r>
        <w:t>. Brasília: Embrapa, 2019. Disponível em: https://www.embrapa.br/busca-de-publicacoes/-/publicacao/1129161. Acesso em: 25 mar. 2026.</w:t>
      </w:r>
    </w:p>
    <w:p w14:paraId="5292C46C" w14:textId="77777777" w:rsidR="00FA7457" w:rsidRDefault="00000000">
      <w:pPr>
        <w:spacing w:before="240" w:after="240" w:line="276" w:lineRule="auto"/>
        <w:ind w:right="-10"/>
      </w:pPr>
      <w:r>
        <w:t xml:space="preserve">SOARES, F. et al. </w:t>
      </w:r>
      <w:r>
        <w:rPr>
          <w:b/>
          <w:bCs/>
        </w:rPr>
        <w:t xml:space="preserve">Avaliação da estabilidade à oxidação do biodiesel a partir de </w:t>
      </w:r>
      <w:r>
        <w:rPr>
          <w:b/>
          <w:bCs/>
          <w:i/>
          <w:iCs/>
        </w:rPr>
        <w:t>Moringa oleifera</w:t>
      </w:r>
      <w:r>
        <w:t xml:space="preserve">. </w:t>
      </w:r>
      <w:r>
        <w:rPr>
          <w:i/>
          <w:iCs/>
        </w:rPr>
        <w:t>Revista Tecnologia</w:t>
      </w:r>
      <w:r>
        <w:t>, Unifor, 2016. Disponível em: https://ojs.unifor.br/tec/article/download/4587/3698/15254. Acesso em: 25 mar. 2026.</w:t>
      </w:r>
    </w:p>
    <w:sectPr w:rsidR="00FA7457">
      <w:headerReference w:type="even" r:id="rId8"/>
      <w:headerReference w:type="default" r:id="rId9"/>
      <w:footerReference w:type="even" r:id="rId10"/>
      <w:footerReference w:type="default" r:id="rId11"/>
      <w:headerReference w:type="first" r:id="rId12"/>
      <w:footerReference w:type="first" r:id="rId13"/>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0854" w14:textId="77777777" w:rsidR="00155D0D" w:rsidRDefault="00155D0D">
      <w:r>
        <w:separator/>
      </w:r>
    </w:p>
  </w:endnote>
  <w:endnote w:type="continuationSeparator" w:id="0">
    <w:p w14:paraId="28619312" w14:textId="77777777" w:rsidR="00155D0D" w:rsidRDefault="0015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30E87A5-E25A-4947-BEEE-20279BEF2D6F}"/>
  </w:font>
  <w:font w:name="Calibri">
    <w:panose1 w:val="020F0502020204030204"/>
    <w:charset w:val="00"/>
    <w:family w:val="swiss"/>
    <w:pitch w:val="variable"/>
    <w:sig w:usb0="E4002EFF" w:usb1="C200247B" w:usb2="00000009" w:usb3="00000000" w:csb0="000001FF" w:csb1="00000000"/>
    <w:embedRegular r:id="rId2" w:fontKey="{0390525F-7B05-443B-A591-F7478F865B3E}"/>
  </w:font>
  <w:font w:name="Cambria">
    <w:panose1 w:val="02040503050406030204"/>
    <w:charset w:val="00"/>
    <w:family w:val="roman"/>
    <w:pitch w:val="variable"/>
    <w:sig w:usb0="E00006FF" w:usb1="420024FF" w:usb2="02000000" w:usb3="00000000" w:csb0="0000019F" w:csb1="00000000"/>
    <w:embedRegular r:id="rId3" w:fontKey="{89EC9659-071C-4AC5-A17F-3BD2F8AE24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2E81" w14:textId="77777777" w:rsidR="00FA7457"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96AC1A4" w14:textId="77777777" w:rsidR="00FA7457" w:rsidRDefault="00FA7457">
    <w:pPr>
      <w:pBdr>
        <w:top w:val="nil"/>
        <w:left w:val="nil"/>
        <w:bottom w:val="nil"/>
        <w:right w:val="nil"/>
        <w:between w:val="nil"/>
      </w:pBdr>
      <w:tabs>
        <w:tab w:val="center" w:pos="3600"/>
        <w:tab w:val="right" w:pos="7200"/>
      </w:tabs>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845E" w14:textId="77777777" w:rsidR="00FA7457" w:rsidRDefault="00000000">
    <w:pPr>
      <w:pBdr>
        <w:top w:val="nil"/>
        <w:left w:val="nil"/>
        <w:bottom w:val="nil"/>
        <w:right w:val="nil"/>
        <w:between w:val="nil"/>
      </w:pBdr>
      <w:tabs>
        <w:tab w:val="center" w:pos="3600"/>
        <w:tab w:val="right" w:pos="7200"/>
      </w:tabs>
      <w:jc w:val="right"/>
      <w:rPr>
        <w:rFonts w:ascii="Calibri" w:eastAsia="Calibri" w:hAnsi="Calibri" w:cs="Calibri"/>
        <w:color w:val="000000"/>
      </w:rPr>
    </w:pPr>
    <w:r>
      <w:rPr>
        <w:color w:val="000000"/>
      </w:rPr>
      <w:fldChar w:fldCharType="begin"/>
    </w:r>
    <w:r>
      <w:rPr>
        <w:color w:val="000000"/>
      </w:rPr>
      <w:instrText>PAGE</w:instrText>
    </w:r>
    <w:r>
      <w:rPr>
        <w:color w:val="000000"/>
      </w:rPr>
      <w:fldChar w:fldCharType="separate"/>
    </w:r>
    <w:r w:rsidR="00993BD1">
      <w:rPr>
        <w:noProof/>
        <w:color w:val="000000"/>
      </w:rPr>
      <w:t>1</w:t>
    </w:r>
    <w:r>
      <w:rPr>
        <w:color w:val="000000"/>
      </w:rPr>
      <w:fldChar w:fldCharType="end"/>
    </w:r>
    <w:r>
      <w:rPr>
        <w:noProof/>
      </w:rPr>
      <w:drawing>
        <wp:anchor distT="0" distB="0" distL="114300" distR="114300" simplePos="0" relativeHeight="251661312" behindDoc="0" locked="0" layoutInCell="1" hidden="0" allowOverlap="1" wp14:anchorId="4A68C061" wp14:editId="2FA91B96">
          <wp:simplePos x="0" y="0"/>
          <wp:positionH relativeFrom="column">
            <wp:posOffset>732789</wp:posOffset>
          </wp:positionH>
          <wp:positionV relativeFrom="paragraph">
            <wp:posOffset>-136618</wp:posOffset>
          </wp:positionV>
          <wp:extent cx="4293870" cy="73596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14:paraId="743BD081" w14:textId="77777777" w:rsidR="00FA7457" w:rsidRDefault="00FA7457">
    <w:pPr>
      <w:pBdr>
        <w:top w:val="nil"/>
        <w:left w:val="nil"/>
        <w:bottom w:val="nil"/>
        <w:right w:val="nil"/>
        <w:between w:val="nil"/>
      </w:pBdr>
      <w:tabs>
        <w:tab w:val="center" w:pos="3600"/>
        <w:tab w:val="right" w:pos="7200"/>
      </w:tabs>
      <w:ind w:firstLine="567"/>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5317" w14:textId="77777777" w:rsidR="00FA7457" w:rsidRDefault="00000000">
    <w:pPr>
      <w:pBdr>
        <w:top w:val="nil"/>
        <w:left w:val="nil"/>
        <w:bottom w:val="nil"/>
        <w:right w:val="nil"/>
        <w:between w:val="nil"/>
      </w:pBdr>
      <w:tabs>
        <w:tab w:val="center" w:pos="3600"/>
        <w:tab w:val="right" w:pos="7200"/>
      </w:tabs>
      <w:ind w:firstLine="567"/>
      <w:jc w:val="center"/>
      <w:rPr>
        <w:color w:val="000000"/>
      </w:rPr>
    </w:pPr>
    <w:r>
      <w:rPr>
        <w:noProof/>
      </w:rPr>
      <w:drawing>
        <wp:inline distT="0" distB="0" distL="0" distR="0" wp14:anchorId="778F36B6" wp14:editId="4C32DD20">
          <wp:extent cx="4499610" cy="627380"/>
          <wp:effectExtent l="0" t="0" r="0" b="0"/>
          <wp:docPr id="3" name="image5.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5.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5A63" w14:textId="77777777" w:rsidR="00155D0D" w:rsidRDefault="00155D0D">
      <w:r>
        <w:separator/>
      </w:r>
    </w:p>
  </w:footnote>
  <w:footnote w:type="continuationSeparator" w:id="0">
    <w:p w14:paraId="7DE4DCC8" w14:textId="77777777" w:rsidR="00155D0D" w:rsidRDefault="00155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AF0E" w14:textId="77777777" w:rsidR="00FA7457" w:rsidRDefault="00000000">
    <w:pPr>
      <w:pBdr>
        <w:top w:val="nil"/>
        <w:left w:val="nil"/>
        <w:bottom w:val="nil"/>
        <w:right w:val="nil"/>
        <w:between w:val="nil"/>
      </w:pBdr>
      <w:tabs>
        <w:tab w:val="left" w:pos="2133"/>
        <w:tab w:val="center" w:pos="3600"/>
        <w:tab w:val="right" w:pos="7200"/>
        <w:tab w:val="right" w:pos="7088"/>
      </w:tabs>
      <w:rPr>
        <w:i/>
        <w:iCs/>
        <w:color w:val="000000"/>
      </w:rPr>
    </w:pPr>
    <w:r>
      <w:rPr>
        <w:noProof/>
      </w:rPr>
      <w:drawing>
        <wp:anchor distT="0" distB="0" distL="0" distR="0" simplePos="0" relativeHeight="251660288" behindDoc="0" locked="0" layoutInCell="1" hidden="0" allowOverlap="1" wp14:anchorId="3695D9F7" wp14:editId="2DD7BB6A">
          <wp:simplePos x="0" y="0"/>
          <wp:positionH relativeFrom="column">
            <wp:posOffset>-917350</wp:posOffset>
          </wp:positionH>
          <wp:positionV relativeFrom="paragraph">
            <wp:posOffset>-1071658</wp:posOffset>
          </wp:positionV>
          <wp:extent cx="7599638" cy="1439662"/>
          <wp:effectExtent l="0" t="0" r="0" b="0"/>
          <wp:wrapSquare wrapText="bothSides" distT="0" distB="0" distL="0" distR="0"/>
          <wp:docPr id="5" name="image4.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DB89" w14:textId="77777777" w:rsidR="00FA7457" w:rsidRDefault="00000000">
    <w:pPr>
      <w:pBdr>
        <w:top w:val="nil"/>
        <w:left w:val="nil"/>
        <w:bottom w:val="nil"/>
        <w:right w:val="nil"/>
        <w:between w:val="nil"/>
      </w:pBdr>
      <w:tabs>
        <w:tab w:val="center" w:pos="3600"/>
        <w:tab w:val="right" w:pos="7200"/>
        <w:tab w:val="right" w:pos="7088"/>
      </w:tabs>
      <w:rPr>
        <w:color w:val="000000"/>
      </w:rPr>
    </w:pPr>
    <w:r>
      <w:rPr>
        <w:noProof/>
        <w:color w:val="000000"/>
      </w:rPr>
      <w:drawing>
        <wp:anchor distT="0" distB="0" distL="114300" distR="114300" simplePos="0" relativeHeight="251658240" behindDoc="0" locked="0" layoutInCell="1" hidden="0" allowOverlap="1" wp14:anchorId="483D8D73" wp14:editId="7C685A9A">
          <wp:simplePos x="0" y="0"/>
          <wp:positionH relativeFrom="margin">
            <wp:posOffset>-920740</wp:posOffset>
          </wp:positionH>
          <wp:positionV relativeFrom="topMargin">
            <wp:posOffset>-831</wp:posOffset>
          </wp:positionV>
          <wp:extent cx="7596505" cy="143256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CC18" w14:textId="77777777" w:rsidR="00FA7457" w:rsidRDefault="00000000">
    <w:pPr>
      <w:tabs>
        <w:tab w:val="right" w:pos="7086"/>
      </w:tabs>
      <w:jc w:val="right"/>
      <w:rPr>
        <w:b/>
        <w:bCs/>
      </w:rPr>
    </w:pPr>
    <w:r>
      <w:rPr>
        <w:noProof/>
      </w:rPr>
      <w:drawing>
        <wp:anchor distT="0" distB="0" distL="114300" distR="114300" simplePos="0" relativeHeight="251659264" behindDoc="0" locked="0" layoutInCell="1" hidden="0" allowOverlap="1" wp14:anchorId="059414E0" wp14:editId="1CF17E83">
          <wp:simplePos x="0" y="0"/>
          <wp:positionH relativeFrom="column">
            <wp:posOffset>-900419</wp:posOffset>
          </wp:positionH>
          <wp:positionV relativeFrom="paragraph">
            <wp:posOffset>-1080125</wp:posOffset>
          </wp:positionV>
          <wp:extent cx="7596505" cy="143256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62751"/>
    <w:multiLevelType w:val="multilevel"/>
    <w:tmpl w:val="6A06F68C"/>
    <w:lvl w:ilvl="0">
      <w:start w:val="1"/>
      <w:numFmt w:val="decimal"/>
      <w:lvlText w:val="%1."/>
      <w:lvlJc w:val="right"/>
      <w:pPr>
        <w:ind w:left="720" w:hanging="360"/>
      </w:pPr>
    </w:lvl>
    <w:lvl w:ilvl="1">
      <w:start w:val="1"/>
      <w:numFmt w:val="decimal"/>
      <w:lvlText w:val="%1.%2."/>
      <w:lvlJc w:val="right"/>
      <w:pPr>
        <w:ind w:left="1133" w:firstLine="0"/>
      </w:pPr>
      <w:rPr>
        <w:b/>
        <w:bCs/>
      </w:rPr>
    </w:lvl>
    <w:lvl w:ilvl="2">
      <w:start w:val="1"/>
      <w:numFmt w:val="decimal"/>
      <w:lvlText w:val="%1.%2.%3."/>
      <w:lvlJc w:val="right"/>
      <w:pPr>
        <w:ind w:left="1800" w:hanging="720"/>
      </w:pPr>
    </w:lvl>
    <w:lvl w:ilvl="3">
      <w:start w:val="1"/>
      <w:numFmt w:val="decimal"/>
      <w:lvlText w:val="%1.%2.%3.%4."/>
      <w:lvlJc w:val="right"/>
      <w:pPr>
        <w:ind w:left="2160" w:hanging="720"/>
      </w:pPr>
    </w:lvl>
    <w:lvl w:ilvl="4">
      <w:start w:val="1"/>
      <w:numFmt w:val="decimal"/>
      <w:lvlText w:val="%1.%2.%3.%4.%5."/>
      <w:lvlJc w:val="right"/>
      <w:pPr>
        <w:ind w:left="2880" w:hanging="1080"/>
      </w:pPr>
    </w:lvl>
    <w:lvl w:ilvl="5">
      <w:start w:val="1"/>
      <w:numFmt w:val="decimal"/>
      <w:lvlText w:val="%1.%2.%3.%4.%5.%6."/>
      <w:lvlJc w:val="right"/>
      <w:pPr>
        <w:ind w:left="3240" w:hanging="1080"/>
      </w:pPr>
    </w:lvl>
    <w:lvl w:ilvl="6">
      <w:start w:val="1"/>
      <w:numFmt w:val="decimal"/>
      <w:lvlText w:val="%1.%2.%3.%4.%5.%6.%7."/>
      <w:lvlJc w:val="right"/>
      <w:pPr>
        <w:ind w:left="3600" w:hanging="1080"/>
      </w:pPr>
    </w:lvl>
    <w:lvl w:ilvl="7">
      <w:start w:val="1"/>
      <w:numFmt w:val="decimal"/>
      <w:lvlText w:val="%1.%2.%3.%4.%5.%6.%7.%8."/>
      <w:lvlJc w:val="right"/>
      <w:pPr>
        <w:ind w:left="4320" w:hanging="1440"/>
      </w:pPr>
    </w:lvl>
    <w:lvl w:ilvl="8">
      <w:start w:val="1"/>
      <w:numFmt w:val="decimal"/>
      <w:lvlText w:val="%1.%2.%3.%4.%5.%6.%7.%8.%9."/>
      <w:lvlJc w:val="right"/>
      <w:pPr>
        <w:ind w:left="4680" w:hanging="1440"/>
      </w:pPr>
    </w:lvl>
  </w:abstractNum>
  <w:num w:numId="1" w16cid:durableId="159130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57"/>
    <w:rsid w:val="00155D0D"/>
    <w:rsid w:val="001F2A59"/>
    <w:rsid w:val="00225ACD"/>
    <w:rsid w:val="002B6A88"/>
    <w:rsid w:val="008B4D55"/>
    <w:rsid w:val="00993BD1"/>
    <w:rsid w:val="009F5B65"/>
    <w:rsid w:val="00A74040"/>
    <w:rsid w:val="00C55490"/>
    <w:rsid w:val="00DB3290"/>
    <w:rsid w:val="00E113E1"/>
    <w:rsid w:val="00EB066D"/>
    <w:rsid w:val="00EF233C"/>
    <w:rsid w:val="00FA74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859F"/>
  <w15:docId w15:val="{B59EF7B9-4929-4A5B-9B92-FB795652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290"/>
    <w:pPr>
      <w:spacing w:line="240" w:lineRule="auto"/>
    </w:pPr>
  </w:style>
  <w:style w:type="paragraph" w:styleId="Ttulo1">
    <w:name w:val="heading 1"/>
    <w:basedOn w:val="Normal"/>
    <w:next w:val="Normal"/>
    <w:uiPriority w:val="9"/>
    <w:qFormat/>
    <w:pPr>
      <w:keepNext/>
      <w:keepLines/>
      <w:spacing w:before="240"/>
      <w:outlineLvl w:val="0"/>
    </w:pPr>
    <w:rPr>
      <w:b/>
      <w:bCs/>
      <w:color w:val="000000"/>
    </w:rPr>
  </w:style>
  <w:style w:type="paragraph" w:styleId="Ttulo2">
    <w:name w:val="heading 2"/>
    <w:basedOn w:val="Normal"/>
    <w:next w:val="Normal"/>
    <w:uiPriority w:val="9"/>
    <w:unhideWhenUsed/>
    <w:qFormat/>
    <w:pPr>
      <w:keepNext/>
      <w:keepLines/>
      <w:spacing w:before="360" w:after="80"/>
      <w:ind w:left="720"/>
      <w:outlineLvl w:val="1"/>
    </w:pPr>
    <w:rPr>
      <w:b/>
      <w:bCs/>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SemEspaamento">
    <w:name w:val="No Spacing"/>
    <w:uiPriority w:val="1"/>
    <w:qFormat/>
    <w:rsid w:val="00DB329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ke5ZwsZCLiYop9zaQz2rCzfTA==">CgMxLjAyDmgudWF4YXd6b3cxeXM1Mg5oLjhwNDlyamNiOWc3NjIOaC5kd3liOHY5YnU2MmYyDmguMjJkd2hhbGluZm03Mg5oLmJ5MmxzZWtkcHRrMjIOaC5hcm05YzU5aDJ2a204AHIhMWwxclNzT3BmVWJ5aFp4SEJYdzFyVTExWEQwY1hvRVU1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2512</Words>
  <Characters>13570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Vitor Lima</cp:lastModifiedBy>
  <cp:revision>6</cp:revision>
  <dcterms:created xsi:type="dcterms:W3CDTF">2026-04-16T01:40:00Z</dcterms:created>
  <dcterms:modified xsi:type="dcterms:W3CDTF">2026-04-16T11:16:00Z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