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6F43" w:rsidRDefault="00000000">
      <w:pPr>
        <w:pBdr>
          <w:top w:val="nil"/>
          <w:left w:val="nil"/>
          <w:bottom w:val="nil"/>
          <w:right w:val="nil"/>
          <w:between w:val="nil"/>
        </w:pBdr>
        <w:spacing w:before="240" w:after="120" w:line="360" w:lineRule="auto"/>
        <w:jc w:val="center"/>
        <w:rPr>
          <w:b/>
          <w:bCs/>
          <w:color w:val="000000"/>
          <w:sz w:val="32"/>
          <w:szCs w:val="32"/>
        </w:rPr>
      </w:pPr>
      <w:r>
        <w:rPr>
          <w:b/>
          <w:bCs/>
          <w:color w:val="000000"/>
          <w:sz w:val="32"/>
          <w:szCs w:val="32"/>
        </w:rPr>
        <w:t>A participação do município de Petrolândia na transição energética da região sul de Pernambuco: Biocombustíveis</w:t>
      </w:r>
    </w:p>
    <w:p w:rsidR="00A26F43" w:rsidRDefault="00000000">
      <w:pPr>
        <w:keepNext/>
        <w:pBdr>
          <w:top w:val="nil"/>
          <w:left w:val="nil"/>
          <w:bottom w:val="nil"/>
          <w:right w:val="nil"/>
          <w:between w:val="nil"/>
        </w:pBdr>
        <w:spacing w:after="60" w:line="310" w:lineRule="auto"/>
        <w:jc w:val="center"/>
        <w:rPr>
          <w:color w:val="000000"/>
        </w:rPr>
      </w:pPr>
      <w:r>
        <w:rPr>
          <w:color w:val="000000"/>
        </w:rPr>
        <w:t xml:space="preserve">Breno Medeiros </w:t>
      </w:r>
      <w:proofErr w:type="spellStart"/>
      <w:r>
        <w:rPr>
          <w:color w:val="000000"/>
        </w:rPr>
        <w:t>Nunes</w:t>
      </w:r>
      <w:r>
        <w:rPr>
          <w:color w:val="000000"/>
          <w:vertAlign w:val="superscript"/>
        </w:rPr>
        <w:t>a</w:t>
      </w:r>
      <w:proofErr w:type="spellEnd"/>
      <w:r>
        <w:rPr>
          <w:color w:val="000000"/>
        </w:rPr>
        <w:t xml:space="preserve">, Julia Santos da </w:t>
      </w:r>
      <w:proofErr w:type="spellStart"/>
      <w:r>
        <w:rPr>
          <w:color w:val="000000"/>
        </w:rPr>
        <w:t>Silva</w:t>
      </w:r>
      <w:r>
        <w:rPr>
          <w:color w:val="000000"/>
          <w:vertAlign w:val="superscript"/>
        </w:rPr>
        <w:t>a</w:t>
      </w:r>
      <w:proofErr w:type="spellEnd"/>
      <w:r>
        <w:rPr>
          <w:color w:val="000000"/>
          <w:vertAlign w:val="superscript"/>
        </w:rPr>
        <w:t>*</w:t>
      </w:r>
      <w:r>
        <w:rPr>
          <w:color w:val="000000"/>
        </w:rPr>
        <w:t>, Ma</w:t>
      </w:r>
      <w:r>
        <w:t xml:space="preserve">íra </w:t>
      </w:r>
      <w:proofErr w:type="spellStart"/>
      <w:r>
        <w:rPr>
          <w:color w:val="000000"/>
        </w:rPr>
        <w:t>Camily</w:t>
      </w:r>
      <w:proofErr w:type="spellEnd"/>
      <w:r>
        <w:rPr>
          <w:color w:val="000000"/>
        </w:rPr>
        <w:t xml:space="preserve"> Araujo da Cruz</w:t>
      </w:r>
      <w:r>
        <w:rPr>
          <w:color w:val="000000"/>
          <w:vertAlign w:val="superscript"/>
        </w:rPr>
        <w:t>a</w:t>
      </w:r>
      <w:r>
        <w:rPr>
          <w:color w:val="000000"/>
        </w:rPr>
        <w:t xml:space="preserve">, Maria Eduarda Gomes de </w:t>
      </w:r>
      <w:proofErr w:type="spellStart"/>
      <w:r>
        <w:rPr>
          <w:color w:val="000000"/>
        </w:rPr>
        <w:t>Sá</w:t>
      </w:r>
      <w:r>
        <w:rPr>
          <w:color w:val="000000"/>
          <w:vertAlign w:val="superscript"/>
        </w:rPr>
        <w:t>a</w:t>
      </w:r>
      <w:proofErr w:type="spellEnd"/>
      <w:r>
        <w:rPr>
          <w:color w:val="000000"/>
        </w:rPr>
        <w:t xml:space="preserve">, Venancio Vitor Lima da Silva </w:t>
      </w:r>
      <w:proofErr w:type="spellStart"/>
      <w:r>
        <w:rPr>
          <w:color w:val="000000"/>
        </w:rPr>
        <w:t>Bezerra</w:t>
      </w:r>
      <w:r>
        <w:rPr>
          <w:color w:val="000000"/>
          <w:vertAlign w:val="superscript"/>
        </w:rPr>
        <w:t>a,b</w:t>
      </w:r>
      <w:proofErr w:type="spellEnd"/>
    </w:p>
    <w:p w:rsidR="00A26F43" w:rsidRDefault="00000000">
      <w:pPr>
        <w:pBdr>
          <w:top w:val="nil"/>
          <w:left w:val="nil"/>
          <w:bottom w:val="nil"/>
          <w:right w:val="nil"/>
          <w:between w:val="nil"/>
        </w:pBdr>
        <w:spacing w:line="240" w:lineRule="auto"/>
        <w:jc w:val="center"/>
        <w:rPr>
          <w:i/>
          <w:iCs/>
          <w:color w:val="000000"/>
        </w:rPr>
      </w:pPr>
      <w:proofErr w:type="spellStart"/>
      <w:r>
        <w:rPr>
          <w:i/>
          <w:iCs/>
          <w:color w:val="000000"/>
          <w:vertAlign w:val="superscript"/>
        </w:rPr>
        <w:t>a</w:t>
      </w:r>
      <w:r>
        <w:rPr>
          <w:i/>
          <w:iCs/>
          <w:color w:val="000000"/>
        </w:rPr>
        <w:t>Instituto</w:t>
      </w:r>
      <w:proofErr w:type="spellEnd"/>
      <w:r>
        <w:rPr>
          <w:i/>
          <w:iCs/>
          <w:color w:val="000000"/>
        </w:rPr>
        <w:t xml:space="preserve"> Federal da Bahia, Paulo Afonso - BA, Brasil</w:t>
      </w:r>
    </w:p>
    <w:p w:rsidR="00A26F43" w:rsidRDefault="00000000">
      <w:pPr>
        <w:pBdr>
          <w:top w:val="nil"/>
          <w:left w:val="nil"/>
          <w:bottom w:val="nil"/>
          <w:right w:val="nil"/>
          <w:between w:val="nil"/>
        </w:pBdr>
        <w:spacing w:line="240" w:lineRule="auto"/>
        <w:jc w:val="center"/>
        <w:rPr>
          <w:i/>
          <w:iCs/>
          <w:color w:val="000000"/>
        </w:rPr>
      </w:pPr>
      <w:proofErr w:type="spellStart"/>
      <w:r>
        <w:rPr>
          <w:i/>
          <w:iCs/>
          <w:color w:val="000000"/>
          <w:vertAlign w:val="superscript"/>
        </w:rPr>
        <w:t>b</w:t>
      </w:r>
      <w:r>
        <w:rPr>
          <w:i/>
          <w:iCs/>
          <w:color w:val="000000"/>
        </w:rPr>
        <w:t>Universidade</w:t>
      </w:r>
      <w:proofErr w:type="spellEnd"/>
      <w:r>
        <w:rPr>
          <w:i/>
          <w:iCs/>
          <w:color w:val="000000"/>
        </w:rPr>
        <w:t xml:space="preserve"> Federal de Alagoas, Maceió – AL, Brasil</w:t>
      </w:r>
    </w:p>
    <w:p w:rsidR="00A26F43" w:rsidRDefault="00000000">
      <w:pPr>
        <w:pBdr>
          <w:top w:val="nil"/>
          <w:left w:val="nil"/>
          <w:bottom w:val="nil"/>
          <w:right w:val="nil"/>
          <w:between w:val="nil"/>
        </w:pBdr>
        <w:spacing w:line="240" w:lineRule="auto"/>
        <w:jc w:val="center"/>
        <w:rPr>
          <w:i/>
          <w:iCs/>
          <w:color w:val="000000"/>
        </w:rPr>
      </w:pPr>
      <w:r>
        <w:rPr>
          <w:i/>
          <w:iCs/>
          <w:color w:val="000000"/>
        </w:rPr>
        <w:t>*</w:t>
      </w:r>
      <w:proofErr w:type="spellStart"/>
      <w:r>
        <w:rPr>
          <w:i/>
          <w:iCs/>
        </w:rPr>
        <w:t>202410050028@ifba.edu.br</w:t>
      </w:r>
      <w:proofErr w:type="spellEnd"/>
    </w:p>
    <w:p w:rsidR="00A26F43" w:rsidRDefault="00000000">
      <w:pPr>
        <w:pStyle w:val="Ttulo1"/>
      </w:pPr>
      <w:r>
        <w:t>RESUMO</w:t>
      </w:r>
    </w:p>
    <w:p w:rsidR="00A26F43" w:rsidRDefault="00A26F43">
      <w:pPr>
        <w:pBdr>
          <w:top w:val="nil"/>
          <w:left w:val="nil"/>
          <w:bottom w:val="nil"/>
          <w:right w:val="nil"/>
          <w:between w:val="nil"/>
        </w:pBdr>
        <w:spacing w:line="240" w:lineRule="auto"/>
        <w:rPr>
          <w:color w:val="000000"/>
        </w:rPr>
      </w:pPr>
    </w:p>
    <w:p w:rsidR="001739B1" w:rsidRPr="001739B1" w:rsidRDefault="001739B1" w:rsidP="001739B1">
      <w:pPr>
        <w:pBdr>
          <w:top w:val="nil"/>
          <w:left w:val="nil"/>
          <w:bottom w:val="nil"/>
          <w:right w:val="nil"/>
          <w:between w:val="nil"/>
        </w:pBdr>
        <w:spacing w:line="240" w:lineRule="auto"/>
        <w:rPr>
          <w:color w:val="000000"/>
        </w:rPr>
      </w:pPr>
      <w:r w:rsidRPr="001739B1">
        <w:rPr>
          <w:color w:val="000000"/>
        </w:rPr>
        <w:t>Este trabalho analisa o papel do município de Petrolândia – PE na transição energética da região sul de Pernambuco, com foco na produção de biocombustíveis a partir de diferentes biomassas. A pesquisa, de caráter qualitativo e quantitativo, identificou espécies cultivadas e resíduos agrícolas relevantes, como algaroba (</w:t>
      </w:r>
      <w:proofErr w:type="spellStart"/>
      <w:r w:rsidRPr="001739B1">
        <w:rPr>
          <w:i/>
          <w:iCs/>
          <w:color w:val="000000"/>
        </w:rPr>
        <w:t>Prosopis</w:t>
      </w:r>
      <w:proofErr w:type="spellEnd"/>
      <w:r w:rsidRPr="001739B1">
        <w:rPr>
          <w:i/>
          <w:iCs/>
          <w:color w:val="000000"/>
        </w:rPr>
        <w:t xml:space="preserve"> </w:t>
      </w:r>
      <w:proofErr w:type="spellStart"/>
      <w:r w:rsidRPr="001739B1">
        <w:rPr>
          <w:i/>
          <w:iCs/>
          <w:color w:val="000000"/>
        </w:rPr>
        <w:t>juliflora</w:t>
      </w:r>
      <w:proofErr w:type="spellEnd"/>
      <w:r w:rsidRPr="001739B1">
        <w:rPr>
          <w:color w:val="000000"/>
        </w:rPr>
        <w:t>), baronesa (</w:t>
      </w:r>
      <w:proofErr w:type="spellStart"/>
      <w:r w:rsidRPr="001739B1">
        <w:rPr>
          <w:i/>
          <w:iCs/>
          <w:color w:val="000000"/>
        </w:rPr>
        <w:t>Eichhornia</w:t>
      </w:r>
      <w:proofErr w:type="spellEnd"/>
      <w:r w:rsidRPr="001739B1">
        <w:rPr>
          <w:i/>
          <w:iCs/>
          <w:color w:val="000000"/>
        </w:rPr>
        <w:t xml:space="preserve"> </w:t>
      </w:r>
      <w:proofErr w:type="spellStart"/>
      <w:r w:rsidRPr="001739B1">
        <w:rPr>
          <w:i/>
          <w:iCs/>
          <w:color w:val="000000"/>
        </w:rPr>
        <w:t>crassipes</w:t>
      </w:r>
      <w:proofErr w:type="spellEnd"/>
      <w:r w:rsidRPr="001739B1">
        <w:rPr>
          <w:color w:val="000000"/>
        </w:rPr>
        <w:t>), coco (</w:t>
      </w:r>
      <w:r w:rsidRPr="001739B1">
        <w:rPr>
          <w:i/>
          <w:iCs/>
          <w:color w:val="000000"/>
        </w:rPr>
        <w:t xml:space="preserve">Cocos </w:t>
      </w:r>
      <w:proofErr w:type="spellStart"/>
      <w:r w:rsidRPr="001739B1">
        <w:rPr>
          <w:i/>
          <w:iCs/>
          <w:color w:val="000000"/>
        </w:rPr>
        <w:t>nucifera</w:t>
      </w:r>
      <w:proofErr w:type="spellEnd"/>
      <w:r w:rsidRPr="001739B1">
        <w:rPr>
          <w:color w:val="000000"/>
        </w:rPr>
        <w:t xml:space="preserve">) e subprodutos da agricultura irrigada. Os resultados evidenciam que essas biomassas apresentam elevado potencial energético, permitindo a fabricação de biodiesel, bioetanol, biogás, </w:t>
      </w:r>
      <w:proofErr w:type="spellStart"/>
      <w:r w:rsidRPr="001739B1">
        <w:rPr>
          <w:color w:val="000000"/>
        </w:rPr>
        <w:t>HVO</w:t>
      </w:r>
      <w:proofErr w:type="spellEnd"/>
      <w:r w:rsidRPr="001739B1">
        <w:rPr>
          <w:color w:val="000000"/>
        </w:rPr>
        <w:t xml:space="preserve"> e SAF por meio de rotas reacionais consolidadas, como transesterificação, fermentação e processos termoquímicos. Conclui-se que Petrolândia possui condições ambientais e produtivas favoráveis para se consolidar como polo estratégico na diversificação da matriz energética, contribuindo para a redução da dependência de combustíveis fósseis e para o desenvolvimento sustentável da região.</w:t>
      </w:r>
    </w:p>
    <w:p w:rsidR="00A26F43" w:rsidRDefault="00A26F43">
      <w:pPr>
        <w:pBdr>
          <w:top w:val="nil"/>
          <w:left w:val="nil"/>
          <w:bottom w:val="nil"/>
          <w:right w:val="nil"/>
          <w:between w:val="nil"/>
        </w:pBdr>
        <w:spacing w:line="240" w:lineRule="auto"/>
        <w:rPr>
          <w:color w:val="000000"/>
        </w:rPr>
      </w:pPr>
    </w:p>
    <w:p w:rsidR="00A26F43" w:rsidRDefault="00A26F43">
      <w:pPr>
        <w:pBdr>
          <w:top w:val="nil"/>
          <w:left w:val="nil"/>
          <w:bottom w:val="nil"/>
          <w:right w:val="nil"/>
          <w:between w:val="nil"/>
        </w:pBdr>
        <w:spacing w:line="240" w:lineRule="auto"/>
        <w:rPr>
          <w:color w:val="000000"/>
        </w:rPr>
      </w:pPr>
    </w:p>
    <w:p w:rsidR="00A26F43" w:rsidRDefault="00000000">
      <w:pPr>
        <w:pBdr>
          <w:top w:val="nil"/>
          <w:left w:val="nil"/>
          <w:bottom w:val="nil"/>
          <w:right w:val="nil"/>
          <w:between w:val="nil"/>
        </w:pBdr>
        <w:spacing w:line="240" w:lineRule="auto"/>
        <w:rPr>
          <w:color w:val="000000"/>
        </w:rPr>
      </w:pPr>
      <w:r>
        <w:rPr>
          <w:b/>
          <w:bCs/>
          <w:color w:val="000000"/>
        </w:rPr>
        <w:t>Palavras-chave</w:t>
      </w:r>
      <w:r>
        <w:rPr>
          <w:color w:val="000000"/>
        </w:rPr>
        <w:t xml:space="preserve">: </w:t>
      </w:r>
      <w:r w:rsidR="001739B1">
        <w:rPr>
          <w:i/>
          <w:iCs/>
          <w:color w:val="000000"/>
        </w:rPr>
        <w:t>Biocombustíveis, Semiárido, Biomassa, Energia Renovável, Petrolândia</w:t>
      </w:r>
      <w:r>
        <w:rPr>
          <w:color w:val="000000"/>
        </w:rPr>
        <w:t>.</w:t>
      </w:r>
    </w:p>
    <w:p w:rsidR="00A26F43" w:rsidRDefault="00A26F43">
      <w:pPr>
        <w:pBdr>
          <w:top w:val="nil"/>
          <w:left w:val="nil"/>
          <w:bottom w:val="nil"/>
          <w:right w:val="nil"/>
          <w:between w:val="nil"/>
        </w:pBdr>
        <w:spacing w:line="240" w:lineRule="auto"/>
        <w:rPr>
          <w:color w:val="000000"/>
        </w:rPr>
      </w:pPr>
    </w:p>
    <w:p w:rsidR="00A26F43" w:rsidRDefault="00000000">
      <w:pPr>
        <w:pStyle w:val="Ttulo1"/>
        <w:numPr>
          <w:ilvl w:val="0"/>
          <w:numId w:val="1"/>
        </w:numPr>
      </w:pPr>
      <w:r>
        <w:t>INTRODUÇÃO</w:t>
      </w:r>
    </w:p>
    <w:p w:rsidR="00A26F43" w:rsidRDefault="00000000">
      <w:pPr>
        <w:ind w:firstLine="720"/>
      </w:pPr>
      <w:r>
        <w:t>Nos tempos atuais é possível observar um aumento na procura de fontes de energia limpa e sustentável devido ao crescimento do consumo mundial. No Brasil, estatísticas recentes mostram que os recursos ainda são bastante dependentes de derivados de petróleo, embora as energias renováveis estejam se tornando mais prevalentes (ANP, 2023). Dentro deste cenário os biocombustíveis destacam-se por serem obtidos a partir de biomassa renovável, sendo uma alternativa para mitigação das emissões de gases do efeito estufa e para a transição energética.</w:t>
      </w:r>
    </w:p>
    <w:p w:rsidR="00A26F43" w:rsidRDefault="00000000">
      <w:pPr>
        <w:ind w:firstLine="720"/>
      </w:pPr>
      <w:r>
        <w:t>Na região semiárida do Brasil, onde se tem altas temperaturas, baixas precipitações e chuvas irregulares. Embora ainda com essas limitações, a utilização de sistemas de irrigação há muito tem permitido ampliar a produção agrícola em algumas áreas, sobretudo aquelas localizadas sob a influência de grandes bacias hidrográficas (IBGE, 2022).</w:t>
      </w:r>
    </w:p>
    <w:p w:rsidR="00A26F43" w:rsidRDefault="00000000">
      <w:pPr>
        <w:ind w:firstLine="720"/>
      </w:pPr>
      <w:r>
        <w:t>Neste contexto, o município de Petrolândia, situado no sul do Estado de Pernambuco e inserido na área de influência do Rio São Francisco, destaca-se pela prática da agricultura irrigada, o que possibilita a produção de diferentes tipos de biomassa agrícolas</w:t>
      </w:r>
      <w:r w:rsidR="00C22E4B">
        <w:t>.</w:t>
      </w:r>
    </w:p>
    <w:p w:rsidR="00A26F43" w:rsidRDefault="00000000">
      <w:pPr>
        <w:ind w:firstLine="720"/>
      </w:pPr>
      <w:r>
        <w:lastRenderedPageBreak/>
        <w:t>Diante disso, o presente trabalho tem como objetivo analisar a participação do município de Petrolândia na transição energética da região sul de Pernambuco, considerando o potencial de produção de biocombustíveis.</w:t>
      </w:r>
    </w:p>
    <w:p w:rsidR="00A26F43" w:rsidRDefault="00000000">
      <w:pPr>
        <w:pStyle w:val="Ttulo1"/>
        <w:numPr>
          <w:ilvl w:val="0"/>
          <w:numId w:val="1"/>
        </w:numPr>
      </w:pPr>
      <w:r>
        <w:t>METODOLOGIA</w:t>
      </w:r>
    </w:p>
    <w:p w:rsidR="00A26F43" w:rsidRDefault="006A2E7D">
      <w:pPr>
        <w:ind w:firstLine="720"/>
      </w:pPr>
      <w:r>
        <w:t>Foi</w:t>
      </w:r>
      <w:r w:rsidR="00000000">
        <w:t xml:space="preserve"> um estudo qualitativo e quantitativo das biomassas geradas no município de Petrolândia – PE, com base em dados coletados em fontes institucionais, artigos científicos, relatórios técnicos e evidenciações </w:t>
      </w:r>
      <w:r w:rsidR="00000000">
        <w:rPr>
          <w:i/>
          <w:iCs/>
        </w:rPr>
        <w:t>in loco</w:t>
      </w:r>
      <w:r w:rsidR="00000000">
        <w:t>. Foram identificadas as principais culturas e resíduos agrícolas da região</w:t>
      </w:r>
      <w:r w:rsidR="00C22E4B">
        <w:t>, sendo</w:t>
      </w:r>
      <w:r w:rsidR="00000000">
        <w:t xml:space="preserve"> efetuado o levantamento do potencial dessas biomassas para geração de biocombustíveis. Finalmente, uma pesquisa mais aprofundada sobre essas biomassas foi realizada a fim de se obter informações sobre suas composições químicas e quais meios reacionais poderiam ser aplicados às mesmas para obtenção de biocombustíveis. </w:t>
      </w:r>
    </w:p>
    <w:p w:rsidR="00A26F43" w:rsidRDefault="00000000">
      <w:pPr>
        <w:pStyle w:val="Ttulo1"/>
        <w:numPr>
          <w:ilvl w:val="0"/>
          <w:numId w:val="1"/>
        </w:numPr>
      </w:pPr>
      <w:r>
        <w:t>RESULTADOS</w:t>
      </w:r>
    </w:p>
    <w:p w:rsidR="00A26F43" w:rsidRDefault="00000000">
      <w:pPr>
        <w:ind w:firstLine="720"/>
        <w:rPr>
          <w:i/>
          <w:iCs/>
        </w:rPr>
      </w:pPr>
      <w:r>
        <w:t xml:space="preserve"> A avaliação das condições ambientais do município de Petrolândia – PE revela que o clima semiárido da região favorece a produção de diferentes tipos de biomassa. Altas temperaturas ao longo do ano e precipitações irregulares caracterizam o município, que apresenta condições adequadas para o cultivo de espécies como coco (</w:t>
      </w:r>
      <w:r>
        <w:rPr>
          <w:i/>
          <w:iCs/>
        </w:rPr>
        <w:t xml:space="preserve">Cocos </w:t>
      </w:r>
      <w:proofErr w:type="spellStart"/>
      <w:r>
        <w:rPr>
          <w:i/>
          <w:iCs/>
        </w:rPr>
        <w:t>nucifera</w:t>
      </w:r>
      <w:proofErr w:type="spellEnd"/>
      <w:r>
        <w:t>), algaroba (</w:t>
      </w:r>
      <w:proofErr w:type="spellStart"/>
      <w:r>
        <w:rPr>
          <w:i/>
          <w:iCs/>
        </w:rPr>
        <w:t>Prosopis</w:t>
      </w:r>
      <w:proofErr w:type="spellEnd"/>
      <w:r>
        <w:rPr>
          <w:i/>
          <w:iCs/>
        </w:rPr>
        <w:t xml:space="preserve"> </w:t>
      </w:r>
      <w:proofErr w:type="spellStart"/>
      <w:r>
        <w:rPr>
          <w:i/>
          <w:iCs/>
        </w:rPr>
        <w:t>juliflora</w:t>
      </w:r>
      <w:proofErr w:type="spellEnd"/>
      <w:r>
        <w:t>) e baronesa (</w:t>
      </w:r>
      <w:proofErr w:type="spellStart"/>
      <w:r>
        <w:rPr>
          <w:i/>
          <w:iCs/>
        </w:rPr>
        <w:t>Eichhornia</w:t>
      </w:r>
      <w:proofErr w:type="spellEnd"/>
      <w:r>
        <w:rPr>
          <w:i/>
          <w:iCs/>
        </w:rPr>
        <w:t xml:space="preserve"> </w:t>
      </w:r>
      <w:proofErr w:type="spellStart"/>
      <w:r>
        <w:rPr>
          <w:i/>
          <w:iCs/>
        </w:rPr>
        <w:t>crassipes</w:t>
      </w:r>
      <w:proofErr w:type="spellEnd"/>
      <w:r>
        <w:t xml:space="preserve">). Além disso, observa-se a geração de resíduos agrícolas, como palha, cascas e bagaço, que também possuem potencial energético (IBGE, 2022; EMBRAPA, 2018). </w:t>
      </w:r>
      <w:r>
        <w:rPr>
          <w:i/>
          <w:iCs/>
        </w:rPr>
        <w:t xml:space="preserve"> </w:t>
      </w:r>
    </w:p>
    <w:p w:rsidR="00A26F43" w:rsidRDefault="00000000">
      <w:pPr>
        <w:pStyle w:val="Ttulo2"/>
        <w:numPr>
          <w:ilvl w:val="1"/>
          <w:numId w:val="1"/>
        </w:numPr>
      </w:pPr>
      <w:r>
        <w:t>Algaroba (</w:t>
      </w:r>
      <w:proofErr w:type="spellStart"/>
      <w:r>
        <w:rPr>
          <w:i/>
          <w:iCs/>
        </w:rPr>
        <w:t>Prosopis</w:t>
      </w:r>
      <w:proofErr w:type="spellEnd"/>
      <w:r>
        <w:rPr>
          <w:i/>
          <w:iCs/>
        </w:rPr>
        <w:t xml:space="preserve"> </w:t>
      </w:r>
      <w:proofErr w:type="spellStart"/>
      <w:r>
        <w:rPr>
          <w:i/>
          <w:iCs/>
        </w:rPr>
        <w:t>juliflora</w:t>
      </w:r>
      <w:proofErr w:type="spellEnd"/>
      <w:r>
        <w:t>)</w:t>
      </w:r>
    </w:p>
    <w:p w:rsidR="00A26F43" w:rsidRDefault="00000000">
      <w:pPr>
        <w:ind w:firstLine="720"/>
      </w:pPr>
      <w:r>
        <w:rPr>
          <w:highlight w:val="white"/>
        </w:rPr>
        <w:t>Do ponto de vista químico, estudos científicos referentes à algaroba (</w:t>
      </w:r>
      <w:proofErr w:type="spellStart"/>
      <w:r>
        <w:rPr>
          <w:i/>
          <w:iCs/>
          <w:highlight w:val="white"/>
        </w:rPr>
        <w:t>Prosopis</w:t>
      </w:r>
      <w:proofErr w:type="spellEnd"/>
      <w:r>
        <w:rPr>
          <w:i/>
          <w:iCs/>
          <w:highlight w:val="white"/>
        </w:rPr>
        <w:t xml:space="preserve"> </w:t>
      </w:r>
      <w:proofErr w:type="spellStart"/>
      <w:r>
        <w:rPr>
          <w:i/>
          <w:iCs/>
          <w:highlight w:val="white"/>
        </w:rPr>
        <w:t>juliflora</w:t>
      </w:r>
      <w:proofErr w:type="spellEnd"/>
      <w:r>
        <w:rPr>
          <w:highlight w:val="white"/>
        </w:rPr>
        <w:t>) indicam que suas vagens possuem aproximadamente 25–28% de glicose, 11–17% de amido e cerca de 43% de carboidratos totais (açúcares e amido) (ALVES et al., 2019).</w:t>
      </w:r>
    </w:p>
    <w:p w:rsidR="00A26F43" w:rsidRDefault="00000000">
      <w:pPr>
        <w:ind w:firstLine="720"/>
        <w:rPr>
          <w:highlight w:val="white"/>
        </w:rPr>
      </w:pPr>
      <w:r>
        <w:rPr>
          <w:highlight w:val="white"/>
        </w:rPr>
        <w:t xml:space="preserve">A presença de glicose na algaroba amplifica o interesse do setor de biocombustíveis, </w:t>
      </w:r>
      <w:r w:rsidR="00C22E4B">
        <w:rPr>
          <w:highlight w:val="white"/>
        </w:rPr>
        <w:t>devido</w:t>
      </w:r>
      <w:r>
        <w:rPr>
          <w:highlight w:val="white"/>
        </w:rPr>
        <w:t xml:space="preserve"> </w:t>
      </w:r>
      <w:r w:rsidR="00C22E4B">
        <w:rPr>
          <w:highlight w:val="white"/>
        </w:rPr>
        <w:t>à</w:t>
      </w:r>
      <w:r>
        <w:rPr>
          <w:highlight w:val="white"/>
        </w:rPr>
        <w:t xml:space="preserve"> fabricação de Etanol por fermentação alcoólica (SILVA et al., 2017). O teor de matéria orgânica possibilita a geração de biogás por digestão anaeróbia, produzindo assim carvão vegetal, </w:t>
      </w:r>
      <w:proofErr w:type="spellStart"/>
      <w:r>
        <w:rPr>
          <w:highlight w:val="white"/>
        </w:rPr>
        <w:t>bio-óleo</w:t>
      </w:r>
      <w:proofErr w:type="spellEnd"/>
      <w:r>
        <w:rPr>
          <w:highlight w:val="white"/>
        </w:rPr>
        <w:t xml:space="preserve"> e gás de síntese por pirólise e gaseificação (</w:t>
      </w:r>
      <w:proofErr w:type="spellStart"/>
      <w:r>
        <w:rPr>
          <w:highlight w:val="white"/>
        </w:rPr>
        <w:t>SURIAPPARAO</w:t>
      </w:r>
      <w:proofErr w:type="spellEnd"/>
      <w:r>
        <w:rPr>
          <w:highlight w:val="white"/>
        </w:rPr>
        <w:t xml:space="preserve"> et al., 2015).</w:t>
      </w:r>
    </w:p>
    <w:p w:rsidR="00A26F43" w:rsidRDefault="00000000">
      <w:pPr>
        <w:ind w:firstLine="720"/>
        <w:rPr>
          <w:highlight w:val="white"/>
        </w:rPr>
      </w:pPr>
      <w:r>
        <w:rPr>
          <w:highlight w:val="white"/>
        </w:rPr>
        <w:t xml:space="preserve">Ao se tratar dos ácidos orgânicos, a algaroba apresenta diferentes tipos de ácidos graxos. A </w:t>
      </w:r>
      <w:r>
        <w:t>Tabela 1</w:t>
      </w:r>
      <w:r>
        <w:rPr>
          <w:highlight w:val="white"/>
        </w:rPr>
        <w:t xml:space="preserve"> mostra os ácidos graxos contidos nas sementes e vagens da algaroba, segundo o trabalho de Marangoni e Alli (1987).</w:t>
      </w:r>
    </w:p>
    <w:p w:rsidR="00A26F43" w:rsidRDefault="00000000">
      <w:pPr>
        <w:keepNext/>
        <w:keepLines/>
        <w:pBdr>
          <w:top w:val="nil"/>
          <w:left w:val="nil"/>
          <w:bottom w:val="nil"/>
          <w:right w:val="nil"/>
          <w:between w:val="nil"/>
        </w:pBdr>
        <w:spacing w:line="240" w:lineRule="auto"/>
        <w:jc w:val="center"/>
        <w:rPr>
          <w:color w:val="000000"/>
          <w:sz w:val="18"/>
          <w:szCs w:val="18"/>
        </w:rPr>
      </w:pPr>
      <w:bookmarkStart w:id="0" w:name="_heading=h.77dzzkadi4t6" w:colFirst="0" w:colLast="0"/>
      <w:bookmarkEnd w:id="0"/>
      <w:r>
        <w:rPr>
          <w:color w:val="000000"/>
          <w:sz w:val="18"/>
          <w:szCs w:val="18"/>
        </w:rPr>
        <w:t>Tabela 1 – Ácidos Graxos predominantes nas sementes e vagens de algaroba</w:t>
      </w:r>
    </w:p>
    <w:tbl>
      <w:tblPr>
        <w:tblStyle w:val="a7"/>
        <w:tblW w:w="6379" w:type="dxa"/>
        <w:jc w:val="center"/>
        <w:tblInd w:w="0" w:type="dxa"/>
        <w:tblBorders>
          <w:top w:val="single" w:sz="4" w:space="0" w:color="666666"/>
          <w:bottom w:val="single" w:sz="4" w:space="0" w:color="666666"/>
          <w:insideH w:val="single" w:sz="4" w:space="0" w:color="666666"/>
        </w:tblBorders>
        <w:tblLayout w:type="fixed"/>
        <w:tblLook w:val="04A0" w:firstRow="1" w:lastRow="0" w:firstColumn="1" w:lastColumn="0" w:noHBand="0" w:noVBand="1"/>
      </w:tblPr>
      <w:tblGrid>
        <w:gridCol w:w="1986"/>
        <w:gridCol w:w="963"/>
        <w:gridCol w:w="1871"/>
        <w:gridCol w:w="1559"/>
      </w:tblGrid>
      <w:tr w:rsidR="00A26F43" w:rsidTr="00A26F43">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986" w:type="dxa"/>
          </w:tcPr>
          <w:p w:rsidR="00A26F43" w:rsidRDefault="00000000">
            <w:pPr>
              <w:jc w:val="center"/>
              <w:rPr>
                <w:color w:val="000000"/>
              </w:rPr>
            </w:pPr>
            <w:r>
              <w:rPr>
                <w:color w:val="000000"/>
              </w:rPr>
              <w:t>ÁCIDO GRAXO</w:t>
            </w:r>
          </w:p>
        </w:tc>
        <w:tc>
          <w:tcPr>
            <w:tcW w:w="963" w:type="dxa"/>
          </w:tcPr>
          <w:p w:rsidR="00A26F43" w:rsidRDefault="00000000">
            <w:pPr>
              <w:jc w:val="center"/>
              <w:cnfStyle w:val="100000000000" w:firstRow="1" w:lastRow="0" w:firstColumn="0" w:lastColumn="0" w:oddVBand="0" w:evenVBand="0" w:oddHBand="0" w:evenHBand="0" w:firstRowFirstColumn="0" w:firstRowLastColumn="0" w:lastRowFirstColumn="0" w:lastRowLastColumn="0"/>
              <w:rPr>
                <w:color w:val="000000"/>
              </w:rPr>
            </w:pPr>
            <w:r>
              <w:rPr>
                <w:color w:val="000000"/>
              </w:rPr>
              <w:t>SIGLA</w:t>
            </w:r>
          </w:p>
        </w:tc>
        <w:tc>
          <w:tcPr>
            <w:tcW w:w="1871" w:type="dxa"/>
          </w:tcPr>
          <w:p w:rsidR="00A26F43" w:rsidRDefault="00000000">
            <w:pPr>
              <w:jc w:val="center"/>
              <w:cnfStyle w:val="100000000000" w:firstRow="1" w:lastRow="0" w:firstColumn="0" w:lastColumn="0" w:oddVBand="0" w:evenVBand="0" w:oddHBand="0" w:evenHBand="0" w:firstRowFirstColumn="0" w:firstRowLastColumn="0" w:lastRowFirstColumn="0" w:lastRowLastColumn="0"/>
              <w:rPr>
                <w:color w:val="000000"/>
              </w:rPr>
            </w:pPr>
            <w:r>
              <w:rPr>
                <w:color w:val="000000"/>
              </w:rPr>
              <w:t>% SEMENTES</w:t>
            </w:r>
          </w:p>
        </w:tc>
        <w:tc>
          <w:tcPr>
            <w:tcW w:w="1559" w:type="dxa"/>
          </w:tcPr>
          <w:p w:rsidR="00A26F43" w:rsidRDefault="00000000">
            <w:pPr>
              <w:jc w:val="center"/>
              <w:cnfStyle w:val="100000000000" w:firstRow="1" w:lastRow="0" w:firstColumn="0" w:lastColumn="0" w:oddVBand="0" w:evenVBand="0" w:oddHBand="0" w:evenHBand="0" w:firstRowFirstColumn="0" w:firstRowLastColumn="0" w:lastRowFirstColumn="0" w:lastRowLastColumn="0"/>
              <w:rPr>
                <w:color w:val="000000"/>
              </w:rPr>
            </w:pPr>
            <w:r>
              <w:rPr>
                <w:color w:val="000000"/>
              </w:rPr>
              <w:t>% VAGENS</w:t>
            </w:r>
          </w:p>
        </w:tc>
      </w:tr>
      <w:tr w:rsidR="00A26F43" w:rsidTr="00A26F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986" w:type="dxa"/>
          </w:tcPr>
          <w:p w:rsidR="00A26F43" w:rsidRDefault="00000000">
            <w:pPr>
              <w:jc w:val="center"/>
              <w:rPr>
                <w:color w:val="000000"/>
              </w:rPr>
            </w:pPr>
            <w:r>
              <w:rPr>
                <w:color w:val="000000"/>
              </w:rPr>
              <w:t>Linoleico</w:t>
            </w:r>
          </w:p>
        </w:tc>
        <w:tc>
          <w:tcPr>
            <w:tcW w:w="963" w:type="dxa"/>
          </w:tcPr>
          <w:p w:rsidR="00A26F43" w:rsidRDefault="00000000">
            <w:pPr>
              <w:jc w:val="center"/>
              <w:cnfStyle w:val="000000100000" w:firstRow="0" w:lastRow="0" w:firstColumn="0" w:lastColumn="0" w:oddVBand="0" w:evenVBand="0" w:oddHBand="1" w:evenHBand="0" w:firstRowFirstColumn="0" w:firstRowLastColumn="0" w:lastRowFirstColumn="0" w:lastRowLastColumn="0"/>
              <w:rPr>
                <w:color w:val="000000"/>
              </w:rPr>
            </w:pPr>
            <w:proofErr w:type="spellStart"/>
            <w:r>
              <w:rPr>
                <w:color w:val="000000"/>
              </w:rPr>
              <w:t>C18:2</w:t>
            </w:r>
            <w:proofErr w:type="spellEnd"/>
          </w:p>
        </w:tc>
        <w:tc>
          <w:tcPr>
            <w:tcW w:w="1871" w:type="dxa"/>
          </w:tcPr>
          <w:p w:rsidR="00A26F43" w:rsidRDefault="0000000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42,15</w:t>
            </w:r>
          </w:p>
        </w:tc>
        <w:tc>
          <w:tcPr>
            <w:tcW w:w="1559" w:type="dxa"/>
          </w:tcPr>
          <w:p w:rsidR="00A26F43" w:rsidRDefault="0000000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50,92</w:t>
            </w:r>
          </w:p>
        </w:tc>
      </w:tr>
      <w:tr w:rsidR="00A26F43" w:rsidTr="00A26F43">
        <w:trPr>
          <w:trHeight w:val="315"/>
          <w:jc w:val="center"/>
        </w:trPr>
        <w:tc>
          <w:tcPr>
            <w:cnfStyle w:val="001000000000" w:firstRow="0" w:lastRow="0" w:firstColumn="1" w:lastColumn="0" w:oddVBand="0" w:evenVBand="0" w:oddHBand="0" w:evenHBand="0" w:firstRowFirstColumn="0" w:firstRowLastColumn="0" w:lastRowFirstColumn="0" w:lastRowLastColumn="0"/>
            <w:tcW w:w="1986" w:type="dxa"/>
          </w:tcPr>
          <w:p w:rsidR="00A26F43" w:rsidRDefault="00000000">
            <w:pPr>
              <w:jc w:val="center"/>
              <w:rPr>
                <w:color w:val="000000"/>
              </w:rPr>
            </w:pPr>
            <w:r>
              <w:rPr>
                <w:color w:val="000000"/>
              </w:rPr>
              <w:t>Oleico</w:t>
            </w:r>
          </w:p>
        </w:tc>
        <w:tc>
          <w:tcPr>
            <w:tcW w:w="963" w:type="dxa"/>
          </w:tcPr>
          <w:p w:rsidR="00A26F43" w:rsidRDefault="00000000">
            <w:pPr>
              <w:jc w:val="center"/>
              <w:cnfStyle w:val="000000000000" w:firstRow="0" w:lastRow="0" w:firstColumn="0" w:lastColumn="0" w:oddVBand="0" w:evenVBand="0" w:oddHBand="0" w:evenHBand="0" w:firstRowFirstColumn="0" w:firstRowLastColumn="0" w:lastRowFirstColumn="0" w:lastRowLastColumn="0"/>
              <w:rPr>
                <w:color w:val="000000"/>
              </w:rPr>
            </w:pPr>
            <w:proofErr w:type="spellStart"/>
            <w:r>
              <w:rPr>
                <w:color w:val="000000"/>
              </w:rPr>
              <w:t>C18:1</w:t>
            </w:r>
            <w:proofErr w:type="spellEnd"/>
          </w:p>
        </w:tc>
        <w:tc>
          <w:tcPr>
            <w:tcW w:w="1871" w:type="dxa"/>
          </w:tcPr>
          <w:p w:rsidR="00A26F43" w:rsidRDefault="0000000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24,80</w:t>
            </w:r>
          </w:p>
        </w:tc>
        <w:tc>
          <w:tcPr>
            <w:tcW w:w="1559" w:type="dxa"/>
          </w:tcPr>
          <w:p w:rsidR="00A26F43" w:rsidRDefault="0000000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22,74</w:t>
            </w:r>
          </w:p>
        </w:tc>
      </w:tr>
    </w:tbl>
    <w:p w:rsidR="00A26F43" w:rsidRDefault="00000000">
      <w:pPr>
        <w:jc w:val="center"/>
        <w:rPr>
          <w:sz w:val="20"/>
          <w:szCs w:val="20"/>
          <w:highlight w:val="white"/>
        </w:rPr>
      </w:pPr>
      <w:r>
        <w:rPr>
          <w:sz w:val="20"/>
          <w:szCs w:val="20"/>
          <w:highlight w:val="white"/>
        </w:rPr>
        <w:t>Fonte: Marangoni e Alli (1987)</w:t>
      </w:r>
    </w:p>
    <w:p w:rsidR="00A26F43" w:rsidRDefault="00000000">
      <w:pPr>
        <w:ind w:firstLine="720"/>
        <w:rPr>
          <w:highlight w:val="white"/>
        </w:rPr>
      </w:pPr>
      <w:bookmarkStart w:id="1" w:name="_heading=h.vnnrc0ybbobb" w:colFirst="0" w:colLast="0"/>
      <w:bookmarkEnd w:id="1"/>
      <w:r>
        <w:rPr>
          <w:highlight w:val="white"/>
        </w:rPr>
        <w:t>Com a grande quantidade de Ácido Linoleico (</w:t>
      </w:r>
      <w:proofErr w:type="spellStart"/>
      <w:r>
        <w:rPr>
          <w:highlight w:val="white"/>
        </w:rPr>
        <w:t>C18:2</w:t>
      </w:r>
      <w:proofErr w:type="spellEnd"/>
      <w:r>
        <w:rPr>
          <w:highlight w:val="white"/>
        </w:rPr>
        <w:t>) e Oleico (</w:t>
      </w:r>
      <w:proofErr w:type="spellStart"/>
      <w:r>
        <w:rPr>
          <w:highlight w:val="white"/>
        </w:rPr>
        <w:t>C18:1</w:t>
      </w:r>
      <w:proofErr w:type="spellEnd"/>
      <w:r>
        <w:rPr>
          <w:highlight w:val="white"/>
        </w:rPr>
        <w:t xml:space="preserve">), as sementes e vagens da algaroba se mostram como potencial matéria-prima para fabricação de </w:t>
      </w:r>
      <w:r>
        <w:rPr>
          <w:highlight w:val="white"/>
        </w:rPr>
        <w:lastRenderedPageBreak/>
        <w:t xml:space="preserve">biocombustíveis, como o Biodiesel e Combustível Sustentável de Aviação (SAF) (FREITAS et al., 2011) e Óleo Vegetal </w:t>
      </w:r>
      <w:proofErr w:type="spellStart"/>
      <w:r>
        <w:rPr>
          <w:highlight w:val="white"/>
        </w:rPr>
        <w:t>Hidrotratado</w:t>
      </w:r>
      <w:proofErr w:type="spellEnd"/>
      <w:r>
        <w:rPr>
          <w:highlight w:val="white"/>
        </w:rPr>
        <w:t xml:space="preserve"> (</w:t>
      </w:r>
      <w:proofErr w:type="spellStart"/>
      <w:r>
        <w:rPr>
          <w:highlight w:val="white"/>
        </w:rPr>
        <w:t>HVO</w:t>
      </w:r>
      <w:proofErr w:type="spellEnd"/>
      <w:r w:rsidR="00502E2A">
        <w:rPr>
          <w:highlight w:val="white"/>
        </w:rPr>
        <w:t>)</w:t>
      </w:r>
      <w:r>
        <w:rPr>
          <w:highlight w:val="white"/>
        </w:rPr>
        <w:t xml:space="preserve"> (SILVA et al., 2016). Dessa forma, a algaroba se apresenta como uma biomassa versátil e eficiente para a produção de energia renovável.</w:t>
      </w:r>
    </w:p>
    <w:p w:rsidR="00A26F43" w:rsidRDefault="00000000">
      <w:pPr>
        <w:pStyle w:val="Ttulo2"/>
        <w:numPr>
          <w:ilvl w:val="1"/>
          <w:numId w:val="1"/>
        </w:numPr>
      </w:pPr>
      <w:r>
        <w:t xml:space="preserve"> Baronesa (</w:t>
      </w:r>
      <w:proofErr w:type="spellStart"/>
      <w:r>
        <w:rPr>
          <w:i/>
          <w:iCs/>
        </w:rPr>
        <w:t>Eichhornia</w:t>
      </w:r>
      <w:proofErr w:type="spellEnd"/>
      <w:r>
        <w:rPr>
          <w:i/>
          <w:iCs/>
        </w:rPr>
        <w:t xml:space="preserve"> </w:t>
      </w:r>
      <w:proofErr w:type="spellStart"/>
      <w:r>
        <w:rPr>
          <w:i/>
          <w:iCs/>
        </w:rPr>
        <w:t>crassipes</w:t>
      </w:r>
      <w:proofErr w:type="spellEnd"/>
      <w:r>
        <w:t>)</w:t>
      </w:r>
    </w:p>
    <w:p w:rsidR="00A26F43" w:rsidRDefault="00000000">
      <w:pPr>
        <w:ind w:firstLine="720"/>
      </w:pPr>
      <w:r>
        <w:t xml:space="preserve">Conhecida popularmente pelo nome de “baronesa", a </w:t>
      </w:r>
      <w:proofErr w:type="spellStart"/>
      <w:r>
        <w:rPr>
          <w:i/>
          <w:iCs/>
        </w:rPr>
        <w:t>Eichhornia</w:t>
      </w:r>
      <w:proofErr w:type="spellEnd"/>
      <w:r>
        <w:rPr>
          <w:i/>
          <w:iCs/>
        </w:rPr>
        <w:t xml:space="preserve"> </w:t>
      </w:r>
      <w:proofErr w:type="spellStart"/>
      <w:r>
        <w:rPr>
          <w:i/>
          <w:iCs/>
        </w:rPr>
        <w:t>crassipes</w:t>
      </w:r>
      <w:proofErr w:type="spellEnd"/>
      <w:r>
        <w:t xml:space="preserve"> apresenta cerca de 30%–50%, além de 20%–40% de hemicelulose e 15%–30% de lignina e um alto teor de nitrogênio. Sua parte aérea possui uma alta composição nutritiva, com 60,7% de matéria orgânica, 26,16% de carboidratos solúveis e 7,6% de lipídios. </w:t>
      </w:r>
    </w:p>
    <w:p w:rsidR="00A26F43" w:rsidRDefault="00000000" w:rsidP="004D1761">
      <w:pPr>
        <w:ind w:firstLine="720"/>
      </w:pPr>
      <w:r>
        <w:t xml:space="preserve">Com isso, é notório um vasto campo para a produção </w:t>
      </w:r>
      <w:r w:rsidR="003A30D0">
        <w:t>de</w:t>
      </w:r>
      <w:r>
        <w:t xml:space="preserve"> bioetanol, que </w:t>
      </w:r>
      <w:r w:rsidR="004D1761">
        <w:t>se inicia</w:t>
      </w:r>
      <w:r>
        <w:t xml:space="preserve"> com a etapa de pré-tratamento ácido e térmico, resultando na </w:t>
      </w:r>
      <w:proofErr w:type="spellStart"/>
      <w:r>
        <w:t>lignocelulose</w:t>
      </w:r>
      <w:proofErr w:type="spellEnd"/>
      <w:r>
        <w:t xml:space="preserve"> exposta, onde é realizado a </w:t>
      </w:r>
      <w:r w:rsidR="004D1761">
        <w:t>aplicação de</w:t>
      </w:r>
      <w:r>
        <w:t xml:space="preserve"> enzimas e ácidos</w:t>
      </w:r>
      <w:r w:rsidR="003A30D0">
        <w:t>,</w:t>
      </w:r>
      <w:r>
        <w:t xml:space="preserve"> extraindo a Glicose e Xilose. Posteriormente, é adicionado às leveduras, que produzirão o Etanol, e como subproduto, o dióxido de carbono. Por fim, ocorre o processo de destilação do Etanol, obtendo-se o Etanol Anidro e o Hidratado. </w:t>
      </w:r>
    </w:p>
    <w:p w:rsidR="00A26F43" w:rsidRDefault="00000000" w:rsidP="004D1761">
      <w:pPr>
        <w:ind w:firstLine="720"/>
        <w:rPr>
          <w:vertAlign w:val="subscript"/>
        </w:rPr>
      </w:pPr>
      <w:r>
        <w:t xml:space="preserve">Ademais, a produção de biogás por meio da planta, também consiste na hidrólise da Celulose, Hemicelulose e Lignina em meio ácido, partindo para o processo de </w:t>
      </w:r>
      <w:proofErr w:type="spellStart"/>
      <w:r>
        <w:t>Acidogênese</w:t>
      </w:r>
      <w:proofErr w:type="spellEnd"/>
      <w:r>
        <w:t xml:space="preserve">, onde os monossacarídeos gerando são metabolizados por bactérias fermentativas, originando: ácidos orgânicos, álcoois, </w:t>
      </w:r>
      <w:proofErr w:type="spellStart"/>
      <w:r>
        <w:t>H</w:t>
      </w:r>
      <w:r>
        <w:rPr>
          <w:vertAlign w:val="subscript"/>
        </w:rPr>
        <w:t>2</w:t>
      </w:r>
      <w:proofErr w:type="spellEnd"/>
      <w:r>
        <w:t xml:space="preserve"> e </w:t>
      </w:r>
      <w:proofErr w:type="spellStart"/>
      <w:r>
        <w:t>CO</w:t>
      </w:r>
      <w:r>
        <w:rPr>
          <w:vertAlign w:val="subscript"/>
        </w:rPr>
        <w:t>2</w:t>
      </w:r>
      <w:proofErr w:type="spellEnd"/>
      <w:r>
        <w:t xml:space="preserve"> (</w:t>
      </w:r>
      <w:proofErr w:type="spellStart"/>
      <w:r>
        <w:t>WEMBE</w:t>
      </w:r>
      <w:proofErr w:type="spellEnd"/>
      <w:r>
        <w:t xml:space="preserve">, 2023). Iniciando o processo de </w:t>
      </w:r>
      <w:proofErr w:type="spellStart"/>
      <w:r>
        <w:t>Acetogênese</w:t>
      </w:r>
      <w:proofErr w:type="spellEnd"/>
      <w:r>
        <w:t xml:space="preserve">, convertendo os compostos intermediários em ácidos acético, por bactérias </w:t>
      </w:r>
      <w:proofErr w:type="spellStart"/>
      <w:r>
        <w:t>acetogênicas</w:t>
      </w:r>
      <w:proofErr w:type="spellEnd"/>
      <w:r>
        <w:t xml:space="preserve">, e ocorrendo na etapa final, por meio de arqueias metanogênicas, a metanogênese, onde ocorre a formação do biogás, pela via </w:t>
      </w:r>
      <w:proofErr w:type="spellStart"/>
      <w:r>
        <w:t>acetoclástica</w:t>
      </w:r>
      <w:proofErr w:type="spellEnd"/>
      <w:r>
        <w:t xml:space="preserve">; convertendo ácido acético em CH₄ e </w:t>
      </w:r>
      <w:proofErr w:type="spellStart"/>
      <w:r>
        <w:t>CO</w:t>
      </w:r>
      <w:r>
        <w:rPr>
          <w:vertAlign w:val="subscript"/>
        </w:rPr>
        <w:t>2</w:t>
      </w:r>
      <w:proofErr w:type="spellEnd"/>
      <w:r>
        <w:t xml:space="preserve">, e pela via </w:t>
      </w:r>
      <w:proofErr w:type="spellStart"/>
      <w:r>
        <w:t>hidrogenotrófica</w:t>
      </w:r>
      <w:proofErr w:type="spellEnd"/>
      <w:r>
        <w:t xml:space="preserve">; realizando a redução do </w:t>
      </w:r>
      <w:proofErr w:type="spellStart"/>
      <w:r>
        <w:t>CO</w:t>
      </w:r>
      <w:r>
        <w:rPr>
          <w:vertAlign w:val="subscript"/>
        </w:rPr>
        <w:t>2</w:t>
      </w:r>
      <w:proofErr w:type="spellEnd"/>
      <w:r>
        <w:t xml:space="preserve"> com </w:t>
      </w:r>
      <w:proofErr w:type="spellStart"/>
      <w:r>
        <w:t>H</w:t>
      </w:r>
      <w:r>
        <w:rPr>
          <w:vertAlign w:val="subscript"/>
        </w:rPr>
        <w:t>2</w:t>
      </w:r>
      <w:proofErr w:type="spellEnd"/>
      <w:r>
        <w:t xml:space="preserve"> formando CH₄.</w:t>
      </w:r>
    </w:p>
    <w:p w:rsidR="00A26F43" w:rsidRDefault="00000000">
      <w:pPr>
        <w:pStyle w:val="Ttulo2"/>
        <w:numPr>
          <w:ilvl w:val="1"/>
          <w:numId w:val="1"/>
        </w:numPr>
      </w:pPr>
      <w:r>
        <w:t xml:space="preserve"> Coco (Cocos </w:t>
      </w:r>
      <w:proofErr w:type="spellStart"/>
      <w:r>
        <w:t>nucifera</w:t>
      </w:r>
      <w:proofErr w:type="spellEnd"/>
      <w:r>
        <w:t>)</w:t>
      </w:r>
    </w:p>
    <w:p w:rsidR="00A26F43" w:rsidRDefault="00000000">
      <w:pPr>
        <w:ind w:firstLine="720"/>
      </w:pPr>
      <w:r>
        <w:t>A avaliação do óleo de coco mostrou seu potencial como matéria-prima para a obtenção de biocombustível, devido ao alto teor de lipídios, principalmente ácidos graxos saturados de cadeia média (SANTOS et al., 2021; RAMOS et al., 2008). A porcentagem dos principais ácidos graxos no óleo de coco é mostrada na Tabela 1</w:t>
      </w:r>
    </w:p>
    <w:p w:rsidR="00A26F43" w:rsidRDefault="00000000">
      <w:pPr>
        <w:keepLines/>
        <w:pBdr>
          <w:top w:val="nil"/>
          <w:left w:val="nil"/>
          <w:bottom w:val="nil"/>
          <w:right w:val="nil"/>
          <w:between w:val="nil"/>
        </w:pBdr>
        <w:spacing w:line="240" w:lineRule="auto"/>
        <w:jc w:val="center"/>
        <w:rPr>
          <w:color w:val="000000"/>
          <w:sz w:val="18"/>
          <w:szCs w:val="18"/>
        </w:rPr>
      </w:pPr>
      <w:r>
        <w:rPr>
          <w:color w:val="000000"/>
          <w:sz w:val="18"/>
          <w:szCs w:val="18"/>
        </w:rPr>
        <w:t>Tabela 1 - Composição dos principais ácidos graxos do óleo de coco</w:t>
      </w:r>
    </w:p>
    <w:tbl>
      <w:tblPr>
        <w:tblStyle w:val="a8"/>
        <w:tblW w:w="7655" w:type="dxa"/>
        <w:jc w:val="center"/>
        <w:tblInd w:w="0" w:type="dxa"/>
        <w:tblBorders>
          <w:top w:val="single" w:sz="4" w:space="0" w:color="666666"/>
          <w:bottom w:val="single" w:sz="4" w:space="0" w:color="666666"/>
          <w:insideH w:val="single" w:sz="4" w:space="0" w:color="666666"/>
        </w:tblBorders>
        <w:tblLayout w:type="fixed"/>
        <w:tblLook w:val="04A0" w:firstRow="1" w:lastRow="0" w:firstColumn="1" w:lastColumn="0" w:noHBand="0" w:noVBand="1"/>
      </w:tblPr>
      <w:tblGrid>
        <w:gridCol w:w="1985"/>
        <w:gridCol w:w="2126"/>
        <w:gridCol w:w="3544"/>
      </w:tblGrid>
      <w:tr w:rsidR="00A26F43" w:rsidTr="00A26F4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tcPr>
          <w:p w:rsidR="00A26F43" w:rsidRDefault="00000000">
            <w:pPr>
              <w:jc w:val="center"/>
            </w:pPr>
            <w:r>
              <w:t>ÁCIDO GRAXO</w:t>
            </w:r>
          </w:p>
        </w:tc>
        <w:tc>
          <w:tcPr>
            <w:tcW w:w="2126" w:type="dxa"/>
          </w:tcPr>
          <w:p w:rsidR="00A26F43" w:rsidRDefault="00000000">
            <w:pPr>
              <w:jc w:val="center"/>
              <w:cnfStyle w:val="100000000000" w:firstRow="1" w:lastRow="0" w:firstColumn="0" w:lastColumn="0" w:oddVBand="0" w:evenVBand="0" w:oddHBand="0" w:evenHBand="0" w:firstRowFirstColumn="0" w:firstRowLastColumn="0" w:lastRowFirstColumn="0" w:lastRowLastColumn="0"/>
            </w:pPr>
            <w:r>
              <w:t>SIGLA</w:t>
            </w:r>
          </w:p>
        </w:tc>
        <w:tc>
          <w:tcPr>
            <w:tcW w:w="3544" w:type="dxa"/>
          </w:tcPr>
          <w:p w:rsidR="00A26F43" w:rsidRDefault="00000000">
            <w:pPr>
              <w:jc w:val="center"/>
              <w:cnfStyle w:val="100000000000" w:firstRow="1" w:lastRow="0" w:firstColumn="0" w:lastColumn="0" w:oddVBand="0" w:evenVBand="0" w:oddHBand="0" w:evenHBand="0" w:firstRowFirstColumn="0" w:firstRowLastColumn="0" w:lastRowFirstColumn="0" w:lastRowLastColumn="0"/>
            </w:pPr>
            <w:proofErr w:type="spellStart"/>
            <w:r>
              <w:t>PERCENTURAL</w:t>
            </w:r>
            <w:proofErr w:type="spellEnd"/>
            <w:r>
              <w:t xml:space="preserve"> MÉDIO (%)</w:t>
            </w:r>
          </w:p>
        </w:tc>
      </w:tr>
      <w:tr w:rsidR="00A26F43" w:rsidTr="00A26F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tcPr>
          <w:p w:rsidR="00A26F43" w:rsidRDefault="00000000">
            <w:pPr>
              <w:jc w:val="center"/>
            </w:pPr>
            <w:r>
              <w:rPr>
                <w:b w:val="0"/>
                <w:bCs w:val="0"/>
              </w:rPr>
              <w:t>Ácido Láurico</w:t>
            </w:r>
          </w:p>
        </w:tc>
        <w:tc>
          <w:tcPr>
            <w:tcW w:w="2126" w:type="dxa"/>
          </w:tcPr>
          <w:p w:rsidR="00A26F43" w:rsidRDefault="00000000">
            <w:pPr>
              <w:jc w:val="center"/>
              <w:cnfStyle w:val="000000100000" w:firstRow="0" w:lastRow="0" w:firstColumn="0" w:lastColumn="0" w:oddVBand="0" w:evenVBand="0" w:oddHBand="1" w:evenHBand="0" w:firstRowFirstColumn="0" w:firstRowLastColumn="0" w:lastRowFirstColumn="0" w:lastRowLastColumn="0"/>
            </w:pPr>
            <w:proofErr w:type="spellStart"/>
            <w:r>
              <w:t>C12:0</w:t>
            </w:r>
            <w:proofErr w:type="spellEnd"/>
          </w:p>
        </w:tc>
        <w:tc>
          <w:tcPr>
            <w:tcW w:w="3544" w:type="dxa"/>
          </w:tcPr>
          <w:p w:rsidR="00A26F43" w:rsidRDefault="00000000">
            <w:pPr>
              <w:jc w:val="center"/>
              <w:cnfStyle w:val="000000100000" w:firstRow="0" w:lastRow="0" w:firstColumn="0" w:lastColumn="0" w:oddVBand="0" w:evenVBand="0" w:oddHBand="1" w:evenHBand="0" w:firstRowFirstColumn="0" w:firstRowLastColumn="0" w:lastRowFirstColumn="0" w:lastRowLastColumn="0"/>
            </w:pPr>
            <w:r>
              <w:t>45 – 53</w:t>
            </w:r>
          </w:p>
        </w:tc>
      </w:tr>
      <w:tr w:rsidR="00A26F43" w:rsidTr="00A26F43">
        <w:trPr>
          <w:jc w:val="center"/>
        </w:trPr>
        <w:tc>
          <w:tcPr>
            <w:cnfStyle w:val="001000000000" w:firstRow="0" w:lastRow="0" w:firstColumn="1" w:lastColumn="0" w:oddVBand="0" w:evenVBand="0" w:oddHBand="0" w:evenHBand="0" w:firstRowFirstColumn="0" w:firstRowLastColumn="0" w:lastRowFirstColumn="0" w:lastRowLastColumn="0"/>
            <w:tcW w:w="1985" w:type="dxa"/>
          </w:tcPr>
          <w:p w:rsidR="00A26F43" w:rsidRDefault="00000000">
            <w:pPr>
              <w:jc w:val="center"/>
            </w:pPr>
            <w:r>
              <w:rPr>
                <w:b w:val="0"/>
                <w:bCs w:val="0"/>
              </w:rPr>
              <w:t xml:space="preserve">Ácido </w:t>
            </w:r>
            <w:proofErr w:type="spellStart"/>
            <w:r>
              <w:rPr>
                <w:b w:val="0"/>
                <w:bCs w:val="0"/>
              </w:rPr>
              <w:t>Mirístico</w:t>
            </w:r>
            <w:proofErr w:type="spellEnd"/>
          </w:p>
        </w:tc>
        <w:tc>
          <w:tcPr>
            <w:tcW w:w="2126" w:type="dxa"/>
          </w:tcPr>
          <w:p w:rsidR="00A26F43" w:rsidRDefault="00000000">
            <w:pPr>
              <w:jc w:val="center"/>
              <w:cnfStyle w:val="000000000000" w:firstRow="0" w:lastRow="0" w:firstColumn="0" w:lastColumn="0" w:oddVBand="0" w:evenVBand="0" w:oddHBand="0" w:evenHBand="0" w:firstRowFirstColumn="0" w:firstRowLastColumn="0" w:lastRowFirstColumn="0" w:lastRowLastColumn="0"/>
            </w:pPr>
            <w:proofErr w:type="spellStart"/>
            <w:r>
              <w:t>C14:0</w:t>
            </w:r>
            <w:proofErr w:type="spellEnd"/>
          </w:p>
        </w:tc>
        <w:tc>
          <w:tcPr>
            <w:tcW w:w="3544" w:type="dxa"/>
          </w:tcPr>
          <w:p w:rsidR="00A26F43" w:rsidRDefault="00000000">
            <w:pPr>
              <w:jc w:val="center"/>
              <w:cnfStyle w:val="000000000000" w:firstRow="0" w:lastRow="0" w:firstColumn="0" w:lastColumn="0" w:oddVBand="0" w:evenVBand="0" w:oddHBand="0" w:evenHBand="0" w:firstRowFirstColumn="0" w:firstRowLastColumn="0" w:lastRowFirstColumn="0" w:lastRowLastColumn="0"/>
            </w:pPr>
            <w:r>
              <w:t>16 – 21</w:t>
            </w:r>
          </w:p>
        </w:tc>
      </w:tr>
      <w:tr w:rsidR="00A26F43" w:rsidTr="00A26F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tcPr>
          <w:p w:rsidR="00A26F43" w:rsidRDefault="00000000">
            <w:pPr>
              <w:jc w:val="center"/>
            </w:pPr>
            <w:r>
              <w:rPr>
                <w:b w:val="0"/>
                <w:bCs w:val="0"/>
              </w:rPr>
              <w:t>Ácido Palmítico</w:t>
            </w:r>
          </w:p>
        </w:tc>
        <w:tc>
          <w:tcPr>
            <w:tcW w:w="2126" w:type="dxa"/>
          </w:tcPr>
          <w:p w:rsidR="00A26F43" w:rsidRDefault="00000000">
            <w:pPr>
              <w:jc w:val="center"/>
              <w:cnfStyle w:val="000000100000" w:firstRow="0" w:lastRow="0" w:firstColumn="0" w:lastColumn="0" w:oddVBand="0" w:evenVBand="0" w:oddHBand="1" w:evenHBand="0" w:firstRowFirstColumn="0" w:firstRowLastColumn="0" w:lastRowFirstColumn="0" w:lastRowLastColumn="0"/>
            </w:pPr>
            <w:proofErr w:type="spellStart"/>
            <w:r>
              <w:t>C16:0</w:t>
            </w:r>
            <w:proofErr w:type="spellEnd"/>
          </w:p>
        </w:tc>
        <w:tc>
          <w:tcPr>
            <w:tcW w:w="3544" w:type="dxa"/>
          </w:tcPr>
          <w:p w:rsidR="00A26F43" w:rsidRDefault="00000000">
            <w:pPr>
              <w:jc w:val="center"/>
              <w:cnfStyle w:val="000000100000" w:firstRow="0" w:lastRow="0" w:firstColumn="0" w:lastColumn="0" w:oddVBand="0" w:evenVBand="0" w:oddHBand="1" w:evenHBand="0" w:firstRowFirstColumn="0" w:firstRowLastColumn="0" w:lastRowFirstColumn="0" w:lastRowLastColumn="0"/>
            </w:pPr>
            <w:r>
              <w:t>8 – 10</w:t>
            </w:r>
          </w:p>
        </w:tc>
      </w:tr>
    </w:tbl>
    <w:p w:rsidR="00A26F43" w:rsidRDefault="00000000">
      <w:pPr>
        <w:jc w:val="center"/>
        <w:rPr>
          <w:sz w:val="18"/>
          <w:szCs w:val="18"/>
        </w:rPr>
      </w:pPr>
      <w:r>
        <w:rPr>
          <w:sz w:val="18"/>
          <w:szCs w:val="18"/>
        </w:rPr>
        <w:t xml:space="preserve">Fonte: Marina, et al. 2009; </w:t>
      </w:r>
      <w:proofErr w:type="spellStart"/>
      <w:r>
        <w:rPr>
          <w:sz w:val="18"/>
          <w:szCs w:val="18"/>
        </w:rPr>
        <w:t>Nevin</w:t>
      </w:r>
      <w:proofErr w:type="spellEnd"/>
      <w:r>
        <w:rPr>
          <w:sz w:val="18"/>
          <w:szCs w:val="18"/>
        </w:rPr>
        <w:t xml:space="preserve"> &amp; </w:t>
      </w:r>
      <w:proofErr w:type="spellStart"/>
      <w:r>
        <w:rPr>
          <w:sz w:val="18"/>
          <w:szCs w:val="18"/>
        </w:rPr>
        <w:t>Rajamohan</w:t>
      </w:r>
      <w:proofErr w:type="spellEnd"/>
      <w:r>
        <w:rPr>
          <w:sz w:val="18"/>
          <w:szCs w:val="18"/>
        </w:rPr>
        <w:t xml:space="preserve"> (2004).</w:t>
      </w:r>
    </w:p>
    <w:p w:rsidR="00A26F43" w:rsidRDefault="00000000">
      <w:pPr>
        <w:ind w:firstLine="720"/>
      </w:pPr>
      <w:r>
        <w:t>Observa-se a predominância dos ácidos láurico (</w:t>
      </w:r>
      <w:proofErr w:type="spellStart"/>
      <w:r>
        <w:t>C12:0</w:t>
      </w:r>
      <w:proofErr w:type="spellEnd"/>
      <w:r>
        <w:t xml:space="preserve">), </w:t>
      </w:r>
      <w:proofErr w:type="spellStart"/>
      <w:r>
        <w:t>mirístico</w:t>
      </w:r>
      <w:proofErr w:type="spellEnd"/>
      <w:r>
        <w:t xml:space="preserve"> (</w:t>
      </w:r>
      <w:proofErr w:type="spellStart"/>
      <w:r>
        <w:t>C14:0</w:t>
      </w:r>
      <w:proofErr w:type="spellEnd"/>
      <w:r>
        <w:t>) e palmítico (</w:t>
      </w:r>
      <w:proofErr w:type="spellStart"/>
      <w:r>
        <w:t>C16:0</w:t>
      </w:r>
      <w:proofErr w:type="spellEnd"/>
      <w:r>
        <w:t>), dos quais é possível fabricar diferentes biocombustíveis. A partir dessa composição, diversas estratégias tecnológicas podem ser utilizadas, como mostrado na Tabela 2. (SANTOS et al., 2021).</w:t>
      </w:r>
    </w:p>
    <w:p w:rsidR="00A26F43" w:rsidRDefault="00000000">
      <w:pPr>
        <w:keepNext/>
        <w:keepLines/>
        <w:pBdr>
          <w:top w:val="nil"/>
          <w:left w:val="nil"/>
          <w:bottom w:val="nil"/>
          <w:right w:val="nil"/>
          <w:between w:val="nil"/>
        </w:pBdr>
        <w:spacing w:line="240" w:lineRule="auto"/>
        <w:jc w:val="center"/>
        <w:rPr>
          <w:color w:val="000000"/>
          <w:sz w:val="18"/>
          <w:szCs w:val="18"/>
        </w:rPr>
      </w:pPr>
      <w:r>
        <w:rPr>
          <w:color w:val="000000"/>
          <w:sz w:val="18"/>
          <w:szCs w:val="18"/>
        </w:rPr>
        <w:t>Tabela 1 - Biocombustíveis produzidos a partir do óleo de coco</w:t>
      </w:r>
    </w:p>
    <w:tbl>
      <w:tblPr>
        <w:tblStyle w:val="a9"/>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4"/>
        <w:gridCol w:w="2457"/>
        <w:gridCol w:w="2604"/>
        <w:gridCol w:w="2126"/>
      </w:tblGrid>
      <w:tr w:rsidR="00A26F43">
        <w:trPr>
          <w:jc w:val="center"/>
        </w:trPr>
        <w:tc>
          <w:tcPr>
            <w:tcW w:w="2164" w:type="dxa"/>
            <w:tcBorders>
              <w:left w:val="nil"/>
            </w:tcBorders>
          </w:tcPr>
          <w:p w:rsidR="00A26F43" w:rsidRDefault="00000000">
            <w:pPr>
              <w:pBdr>
                <w:top w:val="nil"/>
                <w:left w:val="nil"/>
                <w:bottom w:val="nil"/>
                <w:right w:val="nil"/>
                <w:between w:val="nil"/>
              </w:pBdr>
              <w:spacing w:line="240" w:lineRule="auto"/>
              <w:rPr>
                <w:b/>
                <w:bCs/>
                <w:color w:val="000000"/>
              </w:rPr>
            </w:pPr>
            <w:r>
              <w:rPr>
                <w:b/>
                <w:bCs/>
                <w:color w:val="000000"/>
              </w:rPr>
              <w:t>ÁCIDO GRAXO</w:t>
            </w:r>
          </w:p>
        </w:tc>
        <w:tc>
          <w:tcPr>
            <w:tcW w:w="2457" w:type="dxa"/>
          </w:tcPr>
          <w:p w:rsidR="00A26F43" w:rsidRDefault="00000000">
            <w:pPr>
              <w:pBdr>
                <w:top w:val="nil"/>
                <w:left w:val="nil"/>
                <w:bottom w:val="nil"/>
                <w:right w:val="nil"/>
                <w:between w:val="nil"/>
              </w:pBdr>
              <w:spacing w:line="240" w:lineRule="auto"/>
              <w:rPr>
                <w:b/>
                <w:bCs/>
                <w:color w:val="000000"/>
              </w:rPr>
            </w:pPr>
            <w:r>
              <w:rPr>
                <w:b/>
                <w:bCs/>
                <w:color w:val="000000"/>
              </w:rPr>
              <w:t>BIOCOMBUSTÍVEL</w:t>
            </w:r>
          </w:p>
        </w:tc>
        <w:tc>
          <w:tcPr>
            <w:tcW w:w="2604" w:type="dxa"/>
          </w:tcPr>
          <w:p w:rsidR="00A26F43" w:rsidRDefault="00000000">
            <w:pPr>
              <w:pBdr>
                <w:top w:val="nil"/>
                <w:left w:val="nil"/>
                <w:bottom w:val="nil"/>
                <w:right w:val="nil"/>
                <w:between w:val="nil"/>
              </w:pBdr>
              <w:spacing w:line="240" w:lineRule="auto"/>
              <w:rPr>
                <w:b/>
                <w:bCs/>
                <w:color w:val="000000"/>
              </w:rPr>
            </w:pPr>
            <w:r>
              <w:rPr>
                <w:b/>
                <w:bCs/>
                <w:color w:val="000000"/>
              </w:rPr>
              <w:t>ROTA REACIONAL</w:t>
            </w:r>
          </w:p>
        </w:tc>
        <w:tc>
          <w:tcPr>
            <w:tcW w:w="2126" w:type="dxa"/>
            <w:tcBorders>
              <w:right w:val="nil"/>
            </w:tcBorders>
          </w:tcPr>
          <w:p w:rsidR="00A26F43" w:rsidRDefault="00000000">
            <w:pPr>
              <w:pBdr>
                <w:top w:val="nil"/>
                <w:left w:val="nil"/>
                <w:bottom w:val="nil"/>
                <w:right w:val="nil"/>
                <w:between w:val="nil"/>
              </w:pBdr>
              <w:spacing w:line="240" w:lineRule="auto"/>
              <w:rPr>
                <w:b/>
                <w:bCs/>
                <w:color w:val="000000"/>
              </w:rPr>
            </w:pPr>
            <w:r>
              <w:rPr>
                <w:b/>
                <w:bCs/>
                <w:color w:val="000000"/>
              </w:rPr>
              <w:t>REFERÊNCIA</w:t>
            </w:r>
          </w:p>
        </w:tc>
      </w:tr>
      <w:tr w:rsidR="00A26F43">
        <w:trPr>
          <w:jc w:val="center"/>
        </w:trPr>
        <w:tc>
          <w:tcPr>
            <w:tcW w:w="2164" w:type="dxa"/>
            <w:vMerge w:val="restart"/>
            <w:tcBorders>
              <w:left w:val="nil"/>
            </w:tcBorders>
          </w:tcPr>
          <w:p w:rsidR="00A26F43" w:rsidRDefault="00000000">
            <w:pPr>
              <w:pBdr>
                <w:top w:val="nil"/>
                <w:left w:val="nil"/>
                <w:bottom w:val="nil"/>
                <w:right w:val="nil"/>
                <w:between w:val="nil"/>
              </w:pBdr>
              <w:spacing w:line="240" w:lineRule="auto"/>
              <w:rPr>
                <w:color w:val="000000"/>
              </w:rPr>
            </w:pPr>
            <w:proofErr w:type="spellStart"/>
            <w:r>
              <w:rPr>
                <w:color w:val="000000"/>
              </w:rPr>
              <w:t>C12:0</w:t>
            </w:r>
            <w:proofErr w:type="spellEnd"/>
          </w:p>
        </w:tc>
        <w:tc>
          <w:tcPr>
            <w:tcW w:w="2457" w:type="dxa"/>
          </w:tcPr>
          <w:p w:rsidR="00A26F43" w:rsidRDefault="00000000">
            <w:pPr>
              <w:pBdr>
                <w:top w:val="nil"/>
                <w:left w:val="nil"/>
                <w:bottom w:val="nil"/>
                <w:right w:val="nil"/>
                <w:between w:val="nil"/>
              </w:pBdr>
              <w:spacing w:line="240" w:lineRule="auto"/>
              <w:rPr>
                <w:color w:val="000000"/>
              </w:rPr>
            </w:pPr>
            <w:r>
              <w:rPr>
                <w:color w:val="000000"/>
              </w:rPr>
              <w:t>Biodiesel</w:t>
            </w:r>
          </w:p>
        </w:tc>
        <w:tc>
          <w:tcPr>
            <w:tcW w:w="2604" w:type="dxa"/>
          </w:tcPr>
          <w:p w:rsidR="00A26F43" w:rsidRDefault="00000000">
            <w:pPr>
              <w:pBdr>
                <w:top w:val="nil"/>
                <w:left w:val="nil"/>
                <w:bottom w:val="nil"/>
                <w:right w:val="nil"/>
                <w:between w:val="nil"/>
              </w:pBdr>
              <w:spacing w:line="240" w:lineRule="auto"/>
              <w:rPr>
                <w:color w:val="000000"/>
              </w:rPr>
            </w:pPr>
            <w:r>
              <w:rPr>
                <w:color w:val="000000"/>
              </w:rPr>
              <w:t>Transesterificação</w:t>
            </w:r>
          </w:p>
        </w:tc>
        <w:tc>
          <w:tcPr>
            <w:tcW w:w="2126" w:type="dxa"/>
            <w:tcBorders>
              <w:right w:val="nil"/>
            </w:tcBorders>
          </w:tcPr>
          <w:p w:rsidR="00A26F43" w:rsidRDefault="00000000">
            <w:pPr>
              <w:pBdr>
                <w:top w:val="nil"/>
                <w:left w:val="nil"/>
                <w:bottom w:val="nil"/>
                <w:right w:val="nil"/>
                <w:between w:val="nil"/>
              </w:pBdr>
              <w:spacing w:line="240" w:lineRule="auto"/>
              <w:rPr>
                <w:color w:val="000000"/>
              </w:rPr>
            </w:pPr>
            <w:proofErr w:type="spellStart"/>
            <w:r>
              <w:rPr>
                <w:color w:val="000000"/>
              </w:rPr>
              <w:t>Knothe</w:t>
            </w:r>
            <w:proofErr w:type="spellEnd"/>
            <w:r>
              <w:rPr>
                <w:color w:val="000000"/>
              </w:rPr>
              <w:t xml:space="preserve"> et al., 2010</w:t>
            </w:r>
          </w:p>
        </w:tc>
      </w:tr>
      <w:tr w:rsidR="00A26F43">
        <w:trPr>
          <w:jc w:val="center"/>
        </w:trPr>
        <w:tc>
          <w:tcPr>
            <w:tcW w:w="2164" w:type="dxa"/>
            <w:vMerge/>
            <w:tcBorders>
              <w:left w:val="nil"/>
            </w:tcBorders>
          </w:tcPr>
          <w:p w:rsidR="00A26F43" w:rsidRDefault="00A26F43">
            <w:pPr>
              <w:widowControl w:val="0"/>
              <w:pBdr>
                <w:top w:val="nil"/>
                <w:left w:val="nil"/>
                <w:bottom w:val="nil"/>
                <w:right w:val="nil"/>
                <w:between w:val="nil"/>
              </w:pBdr>
              <w:spacing w:line="276" w:lineRule="auto"/>
              <w:jc w:val="left"/>
              <w:rPr>
                <w:color w:val="000000"/>
              </w:rPr>
            </w:pPr>
          </w:p>
        </w:tc>
        <w:tc>
          <w:tcPr>
            <w:tcW w:w="2457" w:type="dxa"/>
          </w:tcPr>
          <w:p w:rsidR="00A26F43" w:rsidRDefault="00000000">
            <w:pPr>
              <w:pBdr>
                <w:top w:val="nil"/>
                <w:left w:val="nil"/>
                <w:bottom w:val="nil"/>
                <w:right w:val="nil"/>
                <w:between w:val="nil"/>
              </w:pBdr>
              <w:spacing w:line="240" w:lineRule="auto"/>
              <w:rPr>
                <w:color w:val="000000"/>
              </w:rPr>
            </w:pPr>
            <w:r>
              <w:rPr>
                <w:color w:val="000000"/>
              </w:rPr>
              <w:t>SAF</w:t>
            </w:r>
          </w:p>
        </w:tc>
        <w:tc>
          <w:tcPr>
            <w:tcW w:w="2604" w:type="dxa"/>
          </w:tcPr>
          <w:p w:rsidR="00A26F43" w:rsidRDefault="00000000">
            <w:pPr>
              <w:pBdr>
                <w:top w:val="nil"/>
                <w:left w:val="nil"/>
                <w:bottom w:val="nil"/>
                <w:right w:val="nil"/>
                <w:between w:val="nil"/>
              </w:pBdr>
              <w:spacing w:line="240" w:lineRule="auto"/>
              <w:rPr>
                <w:color w:val="000000"/>
              </w:rPr>
            </w:pPr>
            <w:r>
              <w:rPr>
                <w:color w:val="000000"/>
              </w:rPr>
              <w:t>Hidrotratamento</w:t>
            </w:r>
          </w:p>
        </w:tc>
        <w:tc>
          <w:tcPr>
            <w:tcW w:w="2126" w:type="dxa"/>
            <w:tcBorders>
              <w:right w:val="nil"/>
            </w:tcBorders>
          </w:tcPr>
          <w:p w:rsidR="00A26F43" w:rsidRDefault="00000000">
            <w:pPr>
              <w:pBdr>
                <w:top w:val="nil"/>
                <w:left w:val="nil"/>
                <w:bottom w:val="nil"/>
                <w:right w:val="nil"/>
                <w:between w:val="nil"/>
              </w:pBdr>
              <w:spacing w:line="240" w:lineRule="auto"/>
              <w:rPr>
                <w:color w:val="000000"/>
              </w:rPr>
            </w:pPr>
            <w:r>
              <w:rPr>
                <w:color w:val="000000"/>
              </w:rPr>
              <w:t>ANP, 2020</w:t>
            </w:r>
          </w:p>
        </w:tc>
      </w:tr>
      <w:tr w:rsidR="00A26F43">
        <w:trPr>
          <w:jc w:val="center"/>
        </w:trPr>
        <w:tc>
          <w:tcPr>
            <w:tcW w:w="2164" w:type="dxa"/>
            <w:tcBorders>
              <w:left w:val="nil"/>
            </w:tcBorders>
          </w:tcPr>
          <w:p w:rsidR="00A26F43" w:rsidRDefault="00000000">
            <w:pPr>
              <w:pBdr>
                <w:top w:val="nil"/>
                <w:left w:val="nil"/>
                <w:bottom w:val="nil"/>
                <w:right w:val="nil"/>
                <w:between w:val="nil"/>
              </w:pBdr>
              <w:spacing w:line="240" w:lineRule="auto"/>
              <w:rPr>
                <w:color w:val="000000"/>
              </w:rPr>
            </w:pPr>
            <w:proofErr w:type="spellStart"/>
            <w:r>
              <w:rPr>
                <w:color w:val="000000"/>
              </w:rPr>
              <w:t>C14:0</w:t>
            </w:r>
            <w:proofErr w:type="spellEnd"/>
          </w:p>
        </w:tc>
        <w:tc>
          <w:tcPr>
            <w:tcW w:w="2457" w:type="dxa"/>
          </w:tcPr>
          <w:p w:rsidR="00A26F43" w:rsidRDefault="00000000">
            <w:pPr>
              <w:pBdr>
                <w:top w:val="nil"/>
                <w:left w:val="nil"/>
                <w:bottom w:val="nil"/>
                <w:right w:val="nil"/>
                <w:between w:val="nil"/>
              </w:pBdr>
              <w:spacing w:line="240" w:lineRule="auto"/>
              <w:rPr>
                <w:color w:val="000000"/>
              </w:rPr>
            </w:pPr>
            <w:r>
              <w:rPr>
                <w:color w:val="000000"/>
              </w:rPr>
              <w:t>Biodiesel</w:t>
            </w:r>
          </w:p>
        </w:tc>
        <w:tc>
          <w:tcPr>
            <w:tcW w:w="2604" w:type="dxa"/>
          </w:tcPr>
          <w:p w:rsidR="00A26F43" w:rsidRDefault="00000000">
            <w:pPr>
              <w:pBdr>
                <w:top w:val="nil"/>
                <w:left w:val="nil"/>
                <w:bottom w:val="nil"/>
                <w:right w:val="nil"/>
                <w:between w:val="nil"/>
              </w:pBdr>
              <w:spacing w:line="240" w:lineRule="auto"/>
              <w:rPr>
                <w:color w:val="000000"/>
              </w:rPr>
            </w:pPr>
            <w:r>
              <w:rPr>
                <w:color w:val="000000"/>
              </w:rPr>
              <w:t>Transesterificação</w:t>
            </w:r>
          </w:p>
        </w:tc>
        <w:tc>
          <w:tcPr>
            <w:tcW w:w="2126" w:type="dxa"/>
            <w:tcBorders>
              <w:right w:val="nil"/>
            </w:tcBorders>
          </w:tcPr>
          <w:p w:rsidR="00A26F43" w:rsidRDefault="00000000">
            <w:pPr>
              <w:pBdr>
                <w:top w:val="nil"/>
                <w:left w:val="nil"/>
                <w:bottom w:val="nil"/>
                <w:right w:val="nil"/>
                <w:between w:val="nil"/>
              </w:pBdr>
              <w:spacing w:line="240" w:lineRule="auto"/>
              <w:rPr>
                <w:color w:val="000000"/>
              </w:rPr>
            </w:pPr>
            <w:proofErr w:type="spellStart"/>
            <w:r>
              <w:rPr>
                <w:color w:val="000000"/>
              </w:rPr>
              <w:t>Meher</w:t>
            </w:r>
            <w:proofErr w:type="spellEnd"/>
            <w:r>
              <w:rPr>
                <w:color w:val="000000"/>
              </w:rPr>
              <w:t xml:space="preserve"> et al., 2006</w:t>
            </w:r>
          </w:p>
        </w:tc>
      </w:tr>
      <w:tr w:rsidR="00A26F43">
        <w:trPr>
          <w:jc w:val="center"/>
        </w:trPr>
        <w:tc>
          <w:tcPr>
            <w:tcW w:w="2164" w:type="dxa"/>
            <w:vMerge w:val="restart"/>
            <w:tcBorders>
              <w:left w:val="nil"/>
            </w:tcBorders>
          </w:tcPr>
          <w:p w:rsidR="00A26F43" w:rsidRDefault="00000000">
            <w:pPr>
              <w:pBdr>
                <w:top w:val="nil"/>
                <w:left w:val="nil"/>
                <w:bottom w:val="nil"/>
                <w:right w:val="nil"/>
                <w:between w:val="nil"/>
              </w:pBdr>
              <w:spacing w:line="240" w:lineRule="auto"/>
              <w:rPr>
                <w:color w:val="000000"/>
              </w:rPr>
            </w:pPr>
            <w:proofErr w:type="spellStart"/>
            <w:r>
              <w:rPr>
                <w:color w:val="000000"/>
              </w:rPr>
              <w:t>C16:0</w:t>
            </w:r>
            <w:proofErr w:type="spellEnd"/>
          </w:p>
        </w:tc>
        <w:tc>
          <w:tcPr>
            <w:tcW w:w="2457" w:type="dxa"/>
          </w:tcPr>
          <w:p w:rsidR="00A26F43" w:rsidRDefault="00000000">
            <w:pPr>
              <w:pBdr>
                <w:top w:val="nil"/>
                <w:left w:val="nil"/>
                <w:bottom w:val="nil"/>
                <w:right w:val="nil"/>
                <w:between w:val="nil"/>
              </w:pBdr>
              <w:spacing w:line="240" w:lineRule="auto"/>
              <w:rPr>
                <w:color w:val="000000"/>
              </w:rPr>
            </w:pPr>
            <w:proofErr w:type="spellStart"/>
            <w:r>
              <w:rPr>
                <w:color w:val="000000"/>
              </w:rPr>
              <w:t>HVO</w:t>
            </w:r>
            <w:proofErr w:type="spellEnd"/>
          </w:p>
        </w:tc>
        <w:tc>
          <w:tcPr>
            <w:tcW w:w="2604" w:type="dxa"/>
          </w:tcPr>
          <w:p w:rsidR="00A26F43" w:rsidRDefault="00000000">
            <w:pPr>
              <w:pBdr>
                <w:top w:val="nil"/>
                <w:left w:val="nil"/>
                <w:bottom w:val="nil"/>
                <w:right w:val="nil"/>
                <w:between w:val="nil"/>
              </w:pBdr>
              <w:spacing w:line="240" w:lineRule="auto"/>
              <w:rPr>
                <w:color w:val="000000"/>
              </w:rPr>
            </w:pPr>
            <w:proofErr w:type="spellStart"/>
            <w:r>
              <w:rPr>
                <w:color w:val="000000"/>
              </w:rPr>
              <w:t>Hidrodesoxigenação</w:t>
            </w:r>
            <w:proofErr w:type="spellEnd"/>
          </w:p>
        </w:tc>
        <w:tc>
          <w:tcPr>
            <w:tcW w:w="2126" w:type="dxa"/>
            <w:tcBorders>
              <w:right w:val="nil"/>
            </w:tcBorders>
          </w:tcPr>
          <w:p w:rsidR="00A26F43" w:rsidRDefault="00000000">
            <w:pPr>
              <w:pBdr>
                <w:top w:val="nil"/>
                <w:left w:val="nil"/>
                <w:bottom w:val="nil"/>
                <w:right w:val="nil"/>
                <w:between w:val="nil"/>
              </w:pBdr>
              <w:spacing w:line="240" w:lineRule="auto"/>
              <w:rPr>
                <w:color w:val="000000"/>
              </w:rPr>
            </w:pPr>
            <w:proofErr w:type="spellStart"/>
            <w:r>
              <w:rPr>
                <w:color w:val="000000"/>
              </w:rPr>
              <w:t>Kalnes</w:t>
            </w:r>
            <w:proofErr w:type="spellEnd"/>
            <w:r>
              <w:rPr>
                <w:color w:val="000000"/>
              </w:rPr>
              <w:t xml:space="preserve"> et al., 2007</w:t>
            </w:r>
          </w:p>
        </w:tc>
      </w:tr>
      <w:tr w:rsidR="00A26F43">
        <w:trPr>
          <w:jc w:val="center"/>
        </w:trPr>
        <w:tc>
          <w:tcPr>
            <w:tcW w:w="2164" w:type="dxa"/>
            <w:vMerge/>
            <w:tcBorders>
              <w:left w:val="nil"/>
            </w:tcBorders>
          </w:tcPr>
          <w:p w:rsidR="00A26F43" w:rsidRDefault="00A26F43">
            <w:pPr>
              <w:widowControl w:val="0"/>
              <w:pBdr>
                <w:top w:val="nil"/>
                <w:left w:val="nil"/>
                <w:bottom w:val="nil"/>
                <w:right w:val="nil"/>
                <w:between w:val="nil"/>
              </w:pBdr>
              <w:spacing w:line="276" w:lineRule="auto"/>
              <w:jc w:val="left"/>
              <w:rPr>
                <w:color w:val="000000"/>
              </w:rPr>
            </w:pPr>
          </w:p>
        </w:tc>
        <w:tc>
          <w:tcPr>
            <w:tcW w:w="2457" w:type="dxa"/>
          </w:tcPr>
          <w:p w:rsidR="00A26F43" w:rsidRDefault="00000000">
            <w:pPr>
              <w:pBdr>
                <w:top w:val="nil"/>
                <w:left w:val="nil"/>
                <w:bottom w:val="nil"/>
                <w:right w:val="nil"/>
                <w:between w:val="nil"/>
              </w:pBdr>
              <w:spacing w:line="240" w:lineRule="auto"/>
              <w:rPr>
                <w:color w:val="000000"/>
              </w:rPr>
            </w:pPr>
            <w:r>
              <w:rPr>
                <w:color w:val="000000"/>
              </w:rPr>
              <w:t>SAF</w:t>
            </w:r>
          </w:p>
        </w:tc>
        <w:tc>
          <w:tcPr>
            <w:tcW w:w="2604" w:type="dxa"/>
          </w:tcPr>
          <w:p w:rsidR="00A26F43" w:rsidRDefault="00000000">
            <w:pPr>
              <w:pBdr>
                <w:top w:val="nil"/>
                <w:left w:val="nil"/>
                <w:bottom w:val="nil"/>
                <w:right w:val="nil"/>
                <w:between w:val="nil"/>
              </w:pBdr>
              <w:spacing w:line="240" w:lineRule="auto"/>
              <w:rPr>
                <w:color w:val="000000"/>
              </w:rPr>
            </w:pPr>
            <w:r>
              <w:rPr>
                <w:color w:val="000000"/>
              </w:rPr>
              <w:t>Craqueamento Catalítico</w:t>
            </w:r>
          </w:p>
        </w:tc>
        <w:tc>
          <w:tcPr>
            <w:tcW w:w="2126" w:type="dxa"/>
            <w:tcBorders>
              <w:right w:val="nil"/>
            </w:tcBorders>
          </w:tcPr>
          <w:p w:rsidR="00A26F43" w:rsidRDefault="000F75EA">
            <w:pPr>
              <w:pBdr>
                <w:top w:val="nil"/>
                <w:left w:val="nil"/>
                <w:bottom w:val="nil"/>
                <w:right w:val="nil"/>
                <w:between w:val="nil"/>
              </w:pBdr>
              <w:spacing w:line="240" w:lineRule="auto"/>
              <w:rPr>
                <w:color w:val="000000"/>
              </w:rPr>
            </w:pPr>
            <w:proofErr w:type="spellStart"/>
            <w:r>
              <w:rPr>
                <w:color w:val="000000"/>
              </w:rPr>
              <w:t>Kalnes</w:t>
            </w:r>
            <w:proofErr w:type="spellEnd"/>
            <w:r>
              <w:rPr>
                <w:color w:val="000000"/>
              </w:rPr>
              <w:t>, et al., 2007</w:t>
            </w:r>
          </w:p>
        </w:tc>
      </w:tr>
    </w:tbl>
    <w:p w:rsidR="00A26F43" w:rsidRDefault="00A26F43"/>
    <w:p w:rsidR="00A26F43" w:rsidRDefault="00000000">
      <w:pPr>
        <w:ind w:firstLine="720"/>
      </w:pPr>
      <w:r>
        <w:t>As informações sugerem que o óleo de coco é versátil na fabricação de vários tipos de biocombustíveis. A transesterificação é uma rota consolidada e econômica para a produção de biodiesel, ao passo que processos como o hidrotratamento possibilitam a produção de combustíveis com propriedades comparáveis às dos derivados do petróleo. Dessa forma, o óleo de coco se apresenta como uma opção promissora para a produção de energia renovável, especialmente em áreas onde sua produção é abundante, auxiliando na diversificação da matriz energética e no uso sustentável dos recursos naturais.</w:t>
      </w:r>
    </w:p>
    <w:p w:rsidR="00A26F43" w:rsidRDefault="00000000">
      <w:pPr>
        <w:pStyle w:val="Ttulo2"/>
        <w:numPr>
          <w:ilvl w:val="1"/>
          <w:numId w:val="1"/>
        </w:numPr>
      </w:pPr>
      <w:r>
        <w:t xml:space="preserve"> Resíduos agrícolas</w:t>
      </w:r>
    </w:p>
    <w:p w:rsidR="006A2E7D" w:rsidRDefault="00000000" w:rsidP="006A2E7D">
      <w:pPr>
        <w:spacing w:before="240" w:after="240"/>
        <w:ind w:firstLine="720"/>
      </w:pPr>
      <w:r>
        <w:t xml:space="preserve">Uma vez que resíduos agrícolas como cascas de coco verde, palha e bagaço de cana-de-açúcar apresentam em sua composição componentes que favorecem a realização de combustíveis verdes, como o mesocarpo, responsável pelo rendimento do carvão (SILVA, 2024); a lignina, que aumenta o rendimento do carvão e o poder calorífico; e os </w:t>
      </w:r>
      <w:proofErr w:type="spellStart"/>
      <w:r>
        <w:t>lignocelulósicos</w:t>
      </w:r>
      <w:proofErr w:type="spellEnd"/>
      <w:r>
        <w:t>, junção de lignina, celulose e hemicelulose, que influenciam a estrutura do carvão e sua produtividade. Além disso, o método da produção do combustível pelo processo de pirólise, decomposição térmica na ausência de oxigênio, é destacado por esses autores (PADILLA et al., 2018).</w:t>
      </w:r>
    </w:p>
    <w:p w:rsidR="00A26F43" w:rsidRDefault="00000000" w:rsidP="006A2E7D">
      <w:pPr>
        <w:spacing w:before="240" w:after="240"/>
        <w:ind w:firstLine="720"/>
      </w:pPr>
      <w:r>
        <w:t xml:space="preserve">O bagaço, resíduo das extrações de cana-de-açúcar popularmente comercializado no Brasil, vem tendo um grande destaque no ramo da produção de etanol de segunda geração, por consequência de seu alto poder calorífico. Nesse viés, nota-se o potencial da matéria discutida e, que sua composição química em paralelo, em sentido, a casca de coco verde interfere na qualidade do combustível produzido, que também são: a lignina; hemicelulose; e celulose, as quais atuam diretamente na integração do produto em questão (GOUVEIA et al., 2009). Outrossim, o método de obtenção do etanol de segunda geração ocorre por processos como: o pré-tratamento, a hidrólise enzimática e a fermentação para adquirir o etanol, mostrando dessa forma a sua alta eficiência como biomassa (VIEIRA; </w:t>
      </w:r>
      <w:proofErr w:type="spellStart"/>
      <w:r>
        <w:t>COLOVATE</w:t>
      </w:r>
      <w:proofErr w:type="spellEnd"/>
      <w:r>
        <w:t>, 2025).</w:t>
      </w:r>
    </w:p>
    <w:p w:rsidR="00A26F43" w:rsidRDefault="00000000">
      <w:pPr>
        <w:pStyle w:val="Ttulo1"/>
        <w:numPr>
          <w:ilvl w:val="0"/>
          <w:numId w:val="1"/>
        </w:numPr>
      </w:pPr>
      <w:r>
        <w:t>CONCLUSÃO</w:t>
      </w:r>
    </w:p>
    <w:p w:rsidR="00A26F43" w:rsidRDefault="00000000">
      <w:pPr>
        <w:ind w:firstLine="720"/>
      </w:pPr>
      <w:r>
        <w:t>O estudo mostra que o município de Petrolândia – PE possui condições favoráveis para a sua inclusão na transição energética, a partir do cultivo de cocos (</w:t>
      </w:r>
      <w:r>
        <w:rPr>
          <w:i/>
          <w:iCs/>
        </w:rPr>
        <w:t xml:space="preserve">Cocos </w:t>
      </w:r>
      <w:proofErr w:type="spellStart"/>
      <w:r>
        <w:rPr>
          <w:i/>
          <w:iCs/>
        </w:rPr>
        <w:t>nucifera</w:t>
      </w:r>
      <w:proofErr w:type="spellEnd"/>
      <w:r>
        <w:t>), algaroba (</w:t>
      </w:r>
      <w:proofErr w:type="spellStart"/>
      <w:r>
        <w:rPr>
          <w:i/>
          <w:iCs/>
        </w:rPr>
        <w:t>Prosopis</w:t>
      </w:r>
      <w:proofErr w:type="spellEnd"/>
      <w:r>
        <w:rPr>
          <w:i/>
          <w:iCs/>
        </w:rPr>
        <w:t xml:space="preserve"> </w:t>
      </w:r>
      <w:proofErr w:type="spellStart"/>
      <w:r>
        <w:rPr>
          <w:i/>
          <w:iCs/>
        </w:rPr>
        <w:t>juliflora</w:t>
      </w:r>
      <w:proofErr w:type="spellEnd"/>
      <w:r>
        <w:t>) e a baronesa (</w:t>
      </w:r>
      <w:proofErr w:type="spellStart"/>
      <w:r>
        <w:rPr>
          <w:i/>
          <w:iCs/>
        </w:rPr>
        <w:t>Eichhornia</w:t>
      </w:r>
      <w:proofErr w:type="spellEnd"/>
      <w:r>
        <w:rPr>
          <w:i/>
          <w:iCs/>
        </w:rPr>
        <w:t xml:space="preserve"> </w:t>
      </w:r>
      <w:proofErr w:type="spellStart"/>
      <w:r>
        <w:rPr>
          <w:i/>
          <w:iCs/>
        </w:rPr>
        <w:t>crassipes</w:t>
      </w:r>
      <w:proofErr w:type="spellEnd"/>
      <w:r>
        <w:t>) e resíduos agrícolas.  Assim, Petrolândia se consolida como um espaço estratégico para o fortalecimento de fontes renováveis, contribuindo não só para a diminuição da dependência de combustíveis fósseis, como para a construção de uma matriz energética mais equilibrada e resiliente.</w:t>
      </w:r>
    </w:p>
    <w:p w:rsidR="00A26F43" w:rsidRDefault="00000000">
      <w:pPr>
        <w:pStyle w:val="Ttulo1"/>
      </w:pPr>
      <w:r>
        <w:lastRenderedPageBreak/>
        <w:t>REFERÊNCIAS</w:t>
      </w:r>
    </w:p>
    <w:p w:rsidR="00A26F43" w:rsidRDefault="00000000">
      <w:r>
        <w:t xml:space="preserve">ALVES, Alain Charles de Melo; SANTOS, </w:t>
      </w:r>
      <w:proofErr w:type="spellStart"/>
      <w:r>
        <w:t>Jacyelli</w:t>
      </w:r>
      <w:proofErr w:type="spellEnd"/>
      <w:r>
        <w:t xml:space="preserve"> Cardoso Marinho dos; SILVA, José Nilton. Estudo do monitoramento das aplicações tecnológicas da </w:t>
      </w:r>
      <w:proofErr w:type="spellStart"/>
      <w:r>
        <w:t>Prosopis</w:t>
      </w:r>
      <w:proofErr w:type="spellEnd"/>
      <w:r>
        <w:t xml:space="preserve"> </w:t>
      </w:r>
      <w:proofErr w:type="spellStart"/>
      <w:r>
        <w:t>juliflora</w:t>
      </w:r>
      <w:proofErr w:type="spellEnd"/>
      <w:r>
        <w:t xml:space="preserve"> (algaroba). Cadernos de Prospecção, v. 12, n. 2, p. 374, 2019. DOI: https://</w:t>
      </w:r>
      <w:proofErr w:type="spellStart"/>
      <w:r>
        <w:t>doi.org</w:t>
      </w:r>
      <w:proofErr w:type="spellEnd"/>
      <w:r>
        <w:t>/10.9771/</w:t>
      </w:r>
      <w:proofErr w:type="spellStart"/>
      <w:r>
        <w:t>cp.v12i2.27282</w:t>
      </w:r>
      <w:proofErr w:type="spellEnd"/>
      <w:r>
        <w:t>. Acesso em: 18 mar. 2026.</w:t>
      </w:r>
    </w:p>
    <w:p w:rsidR="00A26F43" w:rsidRDefault="00000000">
      <w:pPr>
        <w:spacing w:before="240" w:after="240"/>
      </w:pPr>
      <w:r>
        <w:t>ANP – AGÊNCIA NACIONAL DO PETRÓLEO, GÁS NATURAL E BIOCOMBUSTÍVEIS. Biocombustíveis e rotas tecnológicas. Rio de Janeiro: ANP, 2020.</w:t>
      </w:r>
    </w:p>
    <w:p w:rsidR="00A26F43" w:rsidRDefault="00000000">
      <w:pPr>
        <w:spacing w:before="240" w:after="240"/>
      </w:pPr>
      <w:r>
        <w:t>EMBRAPA – EMPRESA BRASILEIRA DE PESQUISA AGROPECUÁRIA. Potencial de biomassa para energia no semiárido brasileiro. Brasília: EMBRAPA, 2018.</w:t>
      </w:r>
    </w:p>
    <w:p w:rsidR="00A26F43" w:rsidRDefault="00000000">
      <w:r>
        <w:t xml:space="preserve">FREITAS, R. M. O. et al. Composição química e potencial nutricional das vagens de </w:t>
      </w:r>
      <w:proofErr w:type="spellStart"/>
      <w:r>
        <w:t>Prosopis</w:t>
      </w:r>
      <w:proofErr w:type="spellEnd"/>
      <w:r>
        <w:t xml:space="preserve"> </w:t>
      </w:r>
      <w:proofErr w:type="spellStart"/>
      <w:r>
        <w:t>juliflora</w:t>
      </w:r>
      <w:proofErr w:type="spellEnd"/>
      <w:r>
        <w:t>. Revista Caatinga, Mossoró, v. 24, n. 4, p. 123–130, 2011. Disponível em: https://</w:t>
      </w:r>
      <w:proofErr w:type="spellStart"/>
      <w:r>
        <w:t>periodicos.ufersa.edu.br</w:t>
      </w:r>
      <w:proofErr w:type="spellEnd"/>
      <w:r>
        <w:t>/caatinga. Acesso em: 18 mar. 2026.</w:t>
      </w:r>
    </w:p>
    <w:p w:rsidR="00A26F43" w:rsidRDefault="00000000">
      <w:pPr>
        <w:spacing w:before="240" w:after="240"/>
      </w:pPr>
      <w:r>
        <w:t>GOUVEIA, E</w:t>
      </w:r>
      <w:r w:rsidR="006A2E7D">
        <w:t>.</w:t>
      </w:r>
      <w:r>
        <w:t xml:space="preserve"> R</w:t>
      </w:r>
      <w:r w:rsidR="006A2E7D">
        <w:t>.</w:t>
      </w:r>
      <w:r>
        <w:t>; NASCIMENTO, R</w:t>
      </w:r>
      <w:r w:rsidR="006A2E7D">
        <w:t>.</w:t>
      </w:r>
      <w:r>
        <w:t xml:space="preserve"> T</w:t>
      </w:r>
      <w:r w:rsidR="006A2E7D">
        <w:t>.</w:t>
      </w:r>
      <w:r>
        <w:t>; SOUTO-MAIOR, A</w:t>
      </w:r>
      <w:r w:rsidR="006A2E7D">
        <w:t>.</w:t>
      </w:r>
      <w:r>
        <w:t xml:space="preserve"> M</w:t>
      </w:r>
      <w:r w:rsidR="006A2E7D">
        <w:t>.</w:t>
      </w:r>
      <w:r>
        <w:t>; ROCHA, G</w:t>
      </w:r>
      <w:r w:rsidR="006A2E7D">
        <w:t>.</w:t>
      </w:r>
      <w:r>
        <w:t xml:space="preserve"> J</w:t>
      </w:r>
      <w:r w:rsidR="006A2E7D">
        <w:t>.</w:t>
      </w:r>
      <w:r>
        <w:t xml:space="preserve"> M</w:t>
      </w:r>
      <w:r w:rsidR="006A2E7D">
        <w:t>.</w:t>
      </w:r>
      <w:r>
        <w:t xml:space="preserve"> Validação de metodologia para a caracterização química de bagaço de cana-de-açúcar. Química Nova, v. 32, n. 6, p. 1500–1503, 2009. Disponível em:</w:t>
      </w:r>
      <w:hyperlink r:id="rId8">
        <w:r>
          <w:rPr>
            <w:color w:val="1155CC"/>
          </w:rPr>
          <w:t xml:space="preserve"> </w:t>
        </w:r>
      </w:hyperlink>
      <w:hyperlink r:id="rId9">
        <w:r>
          <w:rPr>
            <w:color w:val="1155CC"/>
            <w:u w:val="single"/>
          </w:rPr>
          <w:t>https://</w:t>
        </w:r>
        <w:proofErr w:type="spellStart"/>
        <w:r>
          <w:rPr>
            <w:color w:val="1155CC"/>
            <w:u w:val="single"/>
          </w:rPr>
          <w:t>www.scielo.br</w:t>
        </w:r>
        <w:proofErr w:type="spellEnd"/>
        <w:r>
          <w:rPr>
            <w:color w:val="1155CC"/>
            <w:u w:val="single"/>
          </w:rPr>
          <w:t>/j/</w:t>
        </w:r>
        <w:proofErr w:type="spellStart"/>
        <w:r>
          <w:rPr>
            <w:color w:val="1155CC"/>
            <w:u w:val="single"/>
          </w:rPr>
          <w:t>qn</w:t>
        </w:r>
        <w:proofErr w:type="spellEnd"/>
        <w:r>
          <w:rPr>
            <w:color w:val="1155CC"/>
            <w:u w:val="single"/>
          </w:rPr>
          <w:t>/a/</w:t>
        </w:r>
        <w:proofErr w:type="spellStart"/>
        <w:r>
          <w:rPr>
            <w:color w:val="1155CC"/>
            <w:u w:val="single"/>
          </w:rPr>
          <w:t>G8GfHjXzcR9ZrS6hGTMf9HK</w:t>
        </w:r>
        <w:proofErr w:type="spellEnd"/>
        <w:r>
          <w:rPr>
            <w:color w:val="1155CC"/>
            <w:u w:val="single"/>
          </w:rPr>
          <w:t>/?</w:t>
        </w:r>
        <w:proofErr w:type="spellStart"/>
        <w:r>
          <w:rPr>
            <w:color w:val="1155CC"/>
            <w:u w:val="single"/>
          </w:rPr>
          <w:t>lang</w:t>
        </w:r>
        <w:proofErr w:type="spellEnd"/>
        <w:r>
          <w:rPr>
            <w:color w:val="1155CC"/>
            <w:u w:val="single"/>
          </w:rPr>
          <w:t>=</w:t>
        </w:r>
        <w:proofErr w:type="spellStart"/>
        <w:r>
          <w:rPr>
            <w:color w:val="1155CC"/>
            <w:u w:val="single"/>
          </w:rPr>
          <w:t>pt</w:t>
        </w:r>
        <w:proofErr w:type="spellEnd"/>
      </w:hyperlink>
      <w:r>
        <w:t>. Acesso em: 13 mar. 2026.</w:t>
      </w:r>
    </w:p>
    <w:p w:rsidR="00A26F43" w:rsidRDefault="00000000" w:rsidP="00502E2A">
      <w:pPr>
        <w:spacing w:before="240" w:after="240"/>
      </w:pPr>
      <w:r>
        <w:t>IBGE – INSTITUTO BRASILEIRO DE GEOGRAFIA E ESTATÍSTICA. Produção agrícola municipal 2022. Rio de Janeiro: IBGE, 2022.</w:t>
      </w:r>
    </w:p>
    <w:p w:rsidR="00A26F43" w:rsidRDefault="00000000">
      <w:pPr>
        <w:spacing w:before="240" w:after="240"/>
      </w:pPr>
      <w:proofErr w:type="spellStart"/>
      <w:r>
        <w:t>KALNES</w:t>
      </w:r>
      <w:proofErr w:type="spellEnd"/>
      <w:r>
        <w:t xml:space="preserve">, T. N.; MARKS, C.; </w:t>
      </w:r>
      <w:proofErr w:type="spellStart"/>
      <w:r>
        <w:t>SHONNARD</w:t>
      </w:r>
      <w:proofErr w:type="spellEnd"/>
      <w:r>
        <w:t xml:space="preserve">, D. R. Green diesel: a </w:t>
      </w:r>
      <w:proofErr w:type="spellStart"/>
      <w:r>
        <w:t>second</w:t>
      </w:r>
      <w:proofErr w:type="spellEnd"/>
      <w:r>
        <w:t xml:space="preserve"> </w:t>
      </w:r>
      <w:proofErr w:type="spellStart"/>
      <w:r>
        <w:t>generation</w:t>
      </w:r>
      <w:proofErr w:type="spellEnd"/>
      <w:r>
        <w:t xml:space="preserve"> </w:t>
      </w:r>
      <w:proofErr w:type="spellStart"/>
      <w:r>
        <w:t>biofuel</w:t>
      </w:r>
      <w:proofErr w:type="spellEnd"/>
      <w:r>
        <w:t xml:space="preserve">. </w:t>
      </w:r>
      <w:proofErr w:type="spellStart"/>
      <w:r>
        <w:t>International</w:t>
      </w:r>
      <w:proofErr w:type="spellEnd"/>
      <w:r>
        <w:t xml:space="preserve"> </w:t>
      </w:r>
      <w:proofErr w:type="spellStart"/>
      <w:r>
        <w:t>Journal</w:t>
      </w:r>
      <w:proofErr w:type="spellEnd"/>
      <w:r>
        <w:t xml:space="preserve"> </w:t>
      </w:r>
      <w:proofErr w:type="spellStart"/>
      <w:r>
        <w:t>of</w:t>
      </w:r>
      <w:proofErr w:type="spellEnd"/>
      <w:r>
        <w:t xml:space="preserve"> Chemical </w:t>
      </w:r>
      <w:proofErr w:type="spellStart"/>
      <w:r>
        <w:t>Reactor</w:t>
      </w:r>
      <w:proofErr w:type="spellEnd"/>
      <w:r>
        <w:t xml:space="preserve"> </w:t>
      </w:r>
      <w:proofErr w:type="spellStart"/>
      <w:r>
        <w:t>Engineering</w:t>
      </w:r>
      <w:proofErr w:type="spellEnd"/>
      <w:r>
        <w:t>, v. 5, 2007.</w:t>
      </w:r>
    </w:p>
    <w:p w:rsidR="00A26F43" w:rsidRDefault="00000000">
      <w:pPr>
        <w:spacing w:before="240" w:after="240"/>
      </w:pPr>
      <w:proofErr w:type="spellStart"/>
      <w:r>
        <w:t>KNOTHE</w:t>
      </w:r>
      <w:proofErr w:type="spellEnd"/>
      <w:r>
        <w:t xml:space="preserve">, G.; VAN </w:t>
      </w:r>
      <w:proofErr w:type="spellStart"/>
      <w:r>
        <w:t>GERPEN</w:t>
      </w:r>
      <w:proofErr w:type="spellEnd"/>
      <w:r>
        <w:t xml:space="preserve">, J.; </w:t>
      </w:r>
      <w:proofErr w:type="spellStart"/>
      <w:r>
        <w:t>KRAHL</w:t>
      </w:r>
      <w:proofErr w:type="spellEnd"/>
      <w:r>
        <w:t xml:space="preserve">, J. The Biodiesel Handbook. 2. ed. Urbana: </w:t>
      </w:r>
      <w:proofErr w:type="spellStart"/>
      <w:r>
        <w:t>AOCS</w:t>
      </w:r>
      <w:proofErr w:type="spellEnd"/>
      <w:r>
        <w:t xml:space="preserve"> Press, 2010.</w:t>
      </w:r>
    </w:p>
    <w:p w:rsidR="00A26F43" w:rsidRDefault="00000000">
      <w:pPr>
        <w:spacing w:before="240" w:after="240"/>
      </w:pPr>
      <w:r>
        <w:t>LOPES, L</w:t>
      </w:r>
      <w:r w:rsidR="006A2E7D">
        <w:t>.</w:t>
      </w:r>
      <w:r>
        <w:t xml:space="preserve"> F</w:t>
      </w:r>
      <w:r w:rsidR="006A2E7D">
        <w:t xml:space="preserve">. </w:t>
      </w:r>
      <w:r>
        <w:t>S</w:t>
      </w:r>
      <w:r w:rsidR="006A2E7D">
        <w:t>.</w:t>
      </w:r>
      <w:r>
        <w:t>; SANTOS, E</w:t>
      </w:r>
      <w:r w:rsidR="006A2E7D">
        <w:t>.</w:t>
      </w:r>
      <w:r>
        <w:t xml:space="preserve"> F</w:t>
      </w:r>
      <w:r w:rsidR="006A2E7D">
        <w:t>.</w:t>
      </w:r>
      <w:r>
        <w:t>. Aguapé (</w:t>
      </w:r>
      <w:proofErr w:type="spellStart"/>
      <w:r>
        <w:t>Eichhornia</w:t>
      </w:r>
      <w:proofErr w:type="spellEnd"/>
      <w:r>
        <w:t xml:space="preserve"> </w:t>
      </w:r>
      <w:proofErr w:type="spellStart"/>
      <w:r>
        <w:t>crassipes</w:t>
      </w:r>
      <w:proofErr w:type="spellEnd"/>
      <w:r>
        <w:t xml:space="preserve">): usos e potencialidades para a bioeconomia paraense. [S. l.: s. n.], [s. d.]. Disponível em: </w:t>
      </w:r>
      <w:hyperlink r:id="rId10">
        <w:r w:rsidRPr="004D1761">
          <w:t>https://enep.sep.org.br/uploads/2951_1710559804_%C3%81guap%C3%A9_como_um_forte_potencial_para_a_Bioeconomia_Paraense_pdf_ide.pdf</w:t>
        </w:r>
      </w:hyperlink>
      <w:r>
        <w:rPr>
          <w:u w:val="single"/>
        </w:rPr>
        <w:t>.</w:t>
      </w:r>
      <w:r>
        <w:t xml:space="preserve"> Acesso em: 27 mar. 2026.</w:t>
      </w:r>
    </w:p>
    <w:p w:rsidR="00A26F43" w:rsidRDefault="00000000">
      <w:r>
        <w:t xml:space="preserve">MARANGONI, Alejandro; ALLI, </w:t>
      </w:r>
      <w:proofErr w:type="spellStart"/>
      <w:r>
        <w:t>Inteaz</w:t>
      </w:r>
      <w:proofErr w:type="spellEnd"/>
      <w:r>
        <w:t xml:space="preserve">. </w:t>
      </w:r>
      <w:proofErr w:type="spellStart"/>
      <w:r>
        <w:t>Composition</w:t>
      </w:r>
      <w:proofErr w:type="spellEnd"/>
      <w:r>
        <w:t xml:space="preserve"> </w:t>
      </w:r>
      <w:proofErr w:type="spellStart"/>
      <w:r>
        <w:t>and</w:t>
      </w:r>
      <w:proofErr w:type="spellEnd"/>
      <w:r>
        <w:t xml:space="preserve"> </w:t>
      </w:r>
      <w:proofErr w:type="spellStart"/>
      <w:r>
        <w:t>properties</w:t>
      </w:r>
      <w:proofErr w:type="spellEnd"/>
      <w:r>
        <w:t xml:space="preserve"> </w:t>
      </w:r>
      <w:proofErr w:type="spellStart"/>
      <w:r>
        <w:t>of</w:t>
      </w:r>
      <w:proofErr w:type="spellEnd"/>
      <w:r>
        <w:t xml:space="preserve"> </w:t>
      </w:r>
      <w:proofErr w:type="spellStart"/>
      <w:r>
        <w:t>seeds</w:t>
      </w:r>
      <w:proofErr w:type="spellEnd"/>
      <w:r>
        <w:t xml:space="preserve"> </w:t>
      </w:r>
      <w:proofErr w:type="spellStart"/>
      <w:r>
        <w:t>and</w:t>
      </w:r>
      <w:proofErr w:type="spellEnd"/>
      <w:r>
        <w:t xml:space="preserve"> </w:t>
      </w:r>
      <w:proofErr w:type="spellStart"/>
      <w:r>
        <w:t>pods</w:t>
      </w:r>
      <w:proofErr w:type="spellEnd"/>
      <w:r>
        <w:t xml:space="preserve"> </w:t>
      </w:r>
      <w:proofErr w:type="spellStart"/>
      <w:r>
        <w:t>of</w:t>
      </w:r>
      <w:proofErr w:type="spellEnd"/>
      <w:r>
        <w:t xml:space="preserve"> </w:t>
      </w:r>
      <w:proofErr w:type="spellStart"/>
      <w:r>
        <w:t>the</w:t>
      </w:r>
      <w:proofErr w:type="spellEnd"/>
      <w:r>
        <w:t xml:space="preserve"> </w:t>
      </w:r>
      <w:proofErr w:type="spellStart"/>
      <w:r>
        <w:t>tree</w:t>
      </w:r>
      <w:proofErr w:type="spellEnd"/>
      <w:r>
        <w:t xml:space="preserve"> legume </w:t>
      </w:r>
      <w:proofErr w:type="spellStart"/>
      <w:r>
        <w:rPr>
          <w:i/>
          <w:iCs/>
        </w:rPr>
        <w:t>Prosopis</w:t>
      </w:r>
      <w:proofErr w:type="spellEnd"/>
      <w:r>
        <w:rPr>
          <w:i/>
          <w:iCs/>
        </w:rPr>
        <w:t xml:space="preserve"> </w:t>
      </w:r>
      <w:proofErr w:type="spellStart"/>
      <w:r>
        <w:rPr>
          <w:i/>
          <w:iCs/>
        </w:rPr>
        <w:t>juliflora</w:t>
      </w:r>
      <w:proofErr w:type="spellEnd"/>
      <w:r>
        <w:t xml:space="preserve"> (DC). </w:t>
      </w:r>
      <w:proofErr w:type="spellStart"/>
      <w:r>
        <w:rPr>
          <w:i/>
          <w:iCs/>
        </w:rPr>
        <w:t>Journal</w:t>
      </w:r>
      <w:proofErr w:type="spellEnd"/>
      <w:r>
        <w:rPr>
          <w:i/>
          <w:iCs/>
        </w:rPr>
        <w:t xml:space="preserve"> </w:t>
      </w:r>
      <w:proofErr w:type="spellStart"/>
      <w:r>
        <w:rPr>
          <w:i/>
          <w:iCs/>
        </w:rPr>
        <w:t>of</w:t>
      </w:r>
      <w:proofErr w:type="spellEnd"/>
      <w:r>
        <w:rPr>
          <w:i/>
          <w:iCs/>
        </w:rPr>
        <w:t xml:space="preserve"> </w:t>
      </w:r>
      <w:proofErr w:type="spellStart"/>
      <w:r>
        <w:rPr>
          <w:i/>
          <w:iCs/>
        </w:rPr>
        <w:t>the</w:t>
      </w:r>
      <w:proofErr w:type="spellEnd"/>
      <w:r>
        <w:rPr>
          <w:i/>
          <w:iCs/>
        </w:rPr>
        <w:t xml:space="preserve"> Science </w:t>
      </w:r>
      <w:proofErr w:type="spellStart"/>
      <w:r>
        <w:rPr>
          <w:i/>
          <w:iCs/>
        </w:rPr>
        <w:t>of</w:t>
      </w:r>
      <w:proofErr w:type="spellEnd"/>
      <w:r>
        <w:rPr>
          <w:i/>
          <w:iCs/>
        </w:rPr>
        <w:t xml:space="preserve"> Food </w:t>
      </w:r>
      <w:proofErr w:type="spellStart"/>
      <w:r>
        <w:rPr>
          <w:i/>
          <w:iCs/>
        </w:rPr>
        <w:t>and</w:t>
      </w:r>
      <w:proofErr w:type="spellEnd"/>
      <w:r>
        <w:rPr>
          <w:i/>
          <w:iCs/>
        </w:rPr>
        <w:t xml:space="preserve"> </w:t>
      </w:r>
      <w:proofErr w:type="spellStart"/>
      <w:r>
        <w:rPr>
          <w:i/>
          <w:iCs/>
        </w:rPr>
        <w:t>Agriculture</w:t>
      </w:r>
      <w:proofErr w:type="spellEnd"/>
      <w:r>
        <w:t>, v. 44, p. 99-110, 1988.</w:t>
      </w:r>
    </w:p>
    <w:p w:rsidR="00A26F43" w:rsidRDefault="00000000">
      <w:pPr>
        <w:spacing w:before="240" w:after="240"/>
      </w:pPr>
      <w:r>
        <w:t xml:space="preserve">MARINA, A. M.; CHE MAN, Y. B.; AMIN, I. Virgin </w:t>
      </w:r>
      <w:proofErr w:type="spellStart"/>
      <w:r>
        <w:t>coconut</w:t>
      </w:r>
      <w:proofErr w:type="spellEnd"/>
      <w:r>
        <w:t xml:space="preserve"> </w:t>
      </w:r>
      <w:proofErr w:type="spellStart"/>
      <w:r>
        <w:t>oil</w:t>
      </w:r>
      <w:proofErr w:type="spellEnd"/>
      <w:r>
        <w:t xml:space="preserve">: </w:t>
      </w:r>
      <w:proofErr w:type="spellStart"/>
      <w:r>
        <w:t>emerging</w:t>
      </w:r>
      <w:proofErr w:type="spellEnd"/>
      <w:r>
        <w:t xml:space="preserve"> </w:t>
      </w:r>
      <w:proofErr w:type="spellStart"/>
      <w:r>
        <w:t>functional</w:t>
      </w:r>
      <w:proofErr w:type="spellEnd"/>
      <w:r>
        <w:t xml:space="preserve"> food </w:t>
      </w:r>
      <w:proofErr w:type="spellStart"/>
      <w:r>
        <w:t>oil</w:t>
      </w:r>
      <w:proofErr w:type="spellEnd"/>
      <w:r>
        <w:t>. Trends in Food Science &amp; Technology, v. 20, n. 10, p. 481–487, 2009.</w:t>
      </w:r>
    </w:p>
    <w:p w:rsidR="00A26F43" w:rsidRDefault="00000000">
      <w:pPr>
        <w:spacing w:before="240" w:after="240"/>
      </w:pPr>
      <w:proofErr w:type="spellStart"/>
      <w:r>
        <w:lastRenderedPageBreak/>
        <w:t>MEHER</w:t>
      </w:r>
      <w:proofErr w:type="spellEnd"/>
      <w:r>
        <w:t xml:space="preserve">, L. C.; </w:t>
      </w:r>
      <w:proofErr w:type="spellStart"/>
      <w:r>
        <w:t>VIDYA</w:t>
      </w:r>
      <w:proofErr w:type="spellEnd"/>
      <w:r>
        <w:t xml:space="preserve"> SAGAR, D.; </w:t>
      </w:r>
      <w:proofErr w:type="spellStart"/>
      <w:r>
        <w:t>NAIK</w:t>
      </w:r>
      <w:proofErr w:type="spellEnd"/>
      <w:r>
        <w:t xml:space="preserve">, S. N. </w:t>
      </w:r>
      <w:proofErr w:type="spellStart"/>
      <w:r>
        <w:t>Technical</w:t>
      </w:r>
      <w:proofErr w:type="spellEnd"/>
      <w:r>
        <w:t xml:space="preserve"> </w:t>
      </w:r>
      <w:proofErr w:type="spellStart"/>
      <w:r>
        <w:t>aspects</w:t>
      </w:r>
      <w:proofErr w:type="spellEnd"/>
      <w:r>
        <w:t xml:space="preserve"> </w:t>
      </w:r>
      <w:proofErr w:type="spellStart"/>
      <w:r>
        <w:t>of</w:t>
      </w:r>
      <w:proofErr w:type="spellEnd"/>
      <w:r>
        <w:t xml:space="preserve"> biodiesel </w:t>
      </w:r>
      <w:proofErr w:type="spellStart"/>
      <w:r>
        <w:t>production</w:t>
      </w:r>
      <w:proofErr w:type="spellEnd"/>
      <w:r>
        <w:t xml:space="preserve"> </w:t>
      </w:r>
      <w:proofErr w:type="spellStart"/>
      <w:r>
        <w:t>by</w:t>
      </w:r>
      <w:proofErr w:type="spellEnd"/>
      <w:r>
        <w:t xml:space="preserve"> </w:t>
      </w:r>
      <w:proofErr w:type="spellStart"/>
      <w:r>
        <w:t>transesterification</w:t>
      </w:r>
      <w:proofErr w:type="spellEnd"/>
      <w:r>
        <w:t xml:space="preserve">—a review. </w:t>
      </w:r>
      <w:proofErr w:type="spellStart"/>
      <w:r>
        <w:t>Renewable</w:t>
      </w:r>
      <w:proofErr w:type="spellEnd"/>
      <w:r>
        <w:t xml:space="preserve"> </w:t>
      </w:r>
      <w:proofErr w:type="spellStart"/>
      <w:r>
        <w:t>and</w:t>
      </w:r>
      <w:proofErr w:type="spellEnd"/>
      <w:r>
        <w:t xml:space="preserve"> </w:t>
      </w:r>
      <w:proofErr w:type="spellStart"/>
      <w:r>
        <w:t>Sustainable</w:t>
      </w:r>
      <w:proofErr w:type="spellEnd"/>
      <w:r>
        <w:t xml:space="preserve"> Energy Reviews, v. 10, n. 3, p. 248–268, 2006.</w:t>
      </w:r>
    </w:p>
    <w:p w:rsidR="00A26F43" w:rsidRDefault="00000000">
      <w:pPr>
        <w:spacing w:before="240" w:after="240"/>
      </w:pPr>
      <w:bookmarkStart w:id="2" w:name="_heading=h.q2q10owynr41" w:colFirst="0" w:colLast="0"/>
      <w:bookmarkEnd w:id="2"/>
      <w:proofErr w:type="spellStart"/>
      <w:r>
        <w:t>NEVIN</w:t>
      </w:r>
      <w:proofErr w:type="spellEnd"/>
      <w:r>
        <w:t xml:space="preserve">, K. G.; </w:t>
      </w:r>
      <w:proofErr w:type="spellStart"/>
      <w:r>
        <w:t>RAJAMOHAN</w:t>
      </w:r>
      <w:proofErr w:type="spellEnd"/>
      <w:r>
        <w:t xml:space="preserve">, T. Beneficial </w:t>
      </w:r>
      <w:proofErr w:type="spellStart"/>
      <w:r>
        <w:t>effects</w:t>
      </w:r>
      <w:proofErr w:type="spellEnd"/>
      <w:r>
        <w:t xml:space="preserve"> </w:t>
      </w:r>
      <w:proofErr w:type="spellStart"/>
      <w:r>
        <w:t>of</w:t>
      </w:r>
      <w:proofErr w:type="spellEnd"/>
      <w:r>
        <w:t xml:space="preserve"> </w:t>
      </w:r>
      <w:proofErr w:type="spellStart"/>
      <w:r>
        <w:t>virgin</w:t>
      </w:r>
      <w:proofErr w:type="spellEnd"/>
      <w:r>
        <w:t xml:space="preserve"> </w:t>
      </w:r>
      <w:proofErr w:type="spellStart"/>
      <w:r>
        <w:t>coconut</w:t>
      </w:r>
      <w:proofErr w:type="spellEnd"/>
      <w:r>
        <w:t xml:space="preserve"> </w:t>
      </w:r>
      <w:proofErr w:type="spellStart"/>
      <w:r>
        <w:t>oil</w:t>
      </w:r>
      <w:proofErr w:type="spellEnd"/>
      <w:r>
        <w:t xml:space="preserve"> </w:t>
      </w:r>
      <w:proofErr w:type="spellStart"/>
      <w:r>
        <w:t>on</w:t>
      </w:r>
      <w:proofErr w:type="spellEnd"/>
      <w:r>
        <w:t xml:space="preserve"> </w:t>
      </w:r>
      <w:proofErr w:type="spellStart"/>
      <w:r>
        <w:t>lipid</w:t>
      </w:r>
      <w:proofErr w:type="spellEnd"/>
      <w:r>
        <w:t xml:space="preserve"> </w:t>
      </w:r>
      <w:proofErr w:type="spellStart"/>
      <w:r>
        <w:t>parameters</w:t>
      </w:r>
      <w:proofErr w:type="spellEnd"/>
      <w:r>
        <w:t xml:space="preserve"> </w:t>
      </w:r>
      <w:proofErr w:type="spellStart"/>
      <w:r>
        <w:t>and</w:t>
      </w:r>
      <w:proofErr w:type="spellEnd"/>
      <w:r>
        <w:t xml:space="preserve"> in vitro LDL </w:t>
      </w:r>
      <w:proofErr w:type="spellStart"/>
      <w:r>
        <w:t>oxidation</w:t>
      </w:r>
      <w:proofErr w:type="spellEnd"/>
      <w:r>
        <w:t xml:space="preserve">. Clinical </w:t>
      </w:r>
      <w:proofErr w:type="spellStart"/>
      <w:r>
        <w:t>Biochemistry</w:t>
      </w:r>
      <w:proofErr w:type="spellEnd"/>
      <w:r>
        <w:t>, v. 37, n. 9, p. 830–835, 2004.</w:t>
      </w:r>
    </w:p>
    <w:p w:rsidR="00A26F43" w:rsidRDefault="00000000">
      <w:pPr>
        <w:spacing w:before="240" w:after="240"/>
      </w:pPr>
      <w:r>
        <w:t xml:space="preserve">PADILLA, E. R. D.; BELINI, G. B.; NAKASHIMA, G. T.; </w:t>
      </w:r>
      <w:proofErr w:type="spellStart"/>
      <w:r>
        <w:t>WALDMAN</w:t>
      </w:r>
      <w:proofErr w:type="spellEnd"/>
      <w:r>
        <w:t xml:space="preserve">, W. R.; </w:t>
      </w:r>
      <w:proofErr w:type="spellStart"/>
      <w:r>
        <w:t>YAMAJI</w:t>
      </w:r>
      <w:proofErr w:type="spellEnd"/>
      <w:r>
        <w:t xml:space="preserve">, F. M. Potencial energético da casca de coco (Cocos </w:t>
      </w:r>
      <w:proofErr w:type="spellStart"/>
      <w:r>
        <w:t>nucifera</w:t>
      </w:r>
      <w:proofErr w:type="spellEnd"/>
      <w:r>
        <w:t xml:space="preserve"> L.) para uso na produção de carvão vegetal por pirólise. Revista Virtual de Química, v. 10, n. 2, p. 334-345, 2018.</w:t>
      </w:r>
    </w:p>
    <w:p w:rsidR="00A26F43" w:rsidRDefault="00000000">
      <w:r>
        <w:t>SANTOS, João Paulo Silva dos et al. Histórico da implementação da algaroba no Rio Grande do Norte. Pesquisa Florestal Brasileira, v. 37, n. 90, p. 201–212, 2017. DOI: https://</w:t>
      </w:r>
      <w:proofErr w:type="spellStart"/>
      <w:r>
        <w:t>doi.org</w:t>
      </w:r>
      <w:proofErr w:type="spellEnd"/>
      <w:r>
        <w:t>/10.4336/</w:t>
      </w:r>
      <w:proofErr w:type="spellStart"/>
      <w:r>
        <w:t>2017.pfb.37.90.859</w:t>
      </w:r>
      <w:proofErr w:type="spellEnd"/>
      <w:r>
        <w:t>. Disponível em: https://</w:t>
      </w:r>
      <w:proofErr w:type="spellStart"/>
      <w:r>
        <w:t>pfb.sede.embrapa.br</w:t>
      </w:r>
      <w:proofErr w:type="spellEnd"/>
      <w:r>
        <w:t>/</w:t>
      </w:r>
      <w:proofErr w:type="spellStart"/>
      <w:r>
        <w:t>pfb</w:t>
      </w:r>
      <w:proofErr w:type="spellEnd"/>
      <w:r>
        <w:t>/</w:t>
      </w:r>
      <w:proofErr w:type="spellStart"/>
      <w:r>
        <w:t>article</w:t>
      </w:r>
      <w:proofErr w:type="spellEnd"/>
      <w:r>
        <w:t>/</w:t>
      </w:r>
      <w:proofErr w:type="spellStart"/>
      <w:r>
        <w:t>view</w:t>
      </w:r>
      <w:proofErr w:type="spellEnd"/>
      <w:r>
        <w:t>/859. Acesso em: 18 mar. 2026.</w:t>
      </w:r>
    </w:p>
    <w:p w:rsidR="00A26F43" w:rsidRDefault="00000000">
      <w:r>
        <w:t xml:space="preserve">SILVA, M. G. et al. Potencial energético da </w:t>
      </w:r>
      <w:proofErr w:type="spellStart"/>
      <w:r>
        <w:t>Prosopis</w:t>
      </w:r>
      <w:proofErr w:type="spellEnd"/>
      <w:r>
        <w:t xml:space="preserve"> </w:t>
      </w:r>
      <w:proofErr w:type="spellStart"/>
      <w:r>
        <w:t>juliflora</w:t>
      </w:r>
      <w:proofErr w:type="spellEnd"/>
      <w:r>
        <w:t xml:space="preserve"> no semiárido brasileiro. Revista Brasileira de Energias Renováveis, v. 5, n. 2, p. 45–60, 2016.</w:t>
      </w:r>
    </w:p>
    <w:p w:rsidR="00A26F43" w:rsidRDefault="00000000">
      <w:pPr>
        <w:spacing w:before="240" w:after="240"/>
      </w:pPr>
      <w:r>
        <w:t xml:space="preserve">SILVA, Renato </w:t>
      </w:r>
      <w:proofErr w:type="spellStart"/>
      <w:r>
        <w:t>Cainan</w:t>
      </w:r>
      <w:proofErr w:type="spellEnd"/>
      <w:r>
        <w:t xml:space="preserve"> Arruda da. </w:t>
      </w:r>
      <w:r>
        <w:rPr>
          <w:i/>
          <w:iCs/>
        </w:rPr>
        <w:t>Produção e caracterização de celulose a partir do mesocarpo do coco seco</w:t>
      </w:r>
      <w:r>
        <w:t>. 2024. 44 f. Trabalho de Conclusão de Curso (Graduação em Engenharia Química) – Universidade Federal de Pernambuco, Centro de Tecnologia e Geociências, Recife, 2023. Disponível em:</w:t>
      </w:r>
      <w:hyperlink r:id="rId11">
        <w:r>
          <w:rPr>
            <w:color w:val="1155CC"/>
          </w:rPr>
          <w:t xml:space="preserve"> </w:t>
        </w:r>
      </w:hyperlink>
      <w:hyperlink r:id="rId12">
        <w:r>
          <w:rPr>
            <w:color w:val="1155CC"/>
            <w:u w:val="single"/>
          </w:rPr>
          <w:t>https://</w:t>
        </w:r>
        <w:proofErr w:type="spellStart"/>
        <w:r>
          <w:rPr>
            <w:color w:val="1155CC"/>
            <w:u w:val="single"/>
          </w:rPr>
          <w:t>repositorio.ufpe.br</w:t>
        </w:r>
        <w:proofErr w:type="spellEnd"/>
        <w:r>
          <w:rPr>
            <w:color w:val="1155CC"/>
            <w:u w:val="single"/>
          </w:rPr>
          <w:t>/</w:t>
        </w:r>
        <w:proofErr w:type="spellStart"/>
        <w:r>
          <w:rPr>
            <w:color w:val="1155CC"/>
            <w:u w:val="single"/>
          </w:rPr>
          <w:t>handle</w:t>
        </w:r>
        <w:proofErr w:type="spellEnd"/>
        <w:r>
          <w:rPr>
            <w:color w:val="1155CC"/>
            <w:u w:val="single"/>
          </w:rPr>
          <w:t>/123456789/56619</w:t>
        </w:r>
      </w:hyperlink>
      <w:r>
        <w:t>. Acesso em: 12 mar. 2026.</w:t>
      </w:r>
    </w:p>
    <w:p w:rsidR="00A26F43" w:rsidRDefault="00000000">
      <w:proofErr w:type="spellStart"/>
      <w:r>
        <w:t>SURIAPPARAO</w:t>
      </w:r>
      <w:proofErr w:type="spellEnd"/>
      <w:r>
        <w:t xml:space="preserve">, Dadi V.; </w:t>
      </w:r>
      <w:proofErr w:type="spellStart"/>
      <w:r>
        <w:t>PRADEEP</w:t>
      </w:r>
      <w:proofErr w:type="spellEnd"/>
      <w:r>
        <w:t xml:space="preserve">, N.; </w:t>
      </w:r>
      <w:proofErr w:type="spellStart"/>
      <w:r>
        <w:t>VINU</w:t>
      </w:r>
      <w:proofErr w:type="spellEnd"/>
      <w:r>
        <w:t xml:space="preserve">, R. </w:t>
      </w:r>
      <w:proofErr w:type="spellStart"/>
      <w:r>
        <w:t>Bio-oil</w:t>
      </w:r>
      <w:proofErr w:type="spellEnd"/>
      <w:r>
        <w:t xml:space="preserve"> </w:t>
      </w:r>
      <w:proofErr w:type="spellStart"/>
      <w:r>
        <w:t>production</w:t>
      </w:r>
      <w:proofErr w:type="spellEnd"/>
      <w:r>
        <w:t xml:space="preserve"> </w:t>
      </w:r>
      <w:proofErr w:type="spellStart"/>
      <w:r>
        <w:t>from</w:t>
      </w:r>
      <w:proofErr w:type="spellEnd"/>
      <w:r>
        <w:t xml:space="preserve"> </w:t>
      </w:r>
      <w:proofErr w:type="spellStart"/>
      <w:r>
        <w:t>Prosopis</w:t>
      </w:r>
      <w:proofErr w:type="spellEnd"/>
      <w:r>
        <w:t xml:space="preserve"> </w:t>
      </w:r>
      <w:proofErr w:type="spellStart"/>
      <w:r>
        <w:t>juliflora</w:t>
      </w:r>
      <w:proofErr w:type="spellEnd"/>
      <w:r>
        <w:t xml:space="preserve"> via </w:t>
      </w:r>
      <w:proofErr w:type="spellStart"/>
      <w:r>
        <w:t>microwave</w:t>
      </w:r>
      <w:proofErr w:type="spellEnd"/>
      <w:r>
        <w:t xml:space="preserve"> </w:t>
      </w:r>
      <w:proofErr w:type="spellStart"/>
      <w:r>
        <w:t>pyrolysis</w:t>
      </w:r>
      <w:proofErr w:type="spellEnd"/>
      <w:r>
        <w:t xml:space="preserve">. Energy &amp; </w:t>
      </w:r>
      <w:proofErr w:type="spellStart"/>
      <w:r>
        <w:t>Fuels</w:t>
      </w:r>
      <w:proofErr w:type="spellEnd"/>
      <w:r>
        <w:t xml:space="preserve">, v. 29, n. 4, p. 2571–2581, 2015. DOI: </w:t>
      </w:r>
      <w:hyperlink r:id="rId13">
        <w:r>
          <w:rPr>
            <w:color w:val="1155CC"/>
            <w:u w:val="single"/>
          </w:rPr>
          <w:t>https://</w:t>
        </w:r>
        <w:proofErr w:type="spellStart"/>
        <w:r>
          <w:rPr>
            <w:color w:val="1155CC"/>
            <w:u w:val="single"/>
          </w:rPr>
          <w:t>doi.org</w:t>
        </w:r>
        <w:proofErr w:type="spellEnd"/>
        <w:r>
          <w:rPr>
            <w:color w:val="1155CC"/>
            <w:u w:val="single"/>
          </w:rPr>
          <w:t>/10.1021/</w:t>
        </w:r>
        <w:proofErr w:type="spellStart"/>
        <w:r>
          <w:rPr>
            <w:color w:val="1155CC"/>
            <w:u w:val="single"/>
          </w:rPr>
          <w:t>acs.energyfuels.5b00357</w:t>
        </w:r>
        <w:proofErr w:type="spellEnd"/>
      </w:hyperlink>
      <w:r>
        <w:t xml:space="preserve">. Acesso em: 18 mar. 2026. </w:t>
      </w:r>
    </w:p>
    <w:p w:rsidR="00A26F43" w:rsidRDefault="00000000">
      <w:pPr>
        <w:spacing w:before="240" w:after="240"/>
      </w:pPr>
      <w:r>
        <w:t xml:space="preserve">VIEIRA, Rita de Cássia; </w:t>
      </w:r>
      <w:proofErr w:type="spellStart"/>
      <w:r>
        <w:t>COLOVATE</w:t>
      </w:r>
      <w:proofErr w:type="spellEnd"/>
      <w:r>
        <w:t xml:space="preserve">, Otávio Pedrinho. Etanol </w:t>
      </w:r>
      <w:proofErr w:type="spellStart"/>
      <w:r>
        <w:t>2G</w:t>
      </w:r>
      <w:proofErr w:type="spellEnd"/>
      <w:r>
        <w:t>: o biocombustível do futuro. In: SIMPÓSIO DE TECNOLOGIA FATEC JABOTICABAL (</w:t>
      </w:r>
      <w:proofErr w:type="spellStart"/>
      <w:r>
        <w:t>SITEC-JB</w:t>
      </w:r>
      <w:proofErr w:type="spellEnd"/>
      <w:r>
        <w:t>), 2025, Jaboticabal. Anais dos Resumos Simples – Simpósio de Tecnologia Fatec Jaboticabal. Jaboticabal: Fatec Nilo de Stéfani, 2025. ISSN 2965-9221.</w:t>
      </w:r>
    </w:p>
    <w:p w:rsidR="00A26F43" w:rsidRDefault="00000000">
      <w:pPr>
        <w:spacing w:before="240" w:after="240"/>
        <w:rPr>
          <w:rFonts w:ascii="Calibri" w:eastAsia="Calibri" w:hAnsi="Calibri" w:cs="Calibri"/>
          <w:b/>
          <w:bCs/>
          <w:color w:val="333333"/>
          <w:sz w:val="26"/>
          <w:szCs w:val="26"/>
        </w:rPr>
      </w:pPr>
      <w:proofErr w:type="spellStart"/>
      <w:r>
        <w:t>WEMBE</w:t>
      </w:r>
      <w:proofErr w:type="spellEnd"/>
      <w:r>
        <w:t xml:space="preserve">, </w:t>
      </w:r>
      <w:proofErr w:type="spellStart"/>
      <w:r>
        <w:t>Djomsi</w:t>
      </w:r>
      <w:proofErr w:type="spellEnd"/>
      <w:r>
        <w:t xml:space="preserve"> </w:t>
      </w:r>
      <w:proofErr w:type="spellStart"/>
      <w:r>
        <w:t>Brillant</w:t>
      </w:r>
      <w:proofErr w:type="spellEnd"/>
      <w:r>
        <w:t xml:space="preserve">; </w:t>
      </w:r>
      <w:proofErr w:type="spellStart"/>
      <w:r>
        <w:t>KAMDEM</w:t>
      </w:r>
      <w:proofErr w:type="spellEnd"/>
      <w:r>
        <w:t xml:space="preserve">, Jean Pierre; </w:t>
      </w:r>
      <w:proofErr w:type="spellStart"/>
      <w:r>
        <w:t>TCHINDA</w:t>
      </w:r>
      <w:proofErr w:type="spellEnd"/>
      <w:r>
        <w:t xml:space="preserve">, René; et al. </w:t>
      </w:r>
      <w:r>
        <w:rPr>
          <w:i/>
          <w:iCs/>
        </w:rPr>
        <w:t xml:space="preserve">Experimental </w:t>
      </w:r>
      <w:proofErr w:type="spellStart"/>
      <w:r>
        <w:rPr>
          <w:i/>
          <w:iCs/>
        </w:rPr>
        <w:t>study</w:t>
      </w:r>
      <w:proofErr w:type="spellEnd"/>
      <w:r>
        <w:rPr>
          <w:i/>
          <w:iCs/>
        </w:rPr>
        <w:t xml:space="preserve"> </w:t>
      </w:r>
      <w:proofErr w:type="spellStart"/>
      <w:r>
        <w:rPr>
          <w:i/>
          <w:iCs/>
        </w:rPr>
        <w:t>of</w:t>
      </w:r>
      <w:proofErr w:type="spellEnd"/>
      <w:r>
        <w:rPr>
          <w:i/>
          <w:iCs/>
        </w:rPr>
        <w:t xml:space="preserve"> </w:t>
      </w:r>
      <w:proofErr w:type="spellStart"/>
      <w:r>
        <w:rPr>
          <w:i/>
          <w:iCs/>
        </w:rPr>
        <w:t>biogas</w:t>
      </w:r>
      <w:proofErr w:type="spellEnd"/>
      <w:r>
        <w:rPr>
          <w:i/>
          <w:iCs/>
        </w:rPr>
        <w:t xml:space="preserve"> </w:t>
      </w:r>
      <w:proofErr w:type="spellStart"/>
      <w:r>
        <w:rPr>
          <w:i/>
          <w:iCs/>
        </w:rPr>
        <w:t>production</w:t>
      </w:r>
      <w:proofErr w:type="spellEnd"/>
      <w:r>
        <w:rPr>
          <w:i/>
          <w:iCs/>
        </w:rPr>
        <w:t xml:space="preserve"> </w:t>
      </w:r>
      <w:proofErr w:type="spellStart"/>
      <w:r>
        <w:rPr>
          <w:i/>
          <w:iCs/>
        </w:rPr>
        <w:t>from</w:t>
      </w:r>
      <w:proofErr w:type="spellEnd"/>
      <w:r>
        <w:rPr>
          <w:i/>
          <w:iCs/>
        </w:rPr>
        <w:t xml:space="preserve"> </w:t>
      </w:r>
      <w:proofErr w:type="spellStart"/>
      <w:r>
        <w:rPr>
          <w:i/>
          <w:iCs/>
        </w:rPr>
        <w:t>water</w:t>
      </w:r>
      <w:proofErr w:type="spellEnd"/>
      <w:r>
        <w:rPr>
          <w:i/>
          <w:iCs/>
        </w:rPr>
        <w:t xml:space="preserve"> </w:t>
      </w:r>
      <w:proofErr w:type="spellStart"/>
      <w:r>
        <w:rPr>
          <w:i/>
          <w:iCs/>
        </w:rPr>
        <w:t>hyacinth</w:t>
      </w:r>
      <w:proofErr w:type="spellEnd"/>
      <w:r>
        <w:t xml:space="preserve">. Science </w:t>
      </w:r>
      <w:proofErr w:type="spellStart"/>
      <w:r>
        <w:t>and</w:t>
      </w:r>
      <w:proofErr w:type="spellEnd"/>
      <w:r>
        <w:t xml:space="preserve"> Technology for Energy </w:t>
      </w:r>
      <w:proofErr w:type="spellStart"/>
      <w:r>
        <w:t>Transition</w:t>
      </w:r>
      <w:proofErr w:type="spellEnd"/>
      <w:r>
        <w:t xml:space="preserve"> (</w:t>
      </w:r>
      <w:proofErr w:type="spellStart"/>
      <w:r>
        <w:t>STET</w:t>
      </w:r>
      <w:proofErr w:type="spellEnd"/>
      <w:r>
        <w:t xml:space="preserve">), 2023. DOI: </w:t>
      </w:r>
      <w:hyperlink r:id="rId14">
        <w:r>
          <w:rPr>
            <w:color w:val="1155CC"/>
            <w:u w:val="single"/>
          </w:rPr>
          <w:t>https://</w:t>
        </w:r>
        <w:proofErr w:type="spellStart"/>
        <w:r>
          <w:rPr>
            <w:color w:val="1155CC"/>
            <w:u w:val="single"/>
          </w:rPr>
          <w:t>doi.org</w:t>
        </w:r>
        <w:proofErr w:type="spellEnd"/>
        <w:r>
          <w:rPr>
            <w:color w:val="1155CC"/>
            <w:u w:val="single"/>
          </w:rPr>
          <w:t>/10.2516/</w:t>
        </w:r>
        <w:proofErr w:type="spellStart"/>
        <w:r>
          <w:rPr>
            <w:color w:val="1155CC"/>
            <w:u w:val="single"/>
          </w:rPr>
          <w:t>stet</w:t>
        </w:r>
        <w:proofErr w:type="spellEnd"/>
        <w:r>
          <w:rPr>
            <w:color w:val="1155CC"/>
            <w:u w:val="single"/>
          </w:rPr>
          <w:t>/2023010</w:t>
        </w:r>
      </w:hyperlink>
      <w:r>
        <w:t xml:space="preserve">. Acesso em: 27 mar. 2026. </w:t>
      </w:r>
    </w:p>
    <w:p w:rsidR="00A26F43" w:rsidRDefault="00A26F43">
      <w:pPr>
        <w:spacing w:before="240" w:after="240"/>
      </w:pPr>
    </w:p>
    <w:p w:rsidR="00A26F43" w:rsidRDefault="00A26F43">
      <w:pPr>
        <w:spacing w:before="240" w:after="240"/>
      </w:pPr>
    </w:p>
    <w:sectPr w:rsidR="00A26F43">
      <w:headerReference w:type="even" r:id="rId15"/>
      <w:headerReference w:type="default" r:id="rId16"/>
      <w:footerReference w:type="even" r:id="rId17"/>
      <w:footerReference w:type="default" r:id="rId18"/>
      <w:headerReference w:type="first" r:id="rId19"/>
      <w:footerReference w:type="first" r:id="rId20"/>
      <w:pgSz w:w="11906" w:h="16838"/>
      <w:pgMar w:top="2268" w:right="1418" w:bottom="1418" w:left="1418" w:header="170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146E" w:rsidRDefault="0064146E">
      <w:pPr>
        <w:spacing w:line="240" w:lineRule="auto"/>
      </w:pPr>
      <w:r>
        <w:separator/>
      </w:r>
    </w:p>
  </w:endnote>
  <w:endnote w:type="continuationSeparator" w:id="0">
    <w:p w:rsidR="0064146E" w:rsidRDefault="006414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embedRegular r:id="rId1" w:fontKey="{CC5D5B02-31F4-4690-BA28-DDEDF9DCA8DE}"/>
  </w:font>
  <w:font w:name="Tahoma">
    <w:panose1 w:val="020B0604030504040204"/>
    <w:charset w:val="00"/>
    <w:family w:val="swiss"/>
    <w:pitch w:val="variable"/>
    <w:sig w:usb0="E1002EFF" w:usb1="C000605B" w:usb2="00000029" w:usb3="00000000" w:csb0="000101FF" w:csb1="00000000"/>
    <w:embedRegular r:id="rId2" w:fontKey="{082180E1-A8B8-46BF-95AE-93F08868236B}"/>
  </w:font>
  <w:font w:name="Calibri">
    <w:panose1 w:val="020F0502020204030204"/>
    <w:charset w:val="00"/>
    <w:family w:val="swiss"/>
    <w:pitch w:val="variable"/>
    <w:sig w:usb0="E4002EFF" w:usb1="C200247B" w:usb2="00000009" w:usb3="00000000" w:csb0="000001FF" w:csb1="00000000"/>
    <w:embedRegular r:id="rId3" w:fontKey="{8A44E65B-00F5-498E-8DD5-9086C8C07057}"/>
    <w:embedBold r:id="rId4" w:fontKey="{B181B17A-14F4-4373-9DCB-698B8DEB2A72}"/>
  </w:font>
  <w:font w:name="Cambria">
    <w:panose1 w:val="02040503050406030204"/>
    <w:charset w:val="00"/>
    <w:family w:val="roman"/>
    <w:pitch w:val="variable"/>
    <w:sig w:usb0="E00006FF" w:usb1="420024FF" w:usb2="02000000" w:usb3="00000000" w:csb0="0000019F" w:csb1="00000000"/>
    <w:embedRegular r:id="rId5" w:fontKey="{CD5EF946-1E32-4538-A942-7F14CF165305}"/>
  </w:font>
  <w:font w:name="Georgia">
    <w:panose1 w:val="02040502050405020303"/>
    <w:charset w:val="00"/>
    <w:family w:val="roman"/>
    <w:pitch w:val="variable"/>
    <w:sig w:usb0="00000287" w:usb1="00000000" w:usb2="00000000" w:usb3="00000000" w:csb0="0000009F" w:csb1="00000000"/>
    <w:embedItalic r:id="rId6" w:fontKey="{18D77197-80ED-4FF9-B861-7507AB18FF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F43" w:rsidRDefault="00000000">
    <w:pPr>
      <w:pBdr>
        <w:top w:val="nil"/>
        <w:left w:val="nil"/>
        <w:bottom w:val="nil"/>
        <w:right w:val="nil"/>
        <w:between w:val="nil"/>
      </w:pBdr>
      <w:tabs>
        <w:tab w:val="center" w:pos="3600"/>
        <w:tab w:val="right" w:pos="7200"/>
      </w:tabs>
      <w:jc w:val="right"/>
      <w:rPr>
        <w:rFonts w:ascii="Calibri" w:eastAsia="Calibri" w:hAnsi="Calibri" w:cs="Calibri"/>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A26F43" w:rsidRDefault="00A26F43">
    <w:pPr>
      <w:pBdr>
        <w:top w:val="nil"/>
        <w:left w:val="nil"/>
        <w:bottom w:val="nil"/>
        <w:right w:val="nil"/>
        <w:between w:val="nil"/>
      </w:pBdr>
      <w:tabs>
        <w:tab w:val="center" w:pos="3600"/>
        <w:tab w:val="right" w:pos="7200"/>
      </w:tabs>
      <w:jc w:val="left"/>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F43" w:rsidRDefault="00000000">
    <w:pPr>
      <w:pBdr>
        <w:top w:val="nil"/>
        <w:left w:val="nil"/>
        <w:bottom w:val="nil"/>
        <w:right w:val="nil"/>
        <w:between w:val="nil"/>
      </w:pBdr>
      <w:tabs>
        <w:tab w:val="center" w:pos="3600"/>
        <w:tab w:val="right" w:pos="7200"/>
      </w:tabs>
      <w:jc w:val="right"/>
      <w:rPr>
        <w:rFonts w:ascii="Calibri" w:eastAsia="Calibri" w:hAnsi="Calibri" w:cs="Calibri"/>
        <w:color w:val="000000"/>
      </w:rPr>
    </w:pPr>
    <w:r>
      <w:rPr>
        <w:color w:val="000000"/>
      </w:rPr>
      <w:fldChar w:fldCharType="begin"/>
    </w:r>
    <w:r>
      <w:rPr>
        <w:color w:val="000000"/>
      </w:rPr>
      <w:instrText>PAGE</w:instrText>
    </w:r>
    <w:r>
      <w:rPr>
        <w:color w:val="000000"/>
      </w:rPr>
      <w:fldChar w:fldCharType="separate"/>
    </w:r>
    <w:r w:rsidR="004D1761">
      <w:rPr>
        <w:noProof/>
        <w:color w:val="000000"/>
      </w:rPr>
      <w:t>1</w:t>
    </w:r>
    <w:r>
      <w:rPr>
        <w:color w:val="000000"/>
      </w:rPr>
      <w:fldChar w:fldCharType="end"/>
    </w:r>
    <w:r>
      <w:rPr>
        <w:noProof/>
      </w:rPr>
      <w:drawing>
        <wp:anchor distT="0" distB="0" distL="114300" distR="114300" simplePos="0" relativeHeight="251661312" behindDoc="0" locked="0" layoutInCell="1" hidden="0" allowOverlap="1">
          <wp:simplePos x="0" y="0"/>
          <wp:positionH relativeFrom="column">
            <wp:posOffset>732789</wp:posOffset>
          </wp:positionH>
          <wp:positionV relativeFrom="paragraph">
            <wp:posOffset>-136622</wp:posOffset>
          </wp:positionV>
          <wp:extent cx="4293870" cy="735965"/>
          <wp:effectExtent l="0" t="0" r="0" b="0"/>
          <wp:wrapNone/>
          <wp:docPr id="210774110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4293870" cy="735965"/>
                  </a:xfrm>
                  <a:prstGeom prst="rect">
                    <a:avLst/>
                  </a:prstGeom>
                  <a:ln/>
                </pic:spPr>
              </pic:pic>
            </a:graphicData>
          </a:graphic>
        </wp:anchor>
      </w:drawing>
    </w:r>
  </w:p>
  <w:p w:rsidR="00A26F43" w:rsidRDefault="00000000">
    <w:pPr>
      <w:pBdr>
        <w:top w:val="nil"/>
        <w:left w:val="nil"/>
        <w:bottom w:val="nil"/>
        <w:right w:val="nil"/>
        <w:between w:val="nil"/>
      </w:pBdr>
      <w:tabs>
        <w:tab w:val="center" w:pos="3600"/>
        <w:tab w:val="right" w:pos="7200"/>
      </w:tabs>
      <w:spacing w:line="240" w:lineRule="auto"/>
      <w:ind w:firstLine="567"/>
      <w:rPr>
        <w:color w:val="000000"/>
      </w:rP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F43" w:rsidRDefault="00000000">
    <w:pPr>
      <w:pBdr>
        <w:top w:val="nil"/>
        <w:left w:val="nil"/>
        <w:bottom w:val="nil"/>
        <w:right w:val="nil"/>
        <w:between w:val="nil"/>
      </w:pBdr>
      <w:tabs>
        <w:tab w:val="center" w:pos="3600"/>
        <w:tab w:val="right" w:pos="7200"/>
      </w:tabs>
      <w:spacing w:line="240" w:lineRule="auto"/>
      <w:ind w:firstLine="567"/>
      <w:jc w:val="center"/>
      <w:rPr>
        <w:color w:val="000000"/>
      </w:rPr>
    </w:pPr>
    <w:r>
      <w:rPr>
        <w:noProof/>
      </w:rPr>
      <w:drawing>
        <wp:inline distT="0" distB="0" distL="0" distR="0">
          <wp:extent cx="4499610" cy="627380"/>
          <wp:effectExtent l="0" t="0" r="0" b="0"/>
          <wp:docPr id="2107741108" name="image1.png" descr="Logotipo, nome da empres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Logotipo, nome da empresa&#10;&#10;O conteúdo gerado por IA pode estar incorreto."/>
                  <pic:cNvPicPr preferRelativeResize="0"/>
                </pic:nvPicPr>
                <pic:blipFill>
                  <a:blip r:embed="rId1"/>
                  <a:srcRect/>
                  <a:stretch>
                    <a:fillRect/>
                  </a:stretch>
                </pic:blipFill>
                <pic:spPr>
                  <a:xfrm>
                    <a:off x="0" y="0"/>
                    <a:ext cx="4499610" cy="62738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146E" w:rsidRDefault="0064146E">
      <w:pPr>
        <w:spacing w:line="240" w:lineRule="auto"/>
      </w:pPr>
      <w:r>
        <w:separator/>
      </w:r>
    </w:p>
  </w:footnote>
  <w:footnote w:type="continuationSeparator" w:id="0">
    <w:p w:rsidR="0064146E" w:rsidRDefault="006414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F43" w:rsidRDefault="00000000">
    <w:pPr>
      <w:pBdr>
        <w:top w:val="nil"/>
        <w:left w:val="nil"/>
        <w:bottom w:val="nil"/>
        <w:right w:val="nil"/>
        <w:between w:val="nil"/>
      </w:pBdr>
      <w:tabs>
        <w:tab w:val="left" w:pos="2133"/>
        <w:tab w:val="center" w:pos="3600"/>
        <w:tab w:val="right" w:pos="7200"/>
        <w:tab w:val="right" w:pos="7088"/>
      </w:tabs>
      <w:spacing w:line="240" w:lineRule="auto"/>
      <w:rPr>
        <w:i/>
        <w:iCs/>
        <w:color w:val="000000"/>
      </w:rPr>
    </w:pPr>
    <w:r>
      <w:rPr>
        <w:noProof/>
      </w:rPr>
      <w:drawing>
        <wp:anchor distT="0" distB="0" distL="0" distR="0" simplePos="0" relativeHeight="251660288" behindDoc="0" locked="0" layoutInCell="1" hidden="0" allowOverlap="1">
          <wp:simplePos x="0" y="0"/>
          <wp:positionH relativeFrom="column">
            <wp:posOffset>-917355</wp:posOffset>
          </wp:positionH>
          <wp:positionV relativeFrom="paragraph">
            <wp:posOffset>-1071662</wp:posOffset>
          </wp:positionV>
          <wp:extent cx="7599638" cy="1439662"/>
          <wp:effectExtent l="0" t="0" r="0" b="0"/>
          <wp:wrapSquare wrapText="bothSides" distT="0" distB="0" distL="0" distR="0"/>
          <wp:docPr id="2107741110" name="image5.png" descr="Ícon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5.png" descr="Ícone&#10;&#10;O conteúdo gerado por IA pode estar incorreto."/>
                  <pic:cNvPicPr preferRelativeResize="0"/>
                </pic:nvPicPr>
                <pic:blipFill>
                  <a:blip r:embed="rId1"/>
                  <a:srcRect b="23599"/>
                  <a:stretch>
                    <a:fillRect/>
                  </a:stretch>
                </pic:blipFill>
                <pic:spPr>
                  <a:xfrm>
                    <a:off x="0" y="0"/>
                    <a:ext cx="7599638" cy="1439662"/>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F43" w:rsidRDefault="00000000">
    <w:pPr>
      <w:pBdr>
        <w:top w:val="nil"/>
        <w:left w:val="nil"/>
        <w:bottom w:val="nil"/>
        <w:right w:val="nil"/>
        <w:between w:val="nil"/>
      </w:pBdr>
      <w:tabs>
        <w:tab w:val="center" w:pos="3600"/>
        <w:tab w:val="right" w:pos="7200"/>
        <w:tab w:val="right" w:pos="7088"/>
      </w:tabs>
      <w:spacing w:line="240" w:lineRule="auto"/>
      <w:rPr>
        <w:color w:val="000000"/>
      </w:rPr>
    </w:pPr>
    <w:r>
      <w:rPr>
        <w:noProof/>
        <w:color w:val="000000"/>
      </w:rPr>
      <w:drawing>
        <wp:anchor distT="0" distB="0" distL="114300" distR="114300" simplePos="0" relativeHeight="251658240" behindDoc="0" locked="0" layoutInCell="1" hidden="0" allowOverlap="1">
          <wp:simplePos x="0" y="0"/>
          <wp:positionH relativeFrom="margin">
            <wp:posOffset>-920744</wp:posOffset>
          </wp:positionH>
          <wp:positionV relativeFrom="topMargin">
            <wp:posOffset>-836</wp:posOffset>
          </wp:positionV>
          <wp:extent cx="7596505" cy="1432560"/>
          <wp:effectExtent l="0" t="0" r="0" b="0"/>
          <wp:wrapSquare wrapText="bothSides" distT="0" distB="0" distL="114300" distR="114300"/>
          <wp:docPr id="210774110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96505" cy="143256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F43" w:rsidRDefault="00000000">
    <w:pPr>
      <w:tabs>
        <w:tab w:val="right" w:pos="7086"/>
      </w:tabs>
      <w:spacing w:line="240" w:lineRule="auto"/>
      <w:jc w:val="right"/>
      <w:rPr>
        <w:b/>
        <w:bCs/>
      </w:rPr>
    </w:pPr>
    <w:r>
      <w:rPr>
        <w:noProof/>
      </w:rPr>
      <w:drawing>
        <wp:anchor distT="0" distB="0" distL="114300" distR="114300" simplePos="0" relativeHeight="251659264" behindDoc="0" locked="0" layoutInCell="1" hidden="0" allowOverlap="1">
          <wp:simplePos x="0" y="0"/>
          <wp:positionH relativeFrom="column">
            <wp:posOffset>-900424</wp:posOffset>
          </wp:positionH>
          <wp:positionV relativeFrom="paragraph">
            <wp:posOffset>-1080129</wp:posOffset>
          </wp:positionV>
          <wp:extent cx="7596505" cy="1432560"/>
          <wp:effectExtent l="0" t="0" r="0" b="0"/>
          <wp:wrapSquare wrapText="bothSides" distT="0" distB="0" distL="114300" distR="114300"/>
          <wp:docPr id="210774110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96505" cy="1432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182E"/>
    <w:multiLevelType w:val="multilevel"/>
    <w:tmpl w:val="9FA02658"/>
    <w:lvl w:ilvl="0">
      <w:start w:val="1"/>
      <w:numFmt w:val="decimal"/>
      <w:pStyle w:val="Els-reference"/>
      <w:lvlText w:val="%1."/>
      <w:lvlJc w:val="left"/>
      <w:pPr>
        <w:tabs>
          <w:tab w:val="num" w:pos="720"/>
        </w:tabs>
        <w:ind w:left="720" w:hanging="720"/>
      </w:pPr>
    </w:lvl>
    <w:lvl w:ilvl="1">
      <w:start w:val="1"/>
      <w:numFmt w:val="decimal"/>
      <w:pStyle w:val="Els-1storder-head"/>
      <w:lvlText w:val="%2."/>
      <w:lvlJc w:val="left"/>
      <w:pPr>
        <w:tabs>
          <w:tab w:val="num" w:pos="1440"/>
        </w:tabs>
        <w:ind w:left="1440" w:hanging="720"/>
      </w:pPr>
    </w:lvl>
    <w:lvl w:ilvl="2">
      <w:start w:val="1"/>
      <w:numFmt w:val="decimal"/>
      <w:pStyle w:val="Els-2ndorder-head"/>
      <w:lvlText w:val="%3."/>
      <w:lvlJc w:val="left"/>
      <w:pPr>
        <w:tabs>
          <w:tab w:val="num" w:pos="2160"/>
        </w:tabs>
        <w:ind w:left="2160" w:hanging="720"/>
      </w:pPr>
    </w:lvl>
    <w:lvl w:ilvl="3">
      <w:start w:val="1"/>
      <w:numFmt w:val="decimal"/>
      <w:pStyle w:val="Els-3rdorder-head"/>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CA03EEC"/>
    <w:multiLevelType w:val="multilevel"/>
    <w:tmpl w:val="DACC6FC4"/>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600" w:hanging="1080"/>
      </w:pPr>
    </w:lvl>
    <w:lvl w:ilvl="7">
      <w:start w:val="1"/>
      <w:numFmt w:val="decimal"/>
      <w:lvlText w:val="%1.%2.%3.%4.%5.%6.%7.%8."/>
      <w:lvlJc w:val="left"/>
      <w:pPr>
        <w:ind w:left="4320" w:hanging="1440"/>
      </w:pPr>
    </w:lvl>
    <w:lvl w:ilvl="8">
      <w:start w:val="1"/>
      <w:numFmt w:val="decimal"/>
      <w:lvlText w:val="%1.%2.%3.%4.%5.%6.%7.%8.%9."/>
      <w:lvlJc w:val="left"/>
      <w:pPr>
        <w:ind w:left="4680" w:hanging="1440"/>
      </w:pPr>
    </w:lvl>
  </w:abstractNum>
  <w:num w:numId="1" w16cid:durableId="310409660">
    <w:abstractNumId w:val="1"/>
  </w:num>
  <w:num w:numId="2" w16cid:durableId="661814015">
    <w:abstractNumId w:val="0"/>
  </w:num>
  <w:num w:numId="3" w16cid:durableId="15493432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F43"/>
    <w:rsid w:val="000F75EA"/>
    <w:rsid w:val="001739B1"/>
    <w:rsid w:val="003A30D0"/>
    <w:rsid w:val="004D1761"/>
    <w:rsid w:val="00502E2A"/>
    <w:rsid w:val="00553E37"/>
    <w:rsid w:val="005D4726"/>
    <w:rsid w:val="0064146E"/>
    <w:rsid w:val="006A2E7D"/>
    <w:rsid w:val="00A26F43"/>
    <w:rsid w:val="00C22E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2A09E"/>
  <w15:docId w15:val="{351A41CB-A7DC-49A4-8E36-FD77E1EFB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pPr>
        <w:spacing w:after="160" w:line="27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E4B"/>
    <w:pPr>
      <w:spacing w:after="0"/>
    </w:pPr>
  </w:style>
  <w:style w:type="paragraph" w:styleId="Ttulo1">
    <w:name w:val="heading 1"/>
    <w:basedOn w:val="Normal"/>
    <w:next w:val="Normal"/>
    <w:uiPriority w:val="9"/>
    <w:qFormat/>
    <w:pPr>
      <w:keepNext/>
      <w:keepLines/>
      <w:spacing w:before="240"/>
      <w:outlineLvl w:val="0"/>
    </w:pPr>
    <w:rPr>
      <w:b/>
      <w:bCs/>
      <w:color w:val="000000"/>
      <w:sz w:val="28"/>
      <w:szCs w:val="28"/>
    </w:rPr>
  </w:style>
  <w:style w:type="paragraph" w:styleId="Ttulo2">
    <w:name w:val="heading 2"/>
    <w:basedOn w:val="Normal"/>
    <w:next w:val="Normal"/>
    <w:uiPriority w:val="9"/>
    <w:unhideWhenUsed/>
    <w:qFormat/>
    <w:pPr>
      <w:keepNext/>
      <w:keepLines/>
      <w:spacing w:before="360" w:after="80"/>
      <w:ind w:left="720"/>
      <w:outlineLvl w:val="1"/>
    </w:pPr>
    <w:rPr>
      <w:b/>
      <w:bCs/>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paragraph" w:styleId="Legenda">
    <w:name w:val="caption"/>
    <w:basedOn w:val="Els-caption"/>
    <w:next w:val="Els-caption"/>
    <w:qFormat/>
    <w:rsid w:val="00C5265D"/>
    <w:pPr>
      <w:spacing w:before="0" w:after="0" w:line="240" w:lineRule="auto"/>
    </w:pPr>
  </w:style>
  <w:style w:type="paragraph" w:customStyle="1" w:styleId="Els-caption">
    <w:name w:val="Els-caption"/>
    <w:rsid w:val="008B0184"/>
    <w:pPr>
      <w:keepLines/>
      <w:spacing w:before="100" w:after="120"/>
    </w:pPr>
    <w:rPr>
      <w:sz w:val="18"/>
      <w:lang w:val="en-US" w:eastAsia="en-US"/>
    </w:rPr>
  </w:style>
  <w:style w:type="paragraph" w:customStyle="1" w:styleId="Els-1storder-head">
    <w:name w:val="Els-1storder-head"/>
    <w:basedOn w:val="Els-body-text"/>
    <w:next w:val="Els-body-text"/>
    <w:rsid w:val="008B0184"/>
    <w:pPr>
      <w:keepNext/>
      <w:numPr>
        <w:ilvl w:val="1"/>
        <w:numId w:val="2"/>
      </w:numPr>
      <w:suppressAutoHyphens/>
      <w:spacing w:before="240" w:after="60" w:line="240" w:lineRule="exact"/>
    </w:pPr>
    <w:rPr>
      <w:b/>
      <w:sz w:val="22"/>
    </w:rPr>
  </w:style>
  <w:style w:type="paragraph" w:customStyle="1" w:styleId="Els-body-text">
    <w:name w:val="Els-body-text"/>
    <w:rsid w:val="008B0184"/>
    <w:rPr>
      <w:lang w:val="en-US" w:eastAsia="en-US"/>
    </w:rPr>
  </w:style>
  <w:style w:type="paragraph" w:customStyle="1" w:styleId="Els-2ndorder-head">
    <w:name w:val="Els-2ndorder-head"/>
    <w:basedOn w:val="Els-body-text"/>
    <w:next w:val="Els-body-text"/>
    <w:rsid w:val="008B0184"/>
    <w:pPr>
      <w:keepNext/>
      <w:numPr>
        <w:ilvl w:val="2"/>
        <w:numId w:val="2"/>
      </w:numPr>
      <w:suppressAutoHyphens/>
      <w:spacing w:before="80"/>
    </w:pPr>
    <w:rPr>
      <w:i/>
    </w:rPr>
  </w:style>
  <w:style w:type="paragraph" w:customStyle="1" w:styleId="Els-3rdorder-head">
    <w:name w:val="Els-3rdorder-head"/>
    <w:basedOn w:val="Els-body-text"/>
    <w:next w:val="Els-body-text"/>
    <w:rsid w:val="008B0184"/>
    <w:pPr>
      <w:keepNext/>
      <w:numPr>
        <w:ilvl w:val="3"/>
        <w:numId w:val="2"/>
      </w:numPr>
      <w:suppressAutoHyphens/>
      <w:spacing w:before="60"/>
    </w:pPr>
    <w:rPr>
      <w:i/>
    </w:rPr>
  </w:style>
  <w:style w:type="paragraph" w:customStyle="1" w:styleId="Els-Affiliation">
    <w:name w:val="Els-Affiliation"/>
    <w:rsid w:val="008B0184"/>
    <w:pPr>
      <w:suppressAutoHyphens/>
      <w:spacing w:line="240" w:lineRule="exact"/>
    </w:pPr>
    <w:rPr>
      <w:i/>
      <w:noProof/>
      <w:lang w:eastAsia="en-US"/>
    </w:rPr>
  </w:style>
  <w:style w:type="paragraph" w:customStyle="1" w:styleId="Els-Author">
    <w:name w:val="Els-Author"/>
    <w:next w:val="Els-Affiliation"/>
    <w:rsid w:val="008B0184"/>
    <w:pPr>
      <w:keepNext/>
      <w:suppressAutoHyphens/>
      <w:spacing w:after="60" w:line="310" w:lineRule="exact"/>
    </w:pPr>
    <w:rPr>
      <w:noProof/>
      <w:sz w:val="22"/>
      <w:lang w:eastAsia="en-US"/>
    </w:rPr>
  </w:style>
  <w:style w:type="paragraph" w:customStyle="1" w:styleId="Els-bulletlist">
    <w:name w:val="Els-bulletlist"/>
    <w:basedOn w:val="Els-body-text"/>
    <w:rsid w:val="008B0184"/>
    <w:pPr>
      <w:tabs>
        <w:tab w:val="left" w:pos="240"/>
        <w:tab w:val="num" w:pos="360"/>
      </w:tabs>
      <w:ind w:left="240" w:hanging="240"/>
    </w:pPr>
  </w:style>
  <w:style w:type="paragraph" w:customStyle="1" w:styleId="Els-chem-equation">
    <w:name w:val="Els-chem-equation"/>
    <w:basedOn w:val="Els-body-text"/>
    <w:next w:val="Els-body-text"/>
    <w:rsid w:val="008B0184"/>
    <w:pPr>
      <w:tabs>
        <w:tab w:val="right" w:pos="7088"/>
      </w:tabs>
      <w:spacing w:before="120" w:after="120"/>
    </w:pPr>
    <w:rPr>
      <w:noProof/>
      <w:lang w:val="en-GB"/>
    </w:rPr>
  </w:style>
  <w:style w:type="paragraph" w:customStyle="1" w:styleId="Els-equation">
    <w:name w:val="Els-equation"/>
    <w:basedOn w:val="Els-body-text"/>
    <w:next w:val="Els-body-text"/>
    <w:rsid w:val="008B0184"/>
    <w:pPr>
      <w:tabs>
        <w:tab w:val="right" w:pos="7088"/>
      </w:tabs>
      <w:spacing w:before="120" w:after="120"/>
    </w:pPr>
    <w:rPr>
      <w:i/>
      <w:noProof/>
      <w:lang w:val="en-GB"/>
    </w:rPr>
  </w:style>
  <w:style w:type="paragraph" w:customStyle="1" w:styleId="Els-footnote">
    <w:name w:val="Els-footnote"/>
    <w:rsid w:val="008B0184"/>
    <w:pPr>
      <w:keepLines/>
      <w:widowControl w:val="0"/>
      <w:ind w:left="120" w:hanging="120"/>
    </w:pPr>
    <w:rPr>
      <w:sz w:val="18"/>
      <w:lang w:val="en-US" w:eastAsia="en-US"/>
    </w:rPr>
  </w:style>
  <w:style w:type="paragraph" w:customStyle="1" w:styleId="Els-numlist">
    <w:name w:val="Els-numlist"/>
    <w:basedOn w:val="Els-body-text"/>
    <w:rsid w:val="008B0184"/>
    <w:pPr>
      <w:tabs>
        <w:tab w:val="left" w:pos="240"/>
        <w:tab w:val="num" w:pos="360"/>
      </w:tabs>
      <w:ind w:left="240" w:hanging="240"/>
    </w:pPr>
  </w:style>
  <w:style w:type="paragraph" w:customStyle="1" w:styleId="Els-reference">
    <w:name w:val="Els-reference"/>
    <w:rsid w:val="008B0184"/>
    <w:pPr>
      <w:numPr>
        <w:numId w:val="3"/>
      </w:numPr>
      <w:ind w:left="482"/>
    </w:pPr>
    <w:rPr>
      <w:noProof/>
      <w:sz w:val="18"/>
      <w:lang w:eastAsia="en-US"/>
    </w:rPr>
  </w:style>
  <w:style w:type="paragraph" w:customStyle="1" w:styleId="Els-reference-head">
    <w:name w:val="Els-reference-head"/>
    <w:basedOn w:val="Els-body-text"/>
    <w:next w:val="Els-referenceno-number"/>
    <w:rsid w:val="008B0184"/>
    <w:pPr>
      <w:keepNext/>
      <w:spacing w:before="240" w:after="60"/>
    </w:pPr>
    <w:rPr>
      <w:b/>
      <w:sz w:val="22"/>
      <w:szCs w:val="22"/>
    </w:rPr>
  </w:style>
  <w:style w:type="paragraph" w:customStyle="1" w:styleId="Els-table-text">
    <w:name w:val="Els-table-text"/>
    <w:rsid w:val="008B0184"/>
    <w:pPr>
      <w:keepNext/>
      <w:spacing w:after="80" w:line="240" w:lineRule="exact"/>
    </w:pPr>
    <w:rPr>
      <w:sz w:val="18"/>
      <w:lang w:val="en-US" w:eastAsia="en-US"/>
    </w:rPr>
  </w:style>
  <w:style w:type="paragraph" w:customStyle="1" w:styleId="Els-Title">
    <w:name w:val="Els-Title"/>
    <w:next w:val="Els-Author"/>
    <w:rsid w:val="008B0184"/>
    <w:pPr>
      <w:suppressAutoHyphens/>
      <w:spacing w:before="240" w:after="120" w:line="360" w:lineRule="exact"/>
    </w:pPr>
    <w:rPr>
      <w:b/>
      <w:sz w:val="32"/>
      <w:lang w:val="en-US" w:eastAsia="en-US"/>
    </w:rPr>
  </w:style>
  <w:style w:type="character" w:styleId="Refdenotadefim">
    <w:name w:val="endnote reference"/>
    <w:basedOn w:val="Fontepargpadro"/>
    <w:semiHidden/>
    <w:rsid w:val="008B0184"/>
    <w:rPr>
      <w:vertAlign w:val="superscript"/>
    </w:rPr>
  </w:style>
  <w:style w:type="paragraph" w:styleId="Cabealho">
    <w:name w:val="header"/>
    <w:link w:val="CabealhoChar"/>
    <w:uiPriority w:val="99"/>
    <w:rsid w:val="008B0184"/>
    <w:pPr>
      <w:tabs>
        <w:tab w:val="center" w:pos="3600"/>
        <w:tab w:val="right" w:pos="7200"/>
      </w:tabs>
      <w:spacing w:line="200" w:lineRule="atLeast"/>
    </w:pPr>
    <w:rPr>
      <w:noProof/>
      <w:lang w:eastAsia="en-US"/>
    </w:rPr>
  </w:style>
  <w:style w:type="paragraph" w:styleId="Rodap">
    <w:name w:val="footer"/>
    <w:basedOn w:val="Cabealho"/>
    <w:link w:val="RodapChar"/>
    <w:uiPriority w:val="99"/>
    <w:rsid w:val="008B0184"/>
  </w:style>
  <w:style w:type="character" w:styleId="Refdenotaderodap">
    <w:name w:val="footnote reference"/>
    <w:semiHidden/>
    <w:rsid w:val="008B0184"/>
    <w:rPr>
      <w:vertAlign w:val="superscript"/>
    </w:rPr>
  </w:style>
  <w:style w:type="paragraph" w:styleId="Textodenotaderodap">
    <w:name w:val="footnote text"/>
    <w:basedOn w:val="Normal"/>
    <w:semiHidden/>
    <w:rsid w:val="008B0184"/>
    <w:rPr>
      <w:rFonts w:ascii="Univers" w:hAnsi="Univers"/>
    </w:rPr>
  </w:style>
  <w:style w:type="character" w:styleId="Hyperlink">
    <w:name w:val="Hyperlink"/>
    <w:basedOn w:val="Fontepargpadro"/>
    <w:rsid w:val="008B0184"/>
    <w:rPr>
      <w:color w:val="0000FF"/>
      <w:u w:val="single"/>
    </w:rPr>
  </w:style>
  <w:style w:type="character" w:customStyle="1" w:styleId="MTEquationSection">
    <w:name w:val="MTEquationSection"/>
    <w:basedOn w:val="Fontepargpadro"/>
    <w:rsid w:val="008B0184"/>
    <w:rPr>
      <w:vanish/>
      <w:color w:val="FF0000"/>
    </w:rPr>
  </w:style>
  <w:style w:type="character" w:styleId="Nmerodepgina">
    <w:name w:val="page number"/>
    <w:basedOn w:val="Fontepargpadro"/>
    <w:rsid w:val="008B0184"/>
    <w:rPr>
      <w:sz w:val="20"/>
      <w:szCs w:val="20"/>
    </w:rPr>
  </w:style>
  <w:style w:type="paragraph" w:customStyle="1" w:styleId="Els-Chapterno">
    <w:name w:val="Els-Chapter no"/>
    <w:rsid w:val="008B0184"/>
    <w:pPr>
      <w:tabs>
        <w:tab w:val="num" w:pos="720"/>
      </w:tabs>
      <w:spacing w:before="907" w:line="260" w:lineRule="exact"/>
      <w:ind w:left="720" w:hanging="720"/>
    </w:pPr>
    <w:rPr>
      <w:lang w:val="en-US" w:eastAsia="en-US"/>
    </w:rPr>
  </w:style>
  <w:style w:type="paragraph" w:customStyle="1" w:styleId="Els-referenceno-number">
    <w:name w:val="Els-reference no-number"/>
    <w:basedOn w:val="Els-reference"/>
    <w:rsid w:val="008B0184"/>
    <w:pPr>
      <w:numPr>
        <w:numId w:val="0"/>
      </w:numPr>
      <w:ind w:left="240" w:hanging="240"/>
    </w:pPr>
  </w:style>
  <w:style w:type="character" w:customStyle="1" w:styleId="Els-captionChar">
    <w:name w:val="Els-caption Char"/>
    <w:basedOn w:val="Fontepargpadro"/>
    <w:rsid w:val="008B0184"/>
    <w:rPr>
      <w:sz w:val="18"/>
      <w:lang w:val="en-US" w:eastAsia="en-US" w:bidi="ar-SA"/>
    </w:rPr>
  </w:style>
  <w:style w:type="character" w:styleId="Refdecomentrio">
    <w:name w:val="annotation reference"/>
    <w:basedOn w:val="Fontepargpadro"/>
    <w:semiHidden/>
    <w:rsid w:val="008B0184"/>
    <w:rPr>
      <w:sz w:val="16"/>
      <w:szCs w:val="16"/>
    </w:rPr>
  </w:style>
  <w:style w:type="paragraph" w:styleId="Textodecomentrio">
    <w:name w:val="annotation text"/>
    <w:basedOn w:val="Normal"/>
    <w:semiHidden/>
    <w:rsid w:val="008B0184"/>
  </w:style>
  <w:style w:type="paragraph" w:styleId="Assuntodocomentrio">
    <w:name w:val="annotation subject"/>
    <w:basedOn w:val="Textodecomentrio"/>
    <w:next w:val="Textodecomentrio"/>
    <w:semiHidden/>
    <w:rsid w:val="008B0184"/>
    <w:rPr>
      <w:b/>
      <w:bCs/>
    </w:rPr>
  </w:style>
  <w:style w:type="paragraph" w:styleId="Textodebalo">
    <w:name w:val="Balloon Text"/>
    <w:basedOn w:val="Normal"/>
    <w:semiHidden/>
    <w:rsid w:val="008B0184"/>
    <w:rPr>
      <w:rFonts w:ascii="Tahoma" w:hAnsi="Tahoma" w:cs="Tahoma"/>
      <w:sz w:val="16"/>
      <w:szCs w:val="16"/>
    </w:rPr>
  </w:style>
  <w:style w:type="paragraph" w:customStyle="1" w:styleId="Els-Abstract">
    <w:name w:val="Els-Abstract"/>
    <w:basedOn w:val="Els-1storder-head"/>
    <w:next w:val="Els-body-text"/>
    <w:autoRedefine/>
    <w:rsid w:val="00402878"/>
    <w:pPr>
      <w:numPr>
        <w:ilvl w:val="0"/>
        <w:numId w:val="0"/>
      </w:numPr>
      <w:jc w:val="center"/>
    </w:pPr>
    <w:rPr>
      <w:sz w:val="20"/>
      <w:szCs w:val="18"/>
      <w:lang w:val="pt-BR"/>
    </w:rPr>
  </w:style>
  <w:style w:type="paragraph" w:styleId="SemEspaamento">
    <w:name w:val="No Spacing"/>
    <w:uiPriority w:val="1"/>
    <w:qFormat/>
    <w:rsid w:val="00C2071C"/>
    <w:pPr>
      <w:spacing w:after="0" w:line="240" w:lineRule="auto"/>
    </w:pPr>
    <w:rPr>
      <w:rFonts w:eastAsiaTheme="minorHAnsi" w:cstheme="minorBidi"/>
      <w:szCs w:val="22"/>
      <w:lang w:eastAsia="en-US"/>
    </w:rPr>
  </w:style>
  <w:style w:type="character" w:styleId="TextodoEspaoReservado">
    <w:name w:val="Placeholder Text"/>
    <w:basedOn w:val="Fontepargpadro"/>
    <w:uiPriority w:val="99"/>
    <w:semiHidden/>
    <w:rsid w:val="00A658BE"/>
    <w:rPr>
      <w:color w:val="808080"/>
    </w:rPr>
  </w:style>
  <w:style w:type="table" w:styleId="Tabelacomgrade">
    <w:name w:val="Table Grid"/>
    <w:basedOn w:val="Tabelanormal"/>
    <w:rsid w:val="003F69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rsid w:val="000A4877"/>
    <w:rPr>
      <w:noProof/>
      <w:lang w:eastAsia="en-US"/>
    </w:rPr>
  </w:style>
  <w:style w:type="character" w:customStyle="1" w:styleId="hlfld-contribauthor">
    <w:name w:val="hlfld-contribauthor"/>
    <w:basedOn w:val="Fontepargpadro"/>
    <w:rsid w:val="00FA2CC0"/>
  </w:style>
  <w:style w:type="paragraph" w:customStyle="1" w:styleId="comma-separator">
    <w:name w:val="comma-separator"/>
    <w:basedOn w:val="Normal"/>
    <w:rsid w:val="00FA2CC0"/>
    <w:pPr>
      <w:spacing w:before="100" w:beforeAutospacing="1" w:after="100" w:afterAutospacing="1"/>
    </w:pPr>
  </w:style>
  <w:style w:type="character" w:customStyle="1" w:styleId="comma-separator1">
    <w:name w:val="comma-separator1"/>
    <w:basedOn w:val="Fontepargpadro"/>
    <w:rsid w:val="00FA2CC0"/>
  </w:style>
  <w:style w:type="character" w:customStyle="1" w:styleId="Ttulo1Char">
    <w:name w:val="Título 1 Char"/>
    <w:basedOn w:val="Fontepargpadro"/>
    <w:rsid w:val="00FA2CC0"/>
    <w:rPr>
      <w:rFonts w:asciiTheme="majorHAnsi" w:eastAsiaTheme="majorEastAsia" w:hAnsiTheme="majorHAnsi" w:cstheme="majorBidi"/>
      <w:color w:val="365F91" w:themeColor="accent1" w:themeShade="BF"/>
      <w:kern w:val="2"/>
      <w:sz w:val="32"/>
      <w:szCs w:val="32"/>
      <w:lang w:val="pt-BR" w:eastAsia="en-US"/>
    </w:rPr>
  </w:style>
  <w:style w:type="character" w:customStyle="1" w:styleId="hlfld-title">
    <w:name w:val="hlfld-title"/>
    <w:basedOn w:val="Fontepargpadro"/>
    <w:rsid w:val="00FA2CC0"/>
  </w:style>
  <w:style w:type="character" w:customStyle="1" w:styleId="cit-title">
    <w:name w:val="cit-title"/>
    <w:basedOn w:val="Fontepargpadro"/>
    <w:rsid w:val="00FA2CC0"/>
  </w:style>
  <w:style w:type="character" w:customStyle="1" w:styleId="cit-year-info">
    <w:name w:val="cit-year-info"/>
    <w:basedOn w:val="Fontepargpadro"/>
    <w:rsid w:val="00FA2CC0"/>
  </w:style>
  <w:style w:type="character" w:customStyle="1" w:styleId="cit-volume">
    <w:name w:val="cit-volume"/>
    <w:basedOn w:val="Fontepargpadro"/>
    <w:rsid w:val="00FA2CC0"/>
  </w:style>
  <w:style w:type="character" w:customStyle="1" w:styleId="cit-issue">
    <w:name w:val="cit-issue"/>
    <w:basedOn w:val="Fontepargpadro"/>
    <w:rsid w:val="00FA2CC0"/>
  </w:style>
  <w:style w:type="character" w:customStyle="1" w:styleId="cit-pagerange">
    <w:name w:val="cit-pagerange"/>
    <w:basedOn w:val="Fontepargpadro"/>
    <w:rsid w:val="00FA2CC0"/>
  </w:style>
  <w:style w:type="paragraph" w:styleId="Reviso">
    <w:name w:val="Revision"/>
    <w:hidden/>
    <w:uiPriority w:val="99"/>
    <w:semiHidden/>
    <w:rsid w:val="000444D4"/>
    <w:rPr>
      <w:rFonts w:asciiTheme="minorHAnsi" w:eastAsiaTheme="minorHAnsi" w:hAnsiTheme="minorHAnsi" w:cstheme="minorBidi"/>
      <w:kern w:val="2"/>
      <w:sz w:val="22"/>
      <w:szCs w:val="22"/>
      <w:lang w:eastAsia="en-US"/>
    </w:rPr>
  </w:style>
  <w:style w:type="table" w:customStyle="1" w:styleId="a">
    <w:basedOn w:val="TableNormal4"/>
    <w:tblPr>
      <w:tblStyleRowBandSize w:val="1"/>
      <w:tblStyleColBandSize w:val="1"/>
      <w:tblCellMar>
        <w:top w:w="0" w:type="dxa"/>
        <w:left w:w="108" w:type="dxa"/>
        <w:bottom w:w="0" w:type="dxa"/>
        <w:right w:w="108" w:type="dxa"/>
      </w:tblCellMar>
    </w:tblPr>
  </w:style>
  <w:style w:type="character" w:customStyle="1" w:styleId="RodapChar">
    <w:name w:val="Rodapé Char"/>
    <w:basedOn w:val="Fontepargpadro"/>
    <w:link w:val="Rodap"/>
    <w:uiPriority w:val="99"/>
    <w:rsid w:val="00DB5EC1"/>
    <w:rPr>
      <w:noProof/>
      <w:lang w:eastAsia="en-US"/>
    </w:rPr>
  </w:style>
  <w:style w:type="paragraph" w:styleId="PargrafodaLista">
    <w:name w:val="List Paragraph"/>
    <w:basedOn w:val="Normal"/>
    <w:uiPriority w:val="34"/>
    <w:qFormat/>
    <w:rsid w:val="005873B2"/>
    <w:pPr>
      <w:ind w:left="720"/>
      <w:contextualSpacing/>
    </w:pPr>
  </w:style>
  <w:style w:type="table" w:customStyle="1" w:styleId="Estilo1">
    <w:name w:val="Estilo1"/>
    <w:basedOn w:val="Tabelaemlista1"/>
    <w:uiPriority w:val="99"/>
    <w:rsid w:val="00C5265D"/>
    <w:pPr>
      <w:spacing w:after="0" w:line="240" w:lineRule="auto"/>
      <w:jc w:val="left"/>
    </w:p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1">
    <w:name w:val="Table List 1"/>
    <w:basedOn w:val="Tabelanormal"/>
    <w:uiPriority w:val="99"/>
    <w:semiHidden/>
    <w:unhideWhenUsed/>
    <w:rsid w:val="00C5265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sta2">
    <w:name w:val="List Table 2"/>
    <w:basedOn w:val="Tabelanormal"/>
    <w:uiPriority w:val="47"/>
    <w:rsid w:val="00C5265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B9320A"/>
    <w:pPr>
      <w:spacing w:before="100" w:beforeAutospacing="1" w:after="100" w:afterAutospacing="1" w:line="240" w:lineRule="auto"/>
      <w:jc w:val="left"/>
    </w:pPr>
  </w:style>
  <w:style w:type="table" w:customStyle="1" w:styleId="a0">
    <w:basedOn w:val="TableNormal2"/>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2"/>
    <w:tblPr>
      <w:tblStyleRowBandSize w:val="1"/>
      <w:tblStyleColBandSize w:val="1"/>
      <w:tblCellMar>
        <w:top w:w="0" w:type="dxa"/>
        <w:left w:w="108" w:type="dxa"/>
        <w:bottom w:w="0" w:type="dxa"/>
        <w:right w:w="108" w:type="dxa"/>
      </w:tblCellMar>
    </w:tblPr>
  </w:style>
  <w:style w:type="table" w:customStyle="1" w:styleId="a2">
    <w:basedOn w:val="TableNormal2"/>
    <w:tblPr>
      <w:tblStyleRowBandSize w:val="1"/>
      <w:tblStyleColBandSize w:val="1"/>
      <w:tblCellMar>
        <w:top w:w="0" w:type="dxa"/>
        <w:left w:w="115" w:type="dxa"/>
        <w:bottom w:w="0" w:type="dxa"/>
        <w:right w:w="115" w:type="dxa"/>
      </w:tblCellMar>
    </w:tblPr>
  </w:style>
  <w:style w:type="table" w:styleId="TabeladeLista2-nfase1">
    <w:name w:val="List Table 2 Accent 1"/>
    <w:basedOn w:val="Tabelanormal"/>
    <w:uiPriority w:val="47"/>
    <w:rsid w:val="00201507"/>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a3">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6">
    <w:basedOn w:val="TableNormal1"/>
    <w:tblPr>
      <w:tblStyleRowBandSize w:val="1"/>
      <w:tblStyleColBandSize w:val="1"/>
      <w:tblCellMar>
        <w:top w:w="0" w:type="dxa"/>
        <w:left w:w="108" w:type="dxa"/>
        <w:bottom w:w="0" w:type="dxa"/>
        <w:right w:w="108"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9">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cielo.br/j/qn/a/G8GfHjXzcR9ZrS6hGTMf9HK/?lang=pt" TargetMode="External"/><Relationship Id="rId13" Type="http://schemas.openxmlformats.org/officeDocument/2006/relationships/hyperlink" Target="https://doi.org/10.1021/acs.energyfuels.5b00357"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epositorio.ufpe.br/handle/123456789/5661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io.ufpe.br/handle/123456789/5661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nep.sep.org.br/uploads/2951_1710559804_%C3%81guap%C3%A9_como_um_forte_potencial_para_a_Bioeconomia_Paraense_pdf_ide.pd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scielo.br/j/qn/a/G8GfHjXzcR9ZrS6hGTMf9HK/?lang=pt" TargetMode="External"/><Relationship Id="rId14" Type="http://schemas.openxmlformats.org/officeDocument/2006/relationships/hyperlink" Target="https://doi.org/10.2516/stet/2023010"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nvPz68MDDWNOEEpVTKMBMS66Q==">CgMxLjAyDmguNzdkenprYWRpNHQ2Mg5oLnZubnJjMHliYm9iYjIOaC5xMnExMG93eW5yNDE4AHIhMUh4QnVhMGYwTU42cDIwb2hueXdvOEtUaWpxSHBjQU0z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Pages>
  <Words>2462</Words>
  <Characters>13296</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Reis</dc:creator>
  <cp:lastModifiedBy>Vitor Lima</cp:lastModifiedBy>
  <cp:revision>9</cp:revision>
  <dcterms:created xsi:type="dcterms:W3CDTF">2026-02-03T14:29:00Z</dcterms:created>
  <dcterms:modified xsi:type="dcterms:W3CDTF">2026-03-28T01:28:00Z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2021-11-04T09:12:24Z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5587a44c-12f0-4d84-98cd-f79dcdb8b2fc</vt:lpwstr>
  </property>
  <property fmtid="{D5CDD505-2E9C-101B-9397-08002B2CF9AE}" pid="8" name="MSIP_Label_549ac42a-3eb4-4074-b885-aea26bd6241e_ContentBits">
    <vt:lpwstr>0</vt:lpwstr>
  </property>
</Properties>
</file>