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E87" w:rsidRDefault="00000000">
      <w:pPr>
        <w:pBdr>
          <w:top w:val="nil"/>
          <w:left w:val="nil"/>
          <w:bottom w:val="nil"/>
          <w:right w:val="nil"/>
          <w:between w:val="nil"/>
        </w:pBdr>
        <w:spacing w:before="240" w:after="120" w:line="360" w:lineRule="auto"/>
        <w:jc w:val="center"/>
        <w:rPr>
          <w:b/>
          <w:bCs/>
          <w:color w:val="000000"/>
          <w:sz w:val="32"/>
          <w:szCs w:val="32"/>
        </w:rPr>
      </w:pPr>
      <w:r>
        <w:rPr>
          <w:b/>
          <w:bCs/>
          <w:color w:val="000000"/>
          <w:sz w:val="32"/>
          <w:szCs w:val="32"/>
        </w:rPr>
        <w:t xml:space="preserve">A participação do município de </w:t>
      </w:r>
      <w:r>
        <w:rPr>
          <w:b/>
          <w:bCs/>
          <w:sz w:val="32"/>
          <w:szCs w:val="32"/>
        </w:rPr>
        <w:t>Glória</w:t>
      </w:r>
      <w:r>
        <w:rPr>
          <w:b/>
          <w:bCs/>
          <w:color w:val="000000"/>
          <w:sz w:val="32"/>
          <w:szCs w:val="32"/>
        </w:rPr>
        <w:t xml:space="preserve"> na transição energética da região norte da Bahia: Biocombustíveis</w:t>
      </w:r>
    </w:p>
    <w:p w:rsidR="00B51E87" w:rsidRDefault="00000000">
      <w:pPr>
        <w:keepNext/>
        <w:pBdr>
          <w:top w:val="nil"/>
          <w:left w:val="nil"/>
          <w:bottom w:val="nil"/>
          <w:right w:val="nil"/>
          <w:between w:val="nil"/>
        </w:pBdr>
        <w:spacing w:after="60" w:line="310" w:lineRule="auto"/>
        <w:jc w:val="center"/>
        <w:rPr>
          <w:color w:val="000000"/>
          <w:sz w:val="22"/>
          <w:szCs w:val="22"/>
        </w:rPr>
      </w:pPr>
      <w:r>
        <w:rPr>
          <w:sz w:val="22"/>
          <w:szCs w:val="22"/>
        </w:rPr>
        <w:t>Ellen Fernanda Lopes de Brito</w:t>
      </w:r>
      <w:r>
        <w:rPr>
          <w:sz w:val="22"/>
          <w:szCs w:val="22"/>
          <w:vertAlign w:val="superscript"/>
        </w:rPr>
        <w:t>a</w:t>
      </w:r>
      <w:r>
        <w:rPr>
          <w:sz w:val="22"/>
          <w:szCs w:val="22"/>
        </w:rPr>
        <w:t>, Maria Lara Ferreira Andrade Vieira</w:t>
      </w:r>
      <w:r>
        <w:rPr>
          <w:sz w:val="22"/>
          <w:szCs w:val="22"/>
          <w:vertAlign w:val="superscript"/>
        </w:rPr>
        <w:t>a</w:t>
      </w:r>
      <w:r>
        <w:rPr>
          <w:sz w:val="22"/>
          <w:szCs w:val="22"/>
        </w:rPr>
        <w:t>, Kétlyn Vitória Araújo Braz</w:t>
      </w:r>
      <w:r>
        <w:rPr>
          <w:sz w:val="22"/>
          <w:szCs w:val="22"/>
          <w:vertAlign w:val="superscript"/>
        </w:rPr>
        <w:t>a</w:t>
      </w:r>
      <w:r>
        <w:rPr>
          <w:sz w:val="22"/>
          <w:szCs w:val="22"/>
        </w:rPr>
        <w:t>*, Aníthissa Yasmim</w:t>
      </w:r>
      <w:r w:rsidR="001D3432">
        <w:rPr>
          <w:sz w:val="22"/>
          <w:szCs w:val="22"/>
        </w:rPr>
        <w:t xml:space="preserve"> Maciel de Barros</w:t>
      </w:r>
      <w:r>
        <w:rPr>
          <w:sz w:val="22"/>
          <w:szCs w:val="22"/>
        </w:rPr>
        <w:t>, Maria Alice dos Santos Silva</w:t>
      </w:r>
      <w:r>
        <w:rPr>
          <w:sz w:val="22"/>
          <w:szCs w:val="22"/>
          <w:vertAlign w:val="superscript"/>
        </w:rPr>
        <w:t>a</w:t>
      </w:r>
      <w:r>
        <w:rPr>
          <w:sz w:val="22"/>
          <w:szCs w:val="22"/>
        </w:rPr>
        <w:t xml:space="preserve">, </w:t>
      </w:r>
      <w:r>
        <w:rPr>
          <w:color w:val="000000"/>
          <w:sz w:val="22"/>
          <w:szCs w:val="22"/>
        </w:rPr>
        <w:t>Venancio Vitor Lima da Silva Bezerra</w:t>
      </w:r>
      <w:r>
        <w:rPr>
          <w:color w:val="000000"/>
          <w:sz w:val="22"/>
          <w:szCs w:val="22"/>
          <w:vertAlign w:val="superscript"/>
        </w:rPr>
        <w:t>a,b</w:t>
      </w:r>
    </w:p>
    <w:p w:rsidR="00B51E87" w:rsidRDefault="00000000">
      <w:pPr>
        <w:pBdr>
          <w:top w:val="nil"/>
          <w:left w:val="nil"/>
          <w:bottom w:val="nil"/>
          <w:right w:val="nil"/>
          <w:between w:val="nil"/>
        </w:pBdr>
        <w:jc w:val="center"/>
        <w:rPr>
          <w:i/>
          <w:iCs/>
          <w:color w:val="000000"/>
        </w:rPr>
      </w:pPr>
      <w:r>
        <w:rPr>
          <w:i/>
          <w:iCs/>
          <w:color w:val="000000"/>
          <w:vertAlign w:val="superscript"/>
        </w:rPr>
        <w:t>a</w:t>
      </w:r>
      <w:r>
        <w:rPr>
          <w:i/>
          <w:iCs/>
          <w:color w:val="000000"/>
        </w:rPr>
        <w:t>Instituto Federal da Bahia, Paulo Afonso - BA, Brasil</w:t>
      </w:r>
    </w:p>
    <w:p w:rsidR="00B51E87" w:rsidRDefault="00000000">
      <w:pPr>
        <w:pBdr>
          <w:top w:val="nil"/>
          <w:left w:val="nil"/>
          <w:bottom w:val="nil"/>
          <w:right w:val="nil"/>
          <w:between w:val="nil"/>
        </w:pBdr>
        <w:jc w:val="center"/>
        <w:rPr>
          <w:i/>
          <w:iCs/>
          <w:color w:val="000000"/>
        </w:rPr>
      </w:pPr>
      <w:r>
        <w:rPr>
          <w:i/>
          <w:iCs/>
          <w:color w:val="000000"/>
          <w:vertAlign w:val="superscript"/>
        </w:rPr>
        <w:t>b</w:t>
      </w:r>
      <w:r>
        <w:rPr>
          <w:i/>
          <w:iCs/>
          <w:color w:val="000000"/>
        </w:rPr>
        <w:t>Universidade Federal de Alagoas, Maceió – AL, Brasil</w:t>
      </w:r>
    </w:p>
    <w:p w:rsidR="00B51E87" w:rsidRDefault="00000000">
      <w:pPr>
        <w:pBdr>
          <w:top w:val="nil"/>
          <w:left w:val="nil"/>
          <w:bottom w:val="nil"/>
          <w:right w:val="nil"/>
          <w:between w:val="nil"/>
        </w:pBdr>
        <w:jc w:val="center"/>
        <w:rPr>
          <w:i/>
          <w:iCs/>
          <w:color w:val="000000"/>
        </w:rPr>
      </w:pPr>
      <w:r>
        <w:rPr>
          <w:i/>
          <w:iCs/>
          <w:color w:val="000000"/>
        </w:rPr>
        <w:t>*202310050011@ifba.edu.br</w:t>
      </w:r>
    </w:p>
    <w:p w:rsidR="00B51E87" w:rsidRDefault="00000000">
      <w:pPr>
        <w:pStyle w:val="Ttulo1"/>
      </w:pPr>
      <w:r>
        <w:t>RESUMO</w:t>
      </w:r>
    </w:p>
    <w:p w:rsidR="00B51E87" w:rsidRDefault="00B51E87">
      <w:pPr>
        <w:pBdr>
          <w:top w:val="nil"/>
          <w:left w:val="nil"/>
          <w:bottom w:val="nil"/>
          <w:right w:val="nil"/>
          <w:between w:val="nil"/>
        </w:pBdr>
        <w:rPr>
          <w:color w:val="000000"/>
        </w:rPr>
      </w:pPr>
    </w:p>
    <w:p w:rsidR="00B51E87" w:rsidRDefault="00115C50">
      <w:pPr>
        <w:pBdr>
          <w:top w:val="nil"/>
          <w:left w:val="nil"/>
          <w:bottom w:val="nil"/>
          <w:right w:val="nil"/>
          <w:between w:val="nil"/>
        </w:pBdr>
        <w:rPr>
          <w:color w:val="000000"/>
        </w:rPr>
      </w:pPr>
      <w:r w:rsidRPr="00115C50">
        <w:rPr>
          <w:color w:val="000000"/>
        </w:rPr>
        <w:t>O município de Glória, localizado no norte da Bahia, apresenta condições ambientais e socioeconômicas favoráveis para a produção de biocombustíveis, destacando-se como potencial protagonista na transição energética regional. Este estudo realizou uma análise quantitativa e qualitativa das biomassas cultivadas e disponíveis na região, incluindo algaroba, baronesa, resíduos da piscicultura (tilápia), mamona e pinhão-manso. A caracterização química e energética dessas matérias-primas evidenciou sua viabilidade para diferentes rotas de conversão, como fermentação, digestão anaeróbia, transesterificação e processos termoquímicos. Os resultados demonstram que a diversidade de biomassas locais possibilita a produção de etanol, biodiesel, biogás, bio-óleo e combustíveis sustentáveis de aviação, ampliando o portfólio energético e promovendo alternativas limpas frente ao uso de combustíveis fósseis. Conclui-se que o aproveitamento estratégico desses recursos pode impulsionar o desenvolvimento econômico, tecnológico e ambiental do município, consolidando Glória como referência na matriz energética renovável do semiárido nordestino.</w:t>
      </w:r>
    </w:p>
    <w:p w:rsidR="00B51E87" w:rsidRDefault="00B51E87">
      <w:pPr>
        <w:pBdr>
          <w:top w:val="nil"/>
          <w:left w:val="nil"/>
          <w:bottom w:val="nil"/>
          <w:right w:val="nil"/>
          <w:between w:val="nil"/>
        </w:pBdr>
        <w:rPr>
          <w:color w:val="000000"/>
        </w:rPr>
      </w:pPr>
    </w:p>
    <w:p w:rsidR="00B51E87" w:rsidRPr="00115C50" w:rsidRDefault="00000000">
      <w:pPr>
        <w:rPr>
          <w:i/>
          <w:iCs/>
        </w:rPr>
      </w:pPr>
      <w:r>
        <w:rPr>
          <w:b/>
          <w:bCs/>
        </w:rPr>
        <w:t>Palavras-chave</w:t>
      </w:r>
      <w:r>
        <w:t xml:space="preserve">: </w:t>
      </w:r>
      <w:r w:rsidR="00115C50">
        <w:rPr>
          <w:i/>
          <w:iCs/>
        </w:rPr>
        <w:t>Biocombustíveis, Transição Energética, Semiárido, Biomassa.</w:t>
      </w:r>
    </w:p>
    <w:p w:rsidR="00B51E87" w:rsidRDefault="00B51E87">
      <w:pPr>
        <w:pBdr>
          <w:top w:val="nil"/>
          <w:left w:val="nil"/>
          <w:bottom w:val="nil"/>
          <w:right w:val="nil"/>
          <w:between w:val="nil"/>
        </w:pBdr>
        <w:rPr>
          <w:color w:val="000000"/>
        </w:rPr>
      </w:pPr>
    </w:p>
    <w:p w:rsidR="00B51E87" w:rsidRDefault="00000000">
      <w:pPr>
        <w:pStyle w:val="Ttulo1"/>
        <w:numPr>
          <w:ilvl w:val="0"/>
          <w:numId w:val="1"/>
        </w:numPr>
      </w:pPr>
      <w:r>
        <w:t>INTRODUÇÃO</w:t>
      </w:r>
    </w:p>
    <w:p w:rsidR="00115C50" w:rsidRDefault="00115C50" w:rsidP="00115C50">
      <w:pPr>
        <w:ind w:firstLine="720"/>
      </w:pPr>
      <w:r>
        <w:t>O alto consumo por combustíveis fósseis frente ao aumento da demanda energética tem aumentado as consequências ambientais no planeta, em virtude da emissão de gases do efeito estufa. Nas últimas décadas, diferentes alternativas aplicadas à redução da emissão de poluentes vêm se desenvolvendo. Nesse contexto, os biocombustíveis se mostram como principal estratégia sustentável para o setor energético nacional e mundial.</w:t>
      </w:r>
    </w:p>
    <w:p w:rsidR="00115C50" w:rsidRDefault="00115C50" w:rsidP="00115C50">
      <w:pPr>
        <w:ind w:firstLine="720"/>
      </w:pPr>
      <w:r>
        <w:t xml:space="preserve">Uma vez que os biocombustíveis são provenientes de biomassa, o Brasil apresenta uma gama de fontes renováveis. Justamente por conta da sua diversidade, diferentes regiões do país mostram-se disponíveis para o desenvolvimento sustentável. </w:t>
      </w:r>
    </w:p>
    <w:p w:rsidR="00115C50" w:rsidRDefault="00115C50" w:rsidP="00115C50">
      <w:pPr>
        <w:ind w:firstLine="720"/>
      </w:pPr>
      <w:r>
        <w:t>Nesse aspecto, o semiárido nordestino apresenta diferentes tipos de biomassa que são resistentes a altas temperaturas e independentes de precipitações. Ao se tratar do município de Glória, localizado no norte da Bahia, é apresentado um significativo potencial para produção de biocombustíveis, frente aos diferentes tipos de biomassas que são cultivadas.</w:t>
      </w:r>
    </w:p>
    <w:p w:rsidR="00115C50" w:rsidRDefault="00115C50" w:rsidP="00115C50">
      <w:pPr>
        <w:ind w:firstLine="720"/>
      </w:pPr>
      <w:r>
        <w:lastRenderedPageBreak/>
        <w:t>Além do aspecto ambiental, a transição energética baseada em biocombustíveis contribui para a segurança energética, reduzindo a dependência de fontes fósseis importadas e fortalecendo a economia local. A produção descentralizada de energia, a partir de recursos regionais, favorece a geração de empregos, o estímulo à agricultura familiar e o desenvolvimento tecnológico. Nesse sentido, a utilização de biomassas adaptadas às condições do semiárido nordestino, como a algaroba, a mamona e o pinhão-manso, bem como espécies aquáticas como a baronesa e resíduos da piscicultura, representa uma oportunidade estratégica para transformar desafios ambientais em soluções energéticas.</w:t>
      </w:r>
    </w:p>
    <w:p w:rsidR="00B51E87" w:rsidRDefault="00115C50" w:rsidP="00115C50">
      <w:pPr>
        <w:ind w:firstLine="720"/>
      </w:pPr>
      <w:r>
        <w:t>Portanto, compreender o potencial das biomassas presentes em Glória – BA é essencial para avaliar sua contribuição na transição energética regional. A análise de suas características químicas e das rotas tecnológicas aplicáveis permite identificar quais delas apresentam maior viabilidade para a produção de biocombustíveis, consolidando o município como um polo emergente de inovação sustentável no cenário energético brasileiro.</w:t>
      </w:r>
    </w:p>
    <w:p w:rsidR="00B51E87" w:rsidRDefault="00000000">
      <w:pPr>
        <w:pStyle w:val="Ttulo1"/>
        <w:numPr>
          <w:ilvl w:val="0"/>
          <w:numId w:val="1"/>
        </w:numPr>
      </w:pPr>
      <w:r>
        <w:t>MÉTODOS</w:t>
      </w:r>
    </w:p>
    <w:p w:rsidR="00B51E87" w:rsidRDefault="00000000">
      <w:pPr>
        <w:ind w:firstLine="720"/>
      </w:pPr>
      <w:r>
        <w:t>O estudo foi formado pela busca quantitativa e qualitativa das biomassas cultivadas no município de Glória. Dentre os encontrados foram realizadas pesquisas na literatura para definir quais delas mostram compatibilidade para fabricação de biocombustíveis com base na composição química das biomassas e quais tipos de processos aplicadas às mesmas para que o combustível fosse gerado.</w:t>
      </w:r>
    </w:p>
    <w:p w:rsidR="00B51E87" w:rsidRDefault="00000000">
      <w:pPr>
        <w:pStyle w:val="Ttulo1"/>
        <w:numPr>
          <w:ilvl w:val="0"/>
          <w:numId w:val="1"/>
        </w:numPr>
      </w:pPr>
      <w:r>
        <w:t>RESULTADOS</w:t>
      </w:r>
    </w:p>
    <w:p w:rsidR="00B51E87" w:rsidRDefault="00000000">
      <w:pPr>
        <w:spacing w:before="240" w:after="240"/>
        <w:ind w:firstLine="720"/>
      </w:pPr>
      <w:r>
        <w:t>A análise das condições ambientais do município de Glória – BA evidencia a forte influência do rio São Francisco na dinâmica ecológica local, favorecendo a formação de ambientes aquáticos com baixa velocidade de escoamento e elevada disponibilidade de nutrientes. Inserido no semiárido nordestino, o município apresenta temperaturas médias anuais elevadas, geralmente entre 24 °C e 32 °C, e regime pluviométrico irregular, características que, associadas à presença de corpos hídricos, criam condições ideais para a proliferação de macrófitas aquáticas, com destaque para a baronesa (Eichhornia crassipes) (IBGE, 2022; ANA, 2021; INMET, 2022).</w:t>
      </w:r>
    </w:p>
    <w:p w:rsidR="00B51E87" w:rsidRDefault="00000000">
      <w:pPr>
        <w:pStyle w:val="Ttulo2"/>
        <w:numPr>
          <w:ilvl w:val="1"/>
          <w:numId w:val="1"/>
        </w:numPr>
      </w:pPr>
      <w:r>
        <w:t>Algaroba (</w:t>
      </w:r>
      <w:r>
        <w:rPr>
          <w:i/>
          <w:iCs/>
        </w:rPr>
        <w:t>Prosopis juliflora)</w:t>
      </w:r>
    </w:p>
    <w:p w:rsidR="00B51E87" w:rsidRDefault="00000000">
      <w:pPr>
        <w:ind w:firstLine="720"/>
      </w:pPr>
      <w:r>
        <w:t>A Algaroba (</w:t>
      </w:r>
      <w:r>
        <w:rPr>
          <w:i/>
          <w:iCs/>
        </w:rPr>
        <w:t>Prosopis Juliflora</w:t>
      </w:r>
      <w:r>
        <w:t>) é uma leguminosa não-oleaginosa constituída por sua vagem repleta de açúcar, adaptável em diferentes ambientes e resistente a lugares secos (SILVA, J. E., 1999), além de ser uma ótima alternativa para produção de etanol (SILVA, C. G. M., 2007).</w:t>
      </w:r>
    </w:p>
    <w:p w:rsidR="00B51E87" w:rsidRDefault="00000000">
      <w:pPr>
        <w:ind w:firstLine="720"/>
      </w:pPr>
      <w:r>
        <w:rPr>
          <w:highlight w:val="white"/>
        </w:rPr>
        <w:t xml:space="preserve">A farinha produzida a partir da vagem da algaroba pode ser considerada uma matéria prima promissora, do ponto de vista químico, essa farinha apresenta um alto teor de açúcares, que atinge cerca de (56,5g/100g), um moderado teor de proteínas (9,0 g/100g), e em baixa quantidade o teor em lipídios (2,1 g/100g) (SILVA et al., 2007). A quantidade de açúcares amplia a possibilidade de fabricação de etanol por fermentação, com o uso da levedura </w:t>
      </w:r>
      <w:r>
        <w:rPr>
          <w:i/>
          <w:iCs/>
          <w:highlight w:val="white"/>
        </w:rPr>
        <w:t>Saccharomyces Cerevisiae</w:t>
      </w:r>
      <w:r>
        <w:rPr>
          <w:highlight w:val="white"/>
        </w:rPr>
        <w:t xml:space="preserve"> (ALBUQUERQUE, D. S., 2022).</w:t>
      </w:r>
    </w:p>
    <w:p w:rsidR="00B51E87" w:rsidRDefault="00000000">
      <w:pPr>
        <w:ind w:firstLine="720"/>
      </w:pPr>
      <w:r>
        <w:rPr>
          <w:highlight w:val="white"/>
        </w:rPr>
        <w:t xml:space="preserve">A partir das vagens da algaroba se torna possível a fabricação de biodiesel, devido a presença de Ácido Linoleico (C18:2) (42,15%) e Ácido Oleico (C18:1) por reação de transesterificação (KNOTHE, et. al., 2010). A presença desses ácidos também levanta a </w:t>
      </w:r>
      <w:r>
        <w:rPr>
          <w:highlight w:val="white"/>
        </w:rPr>
        <w:lastRenderedPageBreak/>
        <w:t>possibilidade da fabricação de Óleo Vegetal Hidrotratado (HVO), por hidrotratamento, e Combustível Sustentável de Aviação (SAF). Dessa forma, a utilização da vagem da algaroba na produção de biocombustíveis contribui para a diversificação das fontes energéticas e para o desenvolvimento de alternativas mais sustentáveis.</w:t>
      </w:r>
    </w:p>
    <w:p w:rsidR="00B51E87" w:rsidRDefault="00000000">
      <w:pPr>
        <w:pStyle w:val="Ttulo2"/>
        <w:numPr>
          <w:ilvl w:val="1"/>
          <w:numId w:val="1"/>
        </w:numPr>
      </w:pPr>
      <w:r>
        <w:t>Baronesa (</w:t>
      </w:r>
      <w:r>
        <w:rPr>
          <w:i/>
          <w:iCs/>
        </w:rPr>
        <w:t>Eichhornia crassipes</w:t>
      </w:r>
      <w:r>
        <w:t>)</w:t>
      </w:r>
    </w:p>
    <w:p w:rsidR="00B51E87" w:rsidRDefault="00000000">
      <w:pPr>
        <w:spacing w:before="240" w:after="240"/>
        <w:ind w:firstLine="720"/>
      </w:pPr>
      <w:r>
        <w:t>Do ponto de vista energético, a baronesa (</w:t>
      </w:r>
      <w:r>
        <w:rPr>
          <w:i/>
          <w:iCs/>
        </w:rPr>
        <w:t>Eichhornia crassipes</w:t>
      </w:r>
      <w:r>
        <w:t>) composição química é predominantemente formada por celulose e hemicelulose, com baixos teores de lignina, o que facilita a degradação biológica e a conversão em combustíveis renováveis (Gopal, 1987; Rezania et al., 2015).</w:t>
      </w:r>
    </w:p>
    <w:p w:rsidR="00B51E87" w:rsidRDefault="00000000">
      <w:pPr>
        <w:spacing w:before="240" w:after="240"/>
        <w:ind w:firstLine="720"/>
      </w:pPr>
      <w:r>
        <w:t>Além disso, a biomassa da baronesa apresenta elevada biodegradabilidade, fator que favorece processos como a digestão anaeróbia para produção de biogás, com geração significativa de metano. Estudos indicam que o rendimento pode variar entre 0,20 e 0,35 m³ de biogás por quilograma de matéria seca, dependendo das condições operacionais. Paralelamente, a conversão por fermentação pode resultar na produção de bioetanol a partir da fração lignocelulósica, enquanto processos termoquímicos, como a pirólise, possibilitam a obtenção de bio-óleo e carvão vegetal (Patel, 2012; Rezania et al., 2015).</w:t>
      </w:r>
    </w:p>
    <w:p w:rsidR="00B51E87" w:rsidRDefault="00000000">
      <w:pPr>
        <w:spacing w:before="240" w:after="240"/>
      </w:pPr>
      <w:r>
        <w:t>A Tabela 1 apresenta os principais processos de conversão energética aplicáveis à biomassa da baronesa, bem como seus respectivos produtos e rendimentos médios, evidenciando o potencial dessa espécie como fonte de energia renovável.</w:t>
      </w:r>
    </w:p>
    <w:p w:rsidR="00B51E87" w:rsidRDefault="00000000">
      <w:pPr>
        <w:keepNext/>
        <w:keepLines/>
        <w:pBdr>
          <w:top w:val="nil"/>
          <w:left w:val="nil"/>
          <w:bottom w:val="nil"/>
          <w:right w:val="nil"/>
          <w:between w:val="nil"/>
        </w:pBdr>
        <w:jc w:val="center"/>
        <w:rPr>
          <w:color w:val="000000"/>
          <w:sz w:val="18"/>
          <w:szCs w:val="18"/>
        </w:rPr>
      </w:pPr>
      <w:r>
        <w:rPr>
          <w:color w:val="000000"/>
          <w:sz w:val="18"/>
          <w:szCs w:val="18"/>
        </w:rPr>
        <w:t>Tabela 1 - Potencial de conversão energética da biomassa de Eichhornia crassipes</w:t>
      </w:r>
    </w:p>
    <w:tbl>
      <w:tblPr>
        <w:tblStyle w:val="a5"/>
        <w:tblW w:w="10348" w:type="dxa"/>
        <w:tblInd w:w="-709" w:type="dxa"/>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2460"/>
        <w:gridCol w:w="2502"/>
        <w:gridCol w:w="3118"/>
        <w:gridCol w:w="2268"/>
      </w:tblGrid>
      <w:tr w:rsidR="00B51E87" w:rsidTr="00B51E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rsidR="00B51E87" w:rsidRDefault="00000000">
            <w:pPr>
              <w:pBdr>
                <w:top w:val="nil"/>
                <w:left w:val="nil"/>
                <w:bottom w:val="nil"/>
                <w:right w:val="nil"/>
                <w:between w:val="nil"/>
              </w:pBdr>
              <w:rPr>
                <w:color w:val="000000"/>
              </w:rPr>
            </w:pPr>
            <w:r>
              <w:rPr>
                <w:b w:val="0"/>
                <w:bCs w:val="0"/>
                <w:color w:val="000000"/>
              </w:rPr>
              <w:t>BIOCOMBUSTÍVEL</w:t>
            </w:r>
          </w:p>
        </w:tc>
        <w:tc>
          <w:tcPr>
            <w:tcW w:w="2502" w:type="dxa"/>
          </w:tcPr>
          <w:p w:rsidR="00B51E87" w:rsidRDefault="000000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rPr>
            </w:pPr>
            <w:r>
              <w:rPr>
                <w:b w:val="0"/>
                <w:bCs w:val="0"/>
                <w:color w:val="000000"/>
              </w:rPr>
              <w:t>ROTA REACIONAL</w:t>
            </w:r>
          </w:p>
        </w:tc>
        <w:tc>
          <w:tcPr>
            <w:tcW w:w="3118" w:type="dxa"/>
          </w:tcPr>
          <w:p w:rsidR="00B51E87" w:rsidRDefault="00000000">
            <w:pPr>
              <w:pBdr>
                <w:top w:val="nil"/>
                <w:left w:val="nil"/>
                <w:bottom w:val="nil"/>
                <w:right w:val="nil"/>
                <w:between w:val="nil"/>
              </w:pBdr>
              <w:jc w:val="left"/>
              <w:cnfStyle w:val="100000000000" w:firstRow="1" w:lastRow="0" w:firstColumn="0" w:lastColumn="0" w:oddVBand="0" w:evenVBand="0" w:oddHBand="0" w:evenHBand="0" w:firstRowFirstColumn="0" w:firstRowLastColumn="0" w:lastRowFirstColumn="0" w:lastRowLastColumn="0"/>
              <w:rPr>
                <w:color w:val="000000"/>
              </w:rPr>
            </w:pPr>
            <w:r>
              <w:rPr>
                <w:b w:val="0"/>
                <w:bCs w:val="0"/>
                <w:color w:val="000000"/>
              </w:rPr>
              <w:t>FAIXA DE RENDIMENTO</w:t>
            </w:r>
          </w:p>
        </w:tc>
        <w:tc>
          <w:tcPr>
            <w:tcW w:w="2268" w:type="dxa"/>
          </w:tcPr>
          <w:p w:rsidR="00B51E87" w:rsidRDefault="000000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rPr>
            </w:pPr>
            <w:r>
              <w:rPr>
                <w:b w:val="0"/>
                <w:bCs w:val="0"/>
                <w:color w:val="000000"/>
              </w:rPr>
              <w:t>REFERÊNCIAS</w:t>
            </w:r>
          </w:p>
        </w:tc>
      </w:tr>
      <w:tr w:rsidR="00B51E87" w:rsidTr="00B51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rsidR="00B51E87" w:rsidRDefault="00000000">
            <w:pPr>
              <w:pBdr>
                <w:top w:val="nil"/>
                <w:left w:val="nil"/>
                <w:bottom w:val="nil"/>
                <w:right w:val="nil"/>
                <w:between w:val="nil"/>
              </w:pBdr>
              <w:rPr>
                <w:color w:val="000000"/>
              </w:rPr>
            </w:pPr>
            <w:r>
              <w:rPr>
                <w:b w:val="0"/>
                <w:bCs w:val="0"/>
                <w:color w:val="000000"/>
              </w:rPr>
              <w:t>Biogás</w:t>
            </w:r>
          </w:p>
        </w:tc>
        <w:tc>
          <w:tcPr>
            <w:tcW w:w="2502" w:type="dxa"/>
          </w:tcPr>
          <w:p w:rsidR="00B51E87"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Digestão Anaeróbia</w:t>
            </w:r>
          </w:p>
        </w:tc>
        <w:tc>
          <w:tcPr>
            <w:tcW w:w="3118" w:type="dxa"/>
          </w:tcPr>
          <w:p w:rsidR="00B51E87"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0,20 – 0,35 m³/kg</w:t>
            </w:r>
          </w:p>
        </w:tc>
        <w:tc>
          <w:tcPr>
            <w:tcW w:w="2268" w:type="dxa"/>
          </w:tcPr>
          <w:p w:rsidR="00B51E87"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Patel, 2012</w:t>
            </w:r>
          </w:p>
        </w:tc>
      </w:tr>
      <w:tr w:rsidR="00B51E87" w:rsidTr="00B51E87">
        <w:tc>
          <w:tcPr>
            <w:cnfStyle w:val="001000000000" w:firstRow="0" w:lastRow="0" w:firstColumn="1" w:lastColumn="0" w:oddVBand="0" w:evenVBand="0" w:oddHBand="0" w:evenHBand="0" w:firstRowFirstColumn="0" w:firstRowLastColumn="0" w:lastRowFirstColumn="0" w:lastRowLastColumn="0"/>
            <w:tcW w:w="2460" w:type="dxa"/>
          </w:tcPr>
          <w:p w:rsidR="00B51E87" w:rsidRDefault="00000000">
            <w:pPr>
              <w:pBdr>
                <w:top w:val="nil"/>
                <w:left w:val="nil"/>
                <w:bottom w:val="nil"/>
                <w:right w:val="nil"/>
                <w:between w:val="nil"/>
              </w:pBdr>
              <w:rPr>
                <w:color w:val="000000"/>
              </w:rPr>
            </w:pPr>
            <w:r>
              <w:rPr>
                <w:b w:val="0"/>
                <w:bCs w:val="0"/>
                <w:color w:val="000000"/>
              </w:rPr>
              <w:t>Etanol</w:t>
            </w:r>
          </w:p>
        </w:tc>
        <w:tc>
          <w:tcPr>
            <w:tcW w:w="2502" w:type="dxa"/>
          </w:tcPr>
          <w:p w:rsidR="00B51E87"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Fermentação</w:t>
            </w:r>
          </w:p>
        </w:tc>
        <w:tc>
          <w:tcPr>
            <w:tcW w:w="3118" w:type="dxa"/>
          </w:tcPr>
          <w:p w:rsidR="00B51E87"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0,15 – 0,25 L/kg</w:t>
            </w:r>
          </w:p>
        </w:tc>
        <w:tc>
          <w:tcPr>
            <w:tcW w:w="2268" w:type="dxa"/>
          </w:tcPr>
          <w:p w:rsidR="00B51E87"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Rezania, et. al., 2015</w:t>
            </w:r>
          </w:p>
        </w:tc>
      </w:tr>
      <w:tr w:rsidR="00B51E87" w:rsidTr="00B51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rsidR="00B51E87" w:rsidRDefault="00000000">
            <w:pPr>
              <w:pBdr>
                <w:top w:val="nil"/>
                <w:left w:val="nil"/>
                <w:bottom w:val="nil"/>
                <w:right w:val="nil"/>
                <w:between w:val="nil"/>
              </w:pBdr>
              <w:rPr>
                <w:color w:val="000000"/>
              </w:rPr>
            </w:pPr>
            <w:r>
              <w:rPr>
                <w:b w:val="0"/>
                <w:bCs w:val="0"/>
                <w:color w:val="000000"/>
              </w:rPr>
              <w:t>Bio-óleo</w:t>
            </w:r>
          </w:p>
        </w:tc>
        <w:tc>
          <w:tcPr>
            <w:tcW w:w="2502" w:type="dxa"/>
          </w:tcPr>
          <w:p w:rsidR="00B51E87"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Pirólise</w:t>
            </w:r>
          </w:p>
        </w:tc>
        <w:tc>
          <w:tcPr>
            <w:tcW w:w="3118" w:type="dxa"/>
          </w:tcPr>
          <w:p w:rsidR="00B51E87"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30 – 40%</w:t>
            </w:r>
          </w:p>
        </w:tc>
        <w:tc>
          <w:tcPr>
            <w:tcW w:w="2268" w:type="dxa"/>
          </w:tcPr>
          <w:p w:rsidR="00B51E87"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Gopal, 1987</w:t>
            </w:r>
          </w:p>
        </w:tc>
      </w:tr>
      <w:tr w:rsidR="00B51E87" w:rsidTr="00B51E87">
        <w:tc>
          <w:tcPr>
            <w:cnfStyle w:val="001000000000" w:firstRow="0" w:lastRow="0" w:firstColumn="1" w:lastColumn="0" w:oddVBand="0" w:evenVBand="0" w:oddHBand="0" w:evenHBand="0" w:firstRowFirstColumn="0" w:firstRowLastColumn="0" w:lastRowFirstColumn="0" w:lastRowLastColumn="0"/>
            <w:tcW w:w="2460" w:type="dxa"/>
          </w:tcPr>
          <w:p w:rsidR="00B51E87" w:rsidRDefault="00000000">
            <w:pPr>
              <w:pBdr>
                <w:top w:val="nil"/>
                <w:left w:val="nil"/>
                <w:bottom w:val="nil"/>
                <w:right w:val="nil"/>
                <w:between w:val="nil"/>
              </w:pBdr>
              <w:rPr>
                <w:color w:val="000000"/>
              </w:rPr>
            </w:pPr>
            <w:r>
              <w:rPr>
                <w:b w:val="0"/>
                <w:bCs w:val="0"/>
                <w:color w:val="000000"/>
              </w:rPr>
              <w:t>Syngas</w:t>
            </w:r>
          </w:p>
        </w:tc>
        <w:tc>
          <w:tcPr>
            <w:tcW w:w="2502" w:type="dxa"/>
          </w:tcPr>
          <w:p w:rsidR="00B51E87"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Gaseificação</w:t>
            </w:r>
          </w:p>
        </w:tc>
        <w:tc>
          <w:tcPr>
            <w:tcW w:w="3118" w:type="dxa"/>
          </w:tcPr>
          <w:p w:rsidR="00B51E87"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1,2 – 2,0 m³/kg</w:t>
            </w:r>
          </w:p>
        </w:tc>
        <w:tc>
          <w:tcPr>
            <w:tcW w:w="2268" w:type="dxa"/>
          </w:tcPr>
          <w:p w:rsidR="00B51E87"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Rezania, et. al, 2015</w:t>
            </w:r>
          </w:p>
        </w:tc>
      </w:tr>
    </w:tbl>
    <w:p w:rsidR="00B51E87" w:rsidRDefault="00000000">
      <w:pPr>
        <w:pStyle w:val="Ttulo2"/>
        <w:numPr>
          <w:ilvl w:val="1"/>
          <w:numId w:val="1"/>
        </w:numPr>
      </w:pPr>
      <w:r>
        <w:t xml:space="preserve">Desenvolvimento da biomassa proveniente da piscicultura (Tilápia) em Glória-BA </w:t>
      </w:r>
    </w:p>
    <w:p w:rsidR="00B51E87" w:rsidRDefault="00000000">
      <w:pPr>
        <w:ind w:firstLine="720"/>
      </w:pPr>
      <w:r>
        <w:t xml:space="preserve">No município de Glória–BA, os peixes (principalmente tilápia) são criados em tanques-rede flutuantes instalados nas águas do Rio São Francisco, onde os peixes são alimentados com ração balanceada para garantir rápido crescimento e boa qualidade do produto final. A biomassa proveniente dos resíduos de filetagem de tilápia é constituída majoritariamente por sólidos biodegradáveis. Os resíduos apresentam teores de sólidos totais variando entre 26,65% e 42,71%, a depender da fração analisada, como carcaça, vísceras e pele. Dentre esses, os sólidos voláteis, que representam a fração orgânica passível de biodegradação, atingem valores elevados, entre 69,8% e 99,1%, evidenciando o alto potencial de conversão bioquímica da biomassa. A caracterização química demonstra que o material é rico em carbono orgânico total (COT), com valores entre 38,8% e 55,0%, e nitrogênio total (NTK) variando de 3,8% a 14,1% resultando em uma relação carbono e nitrogênio entre 3,91:1 e 14,36:1. Essa baixa relação indica elevada concentração de composto nitrogenados, podendo influenciar a estabilidade do processo anaeróbio. (Fonseca,2018). </w:t>
      </w:r>
    </w:p>
    <w:p w:rsidR="00B51E87" w:rsidRDefault="00000000">
      <w:pPr>
        <w:ind w:firstLine="720"/>
      </w:pPr>
      <w:r>
        <w:lastRenderedPageBreak/>
        <w:t xml:space="preserve">A partir desses resíduos, que apresentam elevado potencial energético, torna-se possível a produção de biogás por processo de digestão anaeróbia onde parte da biomassa é transformada biologicamente em biogás, pela ação de bactérias em ausência do oxigênio. Posteriormente, o gás produzido é usado como fonte de energia renovável (Machado et al.,2013).  </w:t>
      </w:r>
    </w:p>
    <w:p w:rsidR="00B51E87" w:rsidRDefault="00000000">
      <w:pPr>
        <w:pStyle w:val="Ttulo2"/>
        <w:numPr>
          <w:ilvl w:val="1"/>
          <w:numId w:val="1"/>
        </w:numPr>
      </w:pPr>
      <w:r>
        <w:t>Mamona (</w:t>
      </w:r>
      <w:r>
        <w:rPr>
          <w:i/>
          <w:iCs/>
        </w:rPr>
        <w:t>Ricinus communis L.</w:t>
      </w:r>
      <w:r>
        <w:t>)</w:t>
      </w:r>
    </w:p>
    <w:p w:rsidR="00B51E87" w:rsidRDefault="00000000" w:rsidP="00DF2804">
      <w:pPr>
        <w:ind w:firstLine="720"/>
      </w:pPr>
      <w:r>
        <w:t>A</w:t>
      </w:r>
      <w:r>
        <w:rPr>
          <w:b/>
          <w:bCs/>
        </w:rPr>
        <w:t xml:space="preserve"> </w:t>
      </w:r>
      <w:r>
        <w:t>mamona (</w:t>
      </w:r>
      <w:r>
        <w:rPr>
          <w:i/>
          <w:iCs/>
        </w:rPr>
        <w:t>Ricinus communis L.</w:t>
      </w:r>
      <w:r>
        <w:t>) é uma planta oleaginosa de grande importância nos setores econômicos e industriais, cujo óleo, extraído de suas sementes, é matéria-prima de óleos vegetais</w:t>
      </w:r>
      <w:r>
        <w:rPr>
          <w:b/>
          <w:bCs/>
        </w:rPr>
        <w:t xml:space="preserve">, </w:t>
      </w:r>
      <w:r>
        <w:t>estando presente entre a faixa de 84,0% a 91,0% na base de sua composição (CANGEMI; SANTOS; CLARO NETO, 2010), tendo também a capacidade de produzir em diversos tipos de solo, com preferência pelo clima tropical. A Tabela 1 mostra quais biocombustíveis podem ser produzidos a partir dos compostos presentes no óleo de mamona.</w:t>
      </w:r>
    </w:p>
    <w:p w:rsidR="00DF2804" w:rsidRDefault="00DF2804" w:rsidP="00DF2804">
      <w:pPr>
        <w:ind w:firstLine="720"/>
      </w:pPr>
    </w:p>
    <w:p w:rsidR="00DF2804" w:rsidRDefault="00DF2804" w:rsidP="00DF2804">
      <w:pPr>
        <w:pStyle w:val="Legenda"/>
        <w:keepNext/>
        <w:jc w:val="center"/>
      </w:pPr>
      <w:r>
        <w:t xml:space="preserve">Tabela </w:t>
      </w:r>
      <w:r>
        <w:fldChar w:fldCharType="begin"/>
      </w:r>
      <w:r>
        <w:instrText xml:space="preserve"> SEQ Tabela \* ARABIC </w:instrText>
      </w:r>
      <w:r>
        <w:fldChar w:fldCharType="separate"/>
      </w:r>
      <w:r w:rsidR="003B1D60">
        <w:rPr>
          <w:noProof/>
        </w:rPr>
        <w:t>1</w:t>
      </w:r>
      <w:r>
        <w:fldChar w:fldCharType="end"/>
      </w:r>
      <w:r>
        <w:t xml:space="preserve"> - Variação do teor de ácidos graxos no óleo de mamona</w:t>
      </w:r>
    </w:p>
    <w:tbl>
      <w:tblPr>
        <w:tblStyle w:val="TabeladeLista6Colorida"/>
        <w:tblW w:w="0" w:type="auto"/>
        <w:jc w:val="center"/>
        <w:tblLook w:val="04A0" w:firstRow="1" w:lastRow="0" w:firstColumn="1" w:lastColumn="0" w:noHBand="0" w:noVBand="1"/>
      </w:tblPr>
      <w:tblGrid>
        <w:gridCol w:w="2127"/>
        <w:gridCol w:w="3543"/>
      </w:tblGrid>
      <w:tr w:rsidR="00DF2804" w:rsidTr="00DF28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pPr>
              <w:jc w:val="center"/>
            </w:pPr>
            <w:r w:rsidRPr="00DF2804">
              <w:t>ÁCIDO GRAXO</w:t>
            </w:r>
          </w:p>
        </w:tc>
        <w:tc>
          <w:tcPr>
            <w:tcW w:w="3543" w:type="dxa"/>
          </w:tcPr>
          <w:p w:rsidR="00DF2804" w:rsidRPr="00DF2804" w:rsidRDefault="00DF2804">
            <w:pPr>
              <w:jc w:val="center"/>
              <w:cnfStyle w:val="100000000000" w:firstRow="1" w:lastRow="0" w:firstColumn="0" w:lastColumn="0" w:oddVBand="0" w:evenVBand="0" w:oddHBand="0" w:evenHBand="0" w:firstRowFirstColumn="0" w:firstRowLastColumn="0" w:lastRowFirstColumn="0" w:lastRowLastColumn="0"/>
            </w:pPr>
            <w:r w:rsidRPr="00DF2804">
              <w:t>PERCENTUAL MÁSSICO (%)</w:t>
            </w:r>
          </w:p>
        </w:tc>
      </w:tr>
      <w:tr w:rsidR="00DF2804" w:rsidTr="00DF28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DF2804">
            <w:pPr>
              <w:jc w:val="center"/>
              <w:rPr>
                <w:b w:val="0"/>
                <w:bCs w:val="0"/>
              </w:rPr>
            </w:pPr>
            <w:r w:rsidRPr="00DF2804">
              <w:rPr>
                <w:b w:val="0"/>
                <w:bCs w:val="0"/>
              </w:rPr>
              <w:t>Ácido Ricinol</w:t>
            </w:r>
            <w:r w:rsidR="00DD52CF">
              <w:rPr>
                <w:b w:val="0"/>
                <w:bCs w:val="0"/>
              </w:rPr>
              <w:t>e</w:t>
            </w:r>
            <w:r w:rsidRPr="00DF2804">
              <w:rPr>
                <w:b w:val="0"/>
                <w:bCs w:val="0"/>
              </w:rPr>
              <w:t>ico</w:t>
            </w:r>
          </w:p>
        </w:tc>
        <w:tc>
          <w:tcPr>
            <w:tcW w:w="3543" w:type="dxa"/>
          </w:tcPr>
          <w:p w:rsidR="00DF2804" w:rsidRDefault="00DF2804" w:rsidP="00DF2804">
            <w:pPr>
              <w:jc w:val="center"/>
              <w:cnfStyle w:val="000000100000" w:firstRow="0" w:lastRow="0" w:firstColumn="0" w:lastColumn="0" w:oddVBand="0" w:evenVBand="0" w:oddHBand="1" w:evenHBand="0" w:firstRowFirstColumn="0" w:firstRowLastColumn="0" w:lastRowFirstColumn="0" w:lastRowLastColumn="0"/>
            </w:pPr>
            <w:r w:rsidRPr="00623EF2">
              <w:t>84,0 - 91,0</w:t>
            </w:r>
          </w:p>
        </w:tc>
      </w:tr>
      <w:tr w:rsidR="00DF2804" w:rsidTr="00DF2804">
        <w:trPr>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DF2804">
            <w:pPr>
              <w:jc w:val="center"/>
              <w:rPr>
                <w:b w:val="0"/>
                <w:bCs w:val="0"/>
              </w:rPr>
            </w:pPr>
            <w:r w:rsidRPr="00DF2804">
              <w:rPr>
                <w:b w:val="0"/>
                <w:bCs w:val="0"/>
              </w:rPr>
              <w:t>Ácido Linol</w:t>
            </w:r>
            <w:r w:rsidR="00DD52CF">
              <w:rPr>
                <w:b w:val="0"/>
                <w:bCs w:val="0"/>
              </w:rPr>
              <w:t>e</w:t>
            </w:r>
            <w:r w:rsidRPr="00DF2804">
              <w:rPr>
                <w:b w:val="0"/>
                <w:bCs w:val="0"/>
              </w:rPr>
              <w:t>ico</w:t>
            </w:r>
          </w:p>
        </w:tc>
        <w:tc>
          <w:tcPr>
            <w:tcW w:w="3543" w:type="dxa"/>
          </w:tcPr>
          <w:p w:rsidR="00DF2804" w:rsidRDefault="00DF2804" w:rsidP="00DF2804">
            <w:pPr>
              <w:jc w:val="center"/>
              <w:cnfStyle w:val="000000000000" w:firstRow="0" w:lastRow="0" w:firstColumn="0" w:lastColumn="0" w:oddVBand="0" w:evenVBand="0" w:oddHBand="0" w:evenHBand="0" w:firstRowFirstColumn="0" w:firstRowLastColumn="0" w:lastRowFirstColumn="0" w:lastRowLastColumn="0"/>
            </w:pPr>
            <w:r w:rsidRPr="00623EF2">
              <w:t>2,9 - 6,5</w:t>
            </w:r>
          </w:p>
        </w:tc>
      </w:tr>
      <w:tr w:rsidR="00DF2804" w:rsidTr="00DF28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DF2804">
            <w:pPr>
              <w:jc w:val="center"/>
              <w:rPr>
                <w:b w:val="0"/>
                <w:bCs w:val="0"/>
              </w:rPr>
            </w:pPr>
            <w:r w:rsidRPr="00DF2804">
              <w:rPr>
                <w:b w:val="0"/>
                <w:bCs w:val="0"/>
              </w:rPr>
              <w:t>Ácido Ol</w:t>
            </w:r>
            <w:r w:rsidR="00DD52CF">
              <w:rPr>
                <w:b w:val="0"/>
                <w:bCs w:val="0"/>
              </w:rPr>
              <w:t>e</w:t>
            </w:r>
            <w:r w:rsidRPr="00DF2804">
              <w:rPr>
                <w:b w:val="0"/>
                <w:bCs w:val="0"/>
              </w:rPr>
              <w:t>ico</w:t>
            </w:r>
          </w:p>
        </w:tc>
        <w:tc>
          <w:tcPr>
            <w:tcW w:w="3543" w:type="dxa"/>
          </w:tcPr>
          <w:p w:rsidR="00DF2804" w:rsidRDefault="00DF2804" w:rsidP="00DF2804">
            <w:pPr>
              <w:jc w:val="center"/>
              <w:cnfStyle w:val="000000100000" w:firstRow="0" w:lastRow="0" w:firstColumn="0" w:lastColumn="0" w:oddVBand="0" w:evenVBand="0" w:oddHBand="1" w:evenHBand="0" w:firstRowFirstColumn="0" w:firstRowLastColumn="0" w:lastRowFirstColumn="0" w:lastRowLastColumn="0"/>
            </w:pPr>
            <w:r w:rsidRPr="00623EF2">
              <w:t>3,1 - 5,9</w:t>
            </w:r>
          </w:p>
        </w:tc>
      </w:tr>
      <w:tr w:rsidR="00DF2804" w:rsidTr="00DF2804">
        <w:trPr>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DF2804">
            <w:pPr>
              <w:jc w:val="center"/>
              <w:rPr>
                <w:b w:val="0"/>
                <w:bCs w:val="0"/>
              </w:rPr>
            </w:pPr>
            <w:r w:rsidRPr="00DF2804">
              <w:rPr>
                <w:b w:val="0"/>
                <w:bCs w:val="0"/>
              </w:rPr>
              <w:t>Ácido Esteárico</w:t>
            </w:r>
          </w:p>
        </w:tc>
        <w:tc>
          <w:tcPr>
            <w:tcW w:w="3543" w:type="dxa"/>
          </w:tcPr>
          <w:p w:rsidR="00DF2804" w:rsidRDefault="00DF2804" w:rsidP="00DF2804">
            <w:pPr>
              <w:jc w:val="center"/>
              <w:cnfStyle w:val="000000000000" w:firstRow="0" w:lastRow="0" w:firstColumn="0" w:lastColumn="0" w:oddVBand="0" w:evenVBand="0" w:oddHBand="0" w:evenHBand="0" w:firstRowFirstColumn="0" w:firstRowLastColumn="0" w:lastRowFirstColumn="0" w:lastRowLastColumn="0"/>
            </w:pPr>
            <w:r w:rsidRPr="00623EF2">
              <w:t>1,4 - 2,1</w:t>
            </w:r>
          </w:p>
        </w:tc>
      </w:tr>
      <w:tr w:rsidR="00DF2804" w:rsidTr="00DF28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DF2804">
            <w:pPr>
              <w:jc w:val="center"/>
              <w:rPr>
                <w:b w:val="0"/>
                <w:bCs w:val="0"/>
              </w:rPr>
            </w:pPr>
            <w:r w:rsidRPr="00DF2804">
              <w:rPr>
                <w:b w:val="0"/>
                <w:bCs w:val="0"/>
              </w:rPr>
              <w:t>Ácido Palmítico</w:t>
            </w:r>
          </w:p>
        </w:tc>
        <w:tc>
          <w:tcPr>
            <w:tcW w:w="3543" w:type="dxa"/>
          </w:tcPr>
          <w:p w:rsidR="00DF2804" w:rsidRDefault="00DF2804" w:rsidP="00DF2804">
            <w:pPr>
              <w:jc w:val="center"/>
              <w:cnfStyle w:val="000000100000" w:firstRow="0" w:lastRow="0" w:firstColumn="0" w:lastColumn="0" w:oddVBand="0" w:evenVBand="0" w:oddHBand="1" w:evenHBand="0" w:firstRowFirstColumn="0" w:firstRowLastColumn="0" w:lastRowFirstColumn="0" w:lastRowLastColumn="0"/>
            </w:pPr>
            <w:r w:rsidRPr="00623EF2">
              <w:t>0,9 - 1,5</w:t>
            </w:r>
          </w:p>
        </w:tc>
      </w:tr>
    </w:tbl>
    <w:p w:rsidR="00B51E87" w:rsidRDefault="00000000">
      <w:pPr>
        <w:jc w:val="center"/>
        <w:rPr>
          <w:sz w:val="18"/>
          <w:szCs w:val="18"/>
        </w:rPr>
      </w:pPr>
      <w:r w:rsidRPr="00DF2804">
        <w:rPr>
          <w:sz w:val="18"/>
          <w:szCs w:val="18"/>
        </w:rPr>
        <w:t>Fonte: Monshkin (1986)</w:t>
      </w:r>
    </w:p>
    <w:p w:rsidR="003B1D60" w:rsidRDefault="003B1D60" w:rsidP="003B1D60"/>
    <w:p w:rsidR="003B1D60" w:rsidRPr="00DF2804" w:rsidRDefault="003B1D60" w:rsidP="00DD52CF">
      <w:pPr>
        <w:ind w:firstLine="720"/>
      </w:pPr>
      <w:r>
        <w:t>A presença desses ácidos graxos viabiliza o uso de óleo de mamona para fabricação de biocombustíveis. Knothe e colaboradores (</w:t>
      </w:r>
      <w:r w:rsidR="00DD52CF">
        <w:t>2010) definem que a partir de ácidos graxos é possível produzir biodiesel, por reação de transesterificação. A presença de insaturações nos Ácidos Linoleico, Ricinoleico e Oleico mostram a necessidade de reações de hidrogenação, o que consequentemente converte todos esses ácidos em Ácido Esteárico. Por reações de hidrotratamento (Hidrodesoxigenação, Descarboxilação e Descarbonilação), o Ácido Esteárico gerado é convertido em Óleo Vegetal Hidrotratado (HVO), enquanto o Ácido Palmitico é convertido em Combustível Sustentável de Aviação (SAF)</w:t>
      </w:r>
    </w:p>
    <w:p w:rsidR="00B51E87" w:rsidRDefault="00000000">
      <w:pPr>
        <w:pStyle w:val="Ttulo2"/>
        <w:numPr>
          <w:ilvl w:val="1"/>
          <w:numId w:val="1"/>
        </w:numPr>
      </w:pPr>
      <w:r>
        <w:t>Pinhão-Manso (</w:t>
      </w:r>
      <w:r>
        <w:rPr>
          <w:i/>
          <w:iCs/>
        </w:rPr>
        <w:t>Jatropha Curcas L.</w:t>
      </w:r>
      <w:r>
        <w:t xml:space="preserve">) </w:t>
      </w:r>
    </w:p>
    <w:p w:rsidR="00B51E87" w:rsidRDefault="003B1D60" w:rsidP="00DF2804">
      <w:pPr>
        <w:ind w:firstLine="720"/>
      </w:pPr>
      <w:r>
        <w:t>O Pinhão-Manso (</w:t>
      </w:r>
      <w:r>
        <w:rPr>
          <w:i/>
          <w:iCs/>
        </w:rPr>
        <w:t>Jatropha Curcas L.</w:t>
      </w:r>
      <w:r>
        <w:t>), destaca-se como uma biomassa oleaginosa de elevado potencial para a matriz energética brasileira, especialmente devido à sua rusticidade e adaptação a solos de baixa fertilidade e climas semiáridos (EMBRAPA, 2021).</w:t>
      </w:r>
    </w:p>
    <w:p w:rsidR="00B51E87" w:rsidRDefault="00000000">
      <w:r>
        <w:t>A composição química das sementes de pinhão-manso apresenta um teor de óleo entre 30% e 40%, composto majoritariamente por triacilgliceróis (EMBRAPA, 2021). Essa constituição lipídica é ideal para a conversão energética devido às suas propriedades de fluidez e estabilidade, conforme detalhado:</w:t>
      </w:r>
    </w:p>
    <w:p w:rsidR="00DF2804" w:rsidRDefault="00DF2804"/>
    <w:p w:rsidR="003B1D60" w:rsidRDefault="003B1D60" w:rsidP="003B1D60">
      <w:pPr>
        <w:pStyle w:val="Legenda"/>
        <w:keepNext/>
        <w:jc w:val="center"/>
      </w:pPr>
      <w:r>
        <w:t xml:space="preserve">Tabela </w:t>
      </w:r>
      <w:r>
        <w:fldChar w:fldCharType="begin"/>
      </w:r>
      <w:r>
        <w:instrText xml:space="preserve"> SEQ Tabela \* ARABIC </w:instrText>
      </w:r>
      <w:r>
        <w:fldChar w:fldCharType="separate"/>
      </w:r>
      <w:r>
        <w:rPr>
          <w:noProof/>
        </w:rPr>
        <w:t>2</w:t>
      </w:r>
      <w:r>
        <w:fldChar w:fldCharType="end"/>
      </w:r>
      <w:r>
        <w:t xml:space="preserve"> - Percentuais mássicos dos ácidos graxos contidos no óleo de pinhão-manso</w:t>
      </w:r>
    </w:p>
    <w:tbl>
      <w:tblPr>
        <w:tblStyle w:val="TabeladeLista6Colorida"/>
        <w:tblW w:w="0" w:type="auto"/>
        <w:jc w:val="center"/>
        <w:tblLook w:val="04A0" w:firstRow="1" w:lastRow="0" w:firstColumn="1" w:lastColumn="0" w:noHBand="0" w:noVBand="1"/>
      </w:tblPr>
      <w:tblGrid>
        <w:gridCol w:w="2127"/>
        <w:gridCol w:w="3543"/>
      </w:tblGrid>
      <w:tr w:rsidR="00DF2804" w:rsidTr="004634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46349E">
            <w:pPr>
              <w:jc w:val="center"/>
            </w:pPr>
            <w:r w:rsidRPr="00DF2804">
              <w:t>ÁCIDO GRAXO</w:t>
            </w:r>
          </w:p>
        </w:tc>
        <w:tc>
          <w:tcPr>
            <w:tcW w:w="3543" w:type="dxa"/>
          </w:tcPr>
          <w:p w:rsidR="00DF2804" w:rsidRPr="00DF2804" w:rsidRDefault="00DF2804" w:rsidP="0046349E">
            <w:pPr>
              <w:jc w:val="center"/>
              <w:cnfStyle w:val="100000000000" w:firstRow="1" w:lastRow="0" w:firstColumn="0" w:lastColumn="0" w:oddVBand="0" w:evenVBand="0" w:oddHBand="0" w:evenHBand="0" w:firstRowFirstColumn="0" w:firstRowLastColumn="0" w:lastRowFirstColumn="0" w:lastRowLastColumn="0"/>
            </w:pPr>
            <w:r w:rsidRPr="00DF2804">
              <w:t>PERCENTUAL MÁSSICO (%)</w:t>
            </w:r>
          </w:p>
        </w:tc>
      </w:tr>
      <w:tr w:rsidR="00DF2804" w:rsidTr="004634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46349E">
            <w:pPr>
              <w:jc w:val="center"/>
              <w:rPr>
                <w:b w:val="0"/>
                <w:bCs w:val="0"/>
              </w:rPr>
            </w:pPr>
            <w:r>
              <w:rPr>
                <w:b w:val="0"/>
                <w:bCs w:val="0"/>
              </w:rPr>
              <w:t>Ácido Oleico</w:t>
            </w:r>
          </w:p>
        </w:tc>
        <w:tc>
          <w:tcPr>
            <w:tcW w:w="3543" w:type="dxa"/>
          </w:tcPr>
          <w:p w:rsidR="00DF2804" w:rsidRDefault="00DF2804" w:rsidP="0046349E">
            <w:pPr>
              <w:jc w:val="center"/>
              <w:cnfStyle w:val="000000100000" w:firstRow="0" w:lastRow="0" w:firstColumn="0" w:lastColumn="0" w:oddVBand="0" w:evenVBand="0" w:oddHBand="1" w:evenHBand="0" w:firstRowFirstColumn="0" w:firstRowLastColumn="0" w:lastRowFirstColumn="0" w:lastRowLastColumn="0"/>
            </w:pPr>
            <w:r>
              <w:t>44,0</w:t>
            </w:r>
          </w:p>
        </w:tc>
      </w:tr>
      <w:tr w:rsidR="00DF2804" w:rsidTr="0046349E">
        <w:trPr>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46349E">
            <w:pPr>
              <w:jc w:val="center"/>
              <w:rPr>
                <w:b w:val="0"/>
                <w:bCs w:val="0"/>
              </w:rPr>
            </w:pPr>
            <w:r>
              <w:rPr>
                <w:b w:val="0"/>
                <w:bCs w:val="0"/>
              </w:rPr>
              <w:t>Ácido Linoleico</w:t>
            </w:r>
          </w:p>
        </w:tc>
        <w:tc>
          <w:tcPr>
            <w:tcW w:w="3543" w:type="dxa"/>
          </w:tcPr>
          <w:p w:rsidR="00DF2804" w:rsidRDefault="00DF2804" w:rsidP="0046349E">
            <w:pPr>
              <w:jc w:val="center"/>
              <w:cnfStyle w:val="000000000000" w:firstRow="0" w:lastRow="0" w:firstColumn="0" w:lastColumn="0" w:oddVBand="0" w:evenVBand="0" w:oddHBand="0" w:evenHBand="0" w:firstRowFirstColumn="0" w:firstRowLastColumn="0" w:lastRowFirstColumn="0" w:lastRowLastColumn="0"/>
            </w:pPr>
            <w:r>
              <w:t>34,0</w:t>
            </w:r>
          </w:p>
        </w:tc>
      </w:tr>
      <w:tr w:rsidR="00DF2804" w:rsidTr="004634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46349E">
            <w:pPr>
              <w:jc w:val="center"/>
              <w:rPr>
                <w:b w:val="0"/>
                <w:bCs w:val="0"/>
              </w:rPr>
            </w:pPr>
            <w:r>
              <w:rPr>
                <w:b w:val="0"/>
                <w:bCs w:val="0"/>
              </w:rPr>
              <w:t>Ácido Palmítico</w:t>
            </w:r>
          </w:p>
        </w:tc>
        <w:tc>
          <w:tcPr>
            <w:tcW w:w="3543" w:type="dxa"/>
          </w:tcPr>
          <w:p w:rsidR="00DF2804" w:rsidRDefault="00DF2804" w:rsidP="0046349E">
            <w:pPr>
              <w:jc w:val="center"/>
              <w:cnfStyle w:val="000000100000" w:firstRow="0" w:lastRow="0" w:firstColumn="0" w:lastColumn="0" w:oddVBand="0" w:evenVBand="0" w:oddHBand="1" w:evenHBand="0" w:firstRowFirstColumn="0" w:firstRowLastColumn="0" w:lastRowFirstColumn="0" w:lastRowLastColumn="0"/>
            </w:pPr>
            <w:r>
              <w:t>14,0</w:t>
            </w:r>
          </w:p>
        </w:tc>
      </w:tr>
      <w:tr w:rsidR="00DF2804" w:rsidTr="0046349E">
        <w:trPr>
          <w:jc w:val="center"/>
        </w:trPr>
        <w:tc>
          <w:tcPr>
            <w:cnfStyle w:val="001000000000" w:firstRow="0" w:lastRow="0" w:firstColumn="1" w:lastColumn="0" w:oddVBand="0" w:evenVBand="0" w:oddHBand="0" w:evenHBand="0" w:firstRowFirstColumn="0" w:firstRowLastColumn="0" w:lastRowFirstColumn="0" w:lastRowLastColumn="0"/>
            <w:tcW w:w="2127" w:type="dxa"/>
          </w:tcPr>
          <w:p w:rsidR="00DF2804" w:rsidRPr="00DF2804" w:rsidRDefault="00DF2804" w:rsidP="0046349E">
            <w:pPr>
              <w:jc w:val="center"/>
              <w:rPr>
                <w:b w:val="0"/>
                <w:bCs w:val="0"/>
              </w:rPr>
            </w:pPr>
            <w:r>
              <w:rPr>
                <w:b w:val="0"/>
                <w:bCs w:val="0"/>
              </w:rPr>
              <w:t>Ácido Esteárico</w:t>
            </w:r>
          </w:p>
        </w:tc>
        <w:tc>
          <w:tcPr>
            <w:tcW w:w="3543" w:type="dxa"/>
          </w:tcPr>
          <w:p w:rsidR="00DF2804" w:rsidRDefault="00DF2804" w:rsidP="0046349E">
            <w:pPr>
              <w:jc w:val="center"/>
              <w:cnfStyle w:val="000000000000" w:firstRow="0" w:lastRow="0" w:firstColumn="0" w:lastColumn="0" w:oddVBand="0" w:evenVBand="0" w:oddHBand="0" w:evenHBand="0" w:firstRowFirstColumn="0" w:firstRowLastColumn="0" w:lastRowFirstColumn="0" w:lastRowLastColumn="0"/>
            </w:pPr>
            <w:r>
              <w:t>7,0</w:t>
            </w:r>
          </w:p>
        </w:tc>
      </w:tr>
    </w:tbl>
    <w:p w:rsidR="00B51E87" w:rsidRPr="003B1D60" w:rsidRDefault="00000000" w:rsidP="003B1D60">
      <w:pPr>
        <w:jc w:val="center"/>
        <w:rPr>
          <w:sz w:val="18"/>
          <w:szCs w:val="18"/>
        </w:rPr>
      </w:pPr>
      <w:r w:rsidRPr="003B1D60">
        <w:rPr>
          <w:sz w:val="18"/>
          <w:szCs w:val="18"/>
        </w:rPr>
        <w:lastRenderedPageBreak/>
        <w:t>Fontes: AGROPECUÁRIA CIENTÍFICA NO SEMIÁRIDO (2011); UEG (2013).</w:t>
      </w:r>
    </w:p>
    <w:p w:rsidR="00B51E87" w:rsidRDefault="00B51E87"/>
    <w:p w:rsidR="00B51E87" w:rsidRDefault="00000000" w:rsidP="003B1D60">
      <w:pPr>
        <w:ind w:firstLine="720"/>
      </w:pPr>
      <w:r>
        <w:t>Nesse sentido, os principais biocombustíveis fabricados pelo Pinhão - Manso são o biodiesel e o bioquerosene de aviação (Bio-QAV). O óleo pode ser transformado em biodiesel para uso em motores convencionais sem necessidade de modificações significativas (RBGDR, 2010). Além disso, a biomassa residual (cascas e polpa) pode ser aproveitada para a produção de biogás ou bio-óleo por meio de processos térmicos, ampliando o portfólio de renováveis derivados da planta (UEG, 2013).</w:t>
      </w:r>
    </w:p>
    <w:p w:rsidR="00B51E87" w:rsidRDefault="00000000" w:rsidP="003B1D60">
      <w:pPr>
        <w:ind w:firstLine="720"/>
      </w:pPr>
      <w:r>
        <w:t xml:space="preserve">Assim, as rotas reacionais mais aplicadas envolvem a transesterificação e o craqueamento térmico. No processo da transesterificação, os triacilgliceróis reagem com um álcool na presença de um catalisador, gerando biodiesel e glicerina (AGROPECUÁRIA CIENTÍFICA NO SEMIÁRIDO, 2011). Outra rota relevante é o hidrocraqueamento catalítico, que produz hidrocarbonetos similares ao querosene fóssil. </w:t>
      </w:r>
    </w:p>
    <w:p w:rsidR="00B51E87" w:rsidRDefault="00000000">
      <w:pPr>
        <w:pStyle w:val="Ttulo1"/>
        <w:numPr>
          <w:ilvl w:val="0"/>
          <w:numId w:val="1"/>
        </w:numPr>
      </w:pPr>
      <w:r>
        <w:t>CONCLUSÃO</w:t>
      </w:r>
    </w:p>
    <w:p w:rsidR="00B51E87" w:rsidRDefault="00DD52CF" w:rsidP="009D7300">
      <w:pPr>
        <w:spacing w:before="240" w:after="240"/>
        <w:ind w:firstLine="720"/>
      </w:pPr>
      <w:r>
        <w:t>Com base nos resultados obtidos é concluído que o município de Glória – BA apresenta grande potencial para transição energética, sendo capaz de produzir diferentes biocombustíveis por diferentes biomassas.</w:t>
      </w:r>
      <w:r w:rsidR="009D7300">
        <w:t xml:space="preserve"> Um investimento aplicado ao setor energético traria vários benefícios econômicos à cidade, </w:t>
      </w:r>
    </w:p>
    <w:p w:rsidR="00B51E87" w:rsidRDefault="003B1D60" w:rsidP="003B1D60">
      <w:pPr>
        <w:spacing w:before="240" w:after="240"/>
        <w:ind w:firstLine="720"/>
      </w:pPr>
      <w:r>
        <w:t>Em suma, a presença do pinhão-manso no município de Glória, no estado da Bahia, reforça a viabilidade da transição energética local, transformando o potencial agrícola da região em uma fonte concreta de combustíveis limpos.</w:t>
      </w:r>
    </w:p>
    <w:p w:rsidR="00B51E87" w:rsidRDefault="00000000">
      <w:pPr>
        <w:pStyle w:val="Ttulo1"/>
      </w:pPr>
      <w:r>
        <w:t>REFERÊNCIAS</w:t>
      </w:r>
    </w:p>
    <w:p w:rsidR="003B1D60" w:rsidRPr="003B1D60" w:rsidRDefault="003B1D60" w:rsidP="003B1D60"/>
    <w:p w:rsidR="00B51E87" w:rsidRDefault="00000000">
      <w:bookmarkStart w:id="0" w:name="_heading=h.q2q10owynr41" w:colFirst="0" w:colLast="0"/>
      <w:bookmarkEnd w:id="0"/>
      <w:r>
        <w:t>MACHADO, S.T.; JORDAN, R. A.; SANTOS, R.C.;PAOLETTO, A. M.; ÁVALO, H. Geração de biogás com dejetos provenientes da piscicultura. In: I</w:t>
      </w:r>
      <w:r>
        <w:rPr>
          <w:b/>
          <w:bCs/>
        </w:rPr>
        <w:t xml:space="preserve">nternational Workshop Advances in Cleaner Production. </w:t>
      </w:r>
      <w:r>
        <w:t>São Paulo,2013.</w:t>
      </w:r>
    </w:p>
    <w:p w:rsidR="00B51E87" w:rsidRDefault="00B51E87"/>
    <w:p w:rsidR="00B51E87" w:rsidRDefault="00000000">
      <w:bookmarkStart w:id="1" w:name="_heading=h.b0u2m8y1o1qa" w:colFirst="0" w:colLast="0"/>
      <w:bookmarkEnd w:id="1"/>
      <w:r>
        <w:t>PEIXE BR. Anuário da Piscicultura Brasileira 2025. São Paulo: Associação Brasileira Piscicultura, 2025.</w:t>
      </w:r>
    </w:p>
    <w:p w:rsidR="00B51E87" w:rsidRDefault="00B51E87"/>
    <w:p w:rsidR="00B51E87" w:rsidRDefault="00000000">
      <w:bookmarkStart w:id="2" w:name="_heading=h.lzuijb7pd0vi" w:colFirst="0" w:colLast="0"/>
      <w:bookmarkEnd w:id="2"/>
      <w:r>
        <w:t>FONSECA, Cezar. Potencial bioquímico de biogás de resíduos de filetagem de tilápia (Oreochromis niloticus). 2018. 54 f. Dissertação (mestrado em Tecnologias Ambientais) - Universidade Federal do Paraná, Medianeira, 2018.</w:t>
      </w:r>
    </w:p>
    <w:p w:rsidR="00B51E87" w:rsidRDefault="00000000">
      <w:pPr>
        <w:spacing w:before="240" w:after="240"/>
      </w:pPr>
      <w:r>
        <w:t>ANA – Agência Nacional de Águas. Conjuntura dos recursos hídricos no Brasil. Brasília, 2021.</w:t>
      </w:r>
    </w:p>
    <w:p w:rsidR="00B51E87" w:rsidRDefault="00000000">
      <w:pPr>
        <w:spacing w:before="240" w:after="240"/>
      </w:pPr>
      <w:r>
        <w:t>GOPAL, B. Water Hyacinth. Elsevier, 1987.</w:t>
      </w:r>
    </w:p>
    <w:p w:rsidR="00B51E87" w:rsidRDefault="00000000">
      <w:pPr>
        <w:spacing w:before="240" w:after="240"/>
      </w:pPr>
      <w:r>
        <w:t>IBGE – Instituto Brasileiro de Geografia e Estatística. Cidades e Estados: Glória (BA), 2022.</w:t>
      </w:r>
    </w:p>
    <w:p w:rsidR="00B51E87" w:rsidRDefault="00000000">
      <w:pPr>
        <w:spacing w:before="240" w:after="240"/>
      </w:pPr>
      <w:r>
        <w:t>INMET – Instituto Nacional de Meteorologia. Normais climatológicas do Brasil, 2022.</w:t>
      </w:r>
    </w:p>
    <w:p w:rsidR="00B51E87" w:rsidRDefault="00000000">
      <w:pPr>
        <w:spacing w:before="240" w:after="240"/>
      </w:pPr>
      <w:r>
        <w:t>PATEL, S. Threats, management and envisaged utilizations of Eichhornia crassipes. 2012.</w:t>
      </w:r>
    </w:p>
    <w:p w:rsidR="00B51E87" w:rsidRDefault="00000000">
      <w:pPr>
        <w:spacing w:before="240" w:after="240"/>
      </w:pPr>
      <w:r>
        <w:lastRenderedPageBreak/>
        <w:t>REZANIA, S. et al. Perspectives of phytoremediation using water hyacinth. Journal of Environmental Management, 2015.</w:t>
      </w:r>
    </w:p>
    <w:p w:rsidR="00B51E87" w:rsidRDefault="00000000">
      <w:pPr>
        <w:spacing w:before="240" w:after="240"/>
      </w:pPr>
      <w:r>
        <w:t>VILLAMAGNA, A.; MURPHY, B. Ecological and socio-economic impacts of water hyacinth. Freshwater Biology, 2010.</w:t>
      </w:r>
    </w:p>
    <w:p w:rsidR="00B51E87" w:rsidRDefault="00000000">
      <w:pPr>
        <w:spacing w:before="240" w:after="240"/>
      </w:pPr>
      <w:r>
        <w:t>SILVA, Samuel de Deus da et al. Uso de torta de mamona como fertilizante orgânico. Pesquisa Agropecuária Tropical, Goiânia, v. 42, n. 1, p. 19-27, jan./mar. 2012.</w:t>
      </w:r>
    </w:p>
    <w:p w:rsidR="00B51E87" w:rsidRDefault="00000000">
      <w:bookmarkStart w:id="3" w:name="_heading=h.bj110tnjl4lu" w:colFirst="0" w:colLast="0"/>
      <w:bookmarkEnd w:id="3"/>
      <w:r>
        <w:t>FONSECA, Nayanna Brunna da Silva; SOTO-BLANCO, Benito et al. Toxicidade da ricina presente nas sementes de mamona. Semina: Ciências Agrárias, Londrina, v. 35, n. 3, p. 1415-1424, maio/jun. 2014.</w:t>
      </w:r>
    </w:p>
    <w:p w:rsidR="00B51E87" w:rsidRDefault="00B51E87"/>
    <w:p w:rsidR="00B51E87" w:rsidRDefault="00000000">
      <w:bookmarkStart w:id="4" w:name="_heading=h.mipcd3eh38rd" w:colFirst="0" w:colLast="0"/>
      <w:bookmarkEnd w:id="4"/>
      <w:r>
        <w:t>CANGEMI, José Marcelo; SANTOS, Antonia Marli dos; CLARO NETO, Salvador. A revolução verde da mamona. Química Nova na Escola, São Paulo, v. 32, n. 1, p. 3-8, fev. 2010.</w:t>
      </w:r>
    </w:p>
    <w:p w:rsidR="00B51E87" w:rsidRDefault="00B51E87"/>
    <w:p w:rsidR="00B51E87" w:rsidRDefault="00000000">
      <w:bookmarkStart w:id="5" w:name="_heading=h.8b2w7c6sejzd" w:colFirst="0" w:colLast="0"/>
      <w:bookmarkEnd w:id="5"/>
      <w:r>
        <w:t>BELTRÃO, Napoleão Esberard de Macêdo et al. O cultivo sustentável da mamona no semiárido brasileiro. Campina Grande: Embrapa Algodão, 2006. 62 p.</w:t>
      </w:r>
    </w:p>
    <w:p w:rsidR="00B51E87" w:rsidRDefault="00B51E87"/>
    <w:p w:rsidR="00B51E87" w:rsidRDefault="00000000">
      <w:bookmarkStart w:id="6" w:name="_heading=h.ka8ct4ou1n9d" w:colFirst="0" w:colLast="0"/>
      <w:bookmarkEnd w:id="6"/>
      <w:r>
        <w:t>KNOTHE, G.; VAN GERPEN, J.; KRAHL, J. The Biodiesel Handbook. 2. ed. Urbana: AOCS Press, 2010.</w:t>
      </w:r>
    </w:p>
    <w:p w:rsidR="00B51E87" w:rsidRDefault="00B51E87">
      <w:bookmarkStart w:id="7" w:name="_heading=h.ajdva0n70qri" w:colFirst="0" w:colLast="0"/>
      <w:bookmarkEnd w:id="7"/>
    </w:p>
    <w:sectPr w:rsidR="00B51E87">
      <w:headerReference w:type="even" r:id="rId8"/>
      <w:headerReference w:type="default" r:id="rId9"/>
      <w:footerReference w:type="even" r:id="rId10"/>
      <w:footerReference w:type="default" r:id="rId11"/>
      <w:headerReference w:type="first" r:id="rId12"/>
      <w:footerReference w:type="first" r:id="rId13"/>
      <w:pgSz w:w="11906" w:h="16838"/>
      <w:pgMar w:top="2268" w:right="1418" w:bottom="1418" w:left="1418" w:header="17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1A3" w:rsidRDefault="00EE31A3">
      <w:r>
        <w:separator/>
      </w:r>
    </w:p>
  </w:endnote>
  <w:endnote w:type="continuationSeparator" w:id="0">
    <w:p w:rsidR="00EE31A3" w:rsidRDefault="00EE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1" w:fontKey="{3D7C9BB4-3CF2-42B8-9643-3363FA2F3B9C}"/>
  </w:font>
  <w:font w:name="Tahoma">
    <w:panose1 w:val="020B0604030504040204"/>
    <w:charset w:val="00"/>
    <w:family w:val="swiss"/>
    <w:pitch w:val="variable"/>
    <w:sig w:usb0="E1002EFF" w:usb1="C000605B" w:usb2="00000029" w:usb3="00000000" w:csb0="000101FF" w:csb1="00000000"/>
    <w:embedRegular r:id="rId2" w:fontKey="{1370DB2F-E9BB-4A57-A423-6F6FC4FD3ED5}"/>
  </w:font>
  <w:font w:name="Calibri">
    <w:panose1 w:val="020F0502020204030204"/>
    <w:charset w:val="00"/>
    <w:family w:val="swiss"/>
    <w:pitch w:val="variable"/>
    <w:sig w:usb0="E4002EFF" w:usb1="C200247B" w:usb2="00000009" w:usb3="00000000" w:csb0="000001FF" w:csb1="00000000"/>
    <w:embedRegular r:id="rId3" w:fontKey="{09945157-239B-4DEE-B105-6B670C5AEAB6}"/>
  </w:font>
  <w:font w:name="Cambria">
    <w:panose1 w:val="02040503050406030204"/>
    <w:charset w:val="00"/>
    <w:family w:val="roman"/>
    <w:pitch w:val="variable"/>
    <w:sig w:usb0="E00006FF" w:usb1="420024FF" w:usb2="02000000" w:usb3="00000000" w:csb0="0000019F" w:csb1="00000000"/>
    <w:embedRegular r:id="rId4" w:fontKey="{01097679-0FC2-459E-86A4-B3F6D412564D}"/>
  </w:font>
  <w:font w:name="Georgia">
    <w:panose1 w:val="02040502050405020303"/>
    <w:charset w:val="00"/>
    <w:family w:val="roman"/>
    <w:pitch w:val="variable"/>
    <w:sig w:usb0="00000287" w:usb1="00000000" w:usb2="00000000" w:usb3="00000000" w:csb0="0000009F" w:csb1="00000000"/>
    <w:embedItalic r:id="rId5" w:fontKey="{EFE7951D-DE04-40B5-B352-E3375840BD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87"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B51E87" w:rsidRDefault="00B51E87">
    <w:pPr>
      <w:pBdr>
        <w:top w:val="nil"/>
        <w:left w:val="nil"/>
        <w:bottom w:val="nil"/>
        <w:right w:val="nil"/>
        <w:between w:val="nil"/>
      </w:pBdr>
      <w:tabs>
        <w:tab w:val="center" w:pos="3600"/>
        <w:tab w:val="right" w:pos="7200"/>
      </w:tabs>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87"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sidR="00DF2804">
      <w:rPr>
        <w:noProof/>
        <w:color w:val="000000"/>
      </w:rPr>
      <w:t>1</w:t>
    </w:r>
    <w:r>
      <w:rPr>
        <w:color w:val="000000"/>
      </w:rPr>
      <w:fldChar w:fldCharType="end"/>
    </w:r>
    <w:r>
      <w:rPr>
        <w:noProof/>
      </w:rPr>
      <w:drawing>
        <wp:anchor distT="0" distB="0" distL="114300" distR="114300" simplePos="0" relativeHeight="251661312" behindDoc="0" locked="0" layoutInCell="1" hidden="0" allowOverlap="1">
          <wp:simplePos x="0" y="0"/>
          <wp:positionH relativeFrom="column">
            <wp:posOffset>732789</wp:posOffset>
          </wp:positionH>
          <wp:positionV relativeFrom="paragraph">
            <wp:posOffset>-136621</wp:posOffset>
          </wp:positionV>
          <wp:extent cx="4293870" cy="735965"/>
          <wp:effectExtent l="0" t="0" r="0" b="0"/>
          <wp:wrapNone/>
          <wp:docPr id="205531938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293870" cy="735965"/>
                  </a:xfrm>
                  <a:prstGeom prst="rect">
                    <a:avLst/>
                  </a:prstGeom>
                  <a:ln/>
                </pic:spPr>
              </pic:pic>
            </a:graphicData>
          </a:graphic>
        </wp:anchor>
      </w:drawing>
    </w:r>
  </w:p>
  <w:p w:rsidR="00B51E87" w:rsidRDefault="00B51E87">
    <w:pPr>
      <w:pBdr>
        <w:top w:val="nil"/>
        <w:left w:val="nil"/>
        <w:bottom w:val="nil"/>
        <w:right w:val="nil"/>
        <w:between w:val="nil"/>
      </w:pBdr>
      <w:tabs>
        <w:tab w:val="center" w:pos="3600"/>
        <w:tab w:val="right" w:pos="7200"/>
      </w:tabs>
      <w:ind w:firstLine="567"/>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87" w:rsidRDefault="00000000">
    <w:pPr>
      <w:pBdr>
        <w:top w:val="nil"/>
        <w:left w:val="nil"/>
        <w:bottom w:val="nil"/>
        <w:right w:val="nil"/>
        <w:between w:val="nil"/>
      </w:pBdr>
      <w:tabs>
        <w:tab w:val="center" w:pos="3600"/>
        <w:tab w:val="right" w:pos="7200"/>
      </w:tabs>
      <w:ind w:firstLine="567"/>
      <w:jc w:val="center"/>
      <w:rPr>
        <w:color w:val="000000"/>
      </w:rPr>
    </w:pPr>
    <w:r>
      <w:rPr>
        <w:noProof/>
      </w:rPr>
      <w:drawing>
        <wp:inline distT="0" distB="0" distL="0" distR="0">
          <wp:extent cx="4499610" cy="627380"/>
          <wp:effectExtent l="0" t="0" r="0" b="0"/>
          <wp:docPr id="2055319384" name="image3.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Logotipo, nome da empresa&#10;&#10;O conteúdo gerado por IA pode estar incorreto."/>
                  <pic:cNvPicPr preferRelativeResize="0"/>
                </pic:nvPicPr>
                <pic:blipFill>
                  <a:blip r:embed="rId1"/>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1A3" w:rsidRDefault="00EE31A3">
      <w:r>
        <w:separator/>
      </w:r>
    </w:p>
  </w:footnote>
  <w:footnote w:type="continuationSeparator" w:id="0">
    <w:p w:rsidR="00EE31A3" w:rsidRDefault="00EE3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87" w:rsidRDefault="00000000">
    <w:pPr>
      <w:pBdr>
        <w:top w:val="nil"/>
        <w:left w:val="nil"/>
        <w:bottom w:val="nil"/>
        <w:right w:val="nil"/>
        <w:between w:val="nil"/>
      </w:pBdr>
      <w:tabs>
        <w:tab w:val="left" w:pos="2133"/>
        <w:tab w:val="center" w:pos="3600"/>
        <w:tab w:val="right" w:pos="7200"/>
        <w:tab w:val="right" w:pos="7088"/>
      </w:tabs>
      <w:rPr>
        <w:i/>
        <w:iCs/>
        <w:color w:val="000000"/>
      </w:rPr>
    </w:pPr>
    <w:r>
      <w:rPr>
        <w:noProof/>
      </w:rPr>
      <w:drawing>
        <wp:anchor distT="0" distB="0" distL="0" distR="0" simplePos="0" relativeHeight="251660288" behindDoc="0" locked="0" layoutInCell="1" hidden="0" allowOverlap="1">
          <wp:simplePos x="0" y="0"/>
          <wp:positionH relativeFrom="column">
            <wp:posOffset>-917354</wp:posOffset>
          </wp:positionH>
          <wp:positionV relativeFrom="paragraph">
            <wp:posOffset>-1071661</wp:posOffset>
          </wp:positionV>
          <wp:extent cx="7599638" cy="1439662"/>
          <wp:effectExtent l="0" t="0" r="0" b="0"/>
          <wp:wrapSquare wrapText="bothSides" distT="0" distB="0" distL="0" distR="0"/>
          <wp:docPr id="2055319386" name="image5.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5.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87" w:rsidRDefault="00000000">
    <w:pPr>
      <w:pBdr>
        <w:top w:val="nil"/>
        <w:left w:val="nil"/>
        <w:bottom w:val="nil"/>
        <w:right w:val="nil"/>
        <w:between w:val="nil"/>
      </w:pBdr>
      <w:tabs>
        <w:tab w:val="center" w:pos="3600"/>
        <w:tab w:val="right" w:pos="7200"/>
        <w:tab w:val="right" w:pos="7088"/>
      </w:tabs>
      <w:rPr>
        <w:color w:val="000000"/>
      </w:rPr>
    </w:pPr>
    <w:r>
      <w:rPr>
        <w:noProof/>
        <w:color w:val="000000"/>
      </w:rPr>
      <w:drawing>
        <wp:anchor distT="0" distB="0" distL="114300" distR="114300" simplePos="0" relativeHeight="251658240" behindDoc="0" locked="0" layoutInCell="1" hidden="0" allowOverlap="1">
          <wp:simplePos x="0" y="0"/>
          <wp:positionH relativeFrom="margin">
            <wp:posOffset>-920743</wp:posOffset>
          </wp:positionH>
          <wp:positionV relativeFrom="topMargin">
            <wp:posOffset>-835</wp:posOffset>
          </wp:positionV>
          <wp:extent cx="7596505" cy="1432560"/>
          <wp:effectExtent l="0" t="0" r="0" b="0"/>
          <wp:wrapSquare wrapText="bothSides" distT="0" distB="0" distL="114300" distR="114300"/>
          <wp:docPr id="20553193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87" w:rsidRDefault="00000000">
    <w:pPr>
      <w:tabs>
        <w:tab w:val="right" w:pos="7086"/>
      </w:tabs>
      <w:jc w:val="right"/>
      <w:rPr>
        <w:b/>
        <w:bCs/>
      </w:rPr>
    </w:pPr>
    <w:r>
      <w:rPr>
        <w:noProof/>
      </w:rPr>
      <w:drawing>
        <wp:anchor distT="0" distB="0" distL="114300" distR="114300" simplePos="0" relativeHeight="251659264" behindDoc="0" locked="0" layoutInCell="1" hidden="0" allowOverlap="1">
          <wp:simplePos x="0" y="0"/>
          <wp:positionH relativeFrom="column">
            <wp:posOffset>-900423</wp:posOffset>
          </wp:positionH>
          <wp:positionV relativeFrom="paragraph">
            <wp:posOffset>-1080128</wp:posOffset>
          </wp:positionV>
          <wp:extent cx="7596505" cy="1432560"/>
          <wp:effectExtent l="0" t="0" r="0" b="0"/>
          <wp:wrapSquare wrapText="bothSides" distT="0" distB="0" distL="114300" distR="114300"/>
          <wp:docPr id="20553193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5E18"/>
    <w:multiLevelType w:val="multilevel"/>
    <w:tmpl w:val="15DC02EC"/>
    <w:lvl w:ilvl="0">
      <w:start w:val="1"/>
      <w:numFmt w:val="decimal"/>
      <w:lvlText w:val="%1."/>
      <w:lvlJc w:val="left"/>
      <w:pPr>
        <w:ind w:left="720" w:hanging="360"/>
      </w:pPr>
    </w:lvl>
    <w:lvl w:ilvl="1">
      <w:start w:val="1"/>
      <w:numFmt w:val="decimal"/>
      <w:lvlText w:val="%1.%2."/>
      <w:lvlJc w:val="left"/>
      <w:pPr>
        <w:ind w:left="1080" w:hanging="360"/>
      </w:pPr>
      <w:rPr>
        <w:i w:val="0"/>
        <w:iCs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600" w:hanging="108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 w15:restartNumberingAfterBreak="0">
    <w:nsid w:val="61694C17"/>
    <w:multiLevelType w:val="multilevel"/>
    <w:tmpl w:val="89062482"/>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80579868">
    <w:abstractNumId w:val="0"/>
  </w:num>
  <w:num w:numId="2" w16cid:durableId="18821764">
    <w:abstractNumId w:val="1"/>
  </w:num>
  <w:num w:numId="3" w16cid:durableId="989331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87"/>
    <w:rsid w:val="00004520"/>
    <w:rsid w:val="00115C50"/>
    <w:rsid w:val="001D3432"/>
    <w:rsid w:val="003B1D60"/>
    <w:rsid w:val="007120DC"/>
    <w:rsid w:val="009D7300"/>
    <w:rsid w:val="00B51E87"/>
    <w:rsid w:val="00DD52CF"/>
    <w:rsid w:val="00DF2804"/>
    <w:rsid w:val="00E63C2C"/>
    <w:rsid w:val="00EE31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11FD"/>
  <w15:docId w15:val="{1F546524-DB0E-42EF-8AC1-86529DA7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804"/>
  </w:style>
  <w:style w:type="paragraph" w:styleId="Ttulo1">
    <w:name w:val="heading 1"/>
    <w:basedOn w:val="Normal"/>
    <w:next w:val="Normal"/>
    <w:uiPriority w:val="9"/>
    <w:qFormat/>
    <w:pPr>
      <w:keepNext/>
      <w:keepLines/>
      <w:spacing w:before="240"/>
      <w:outlineLvl w:val="0"/>
    </w:pPr>
    <w:rPr>
      <w:b/>
      <w:bCs/>
      <w:color w:val="000000"/>
      <w:sz w:val="28"/>
      <w:szCs w:val="28"/>
    </w:rPr>
  </w:style>
  <w:style w:type="paragraph" w:styleId="Ttulo2">
    <w:name w:val="heading 2"/>
    <w:basedOn w:val="Normal"/>
    <w:next w:val="Normal"/>
    <w:uiPriority w:val="9"/>
    <w:unhideWhenUsed/>
    <w:qFormat/>
    <w:pPr>
      <w:keepNext/>
      <w:keepLines/>
      <w:spacing w:before="360" w:after="80"/>
      <w:ind w:left="720"/>
      <w:outlineLvl w:val="1"/>
    </w:pPr>
    <w:rPr>
      <w:b/>
      <w:bCs/>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paragraph" w:styleId="Legenda">
    <w:name w:val="caption"/>
    <w:basedOn w:val="Els-caption"/>
    <w:next w:val="Els-caption"/>
    <w:qFormat/>
    <w:rsid w:val="001D026F"/>
    <w:pPr>
      <w:spacing w:before="0" w:after="0"/>
    </w:pPr>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2"/>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2"/>
      </w:numPr>
      <w:suppressAutoHyphens/>
      <w:spacing w:before="80"/>
    </w:pPr>
    <w:rPr>
      <w:i/>
    </w:rPr>
  </w:style>
  <w:style w:type="paragraph" w:customStyle="1" w:styleId="Els-3rdorder-head">
    <w:name w:val="Els-3rdorder-head"/>
    <w:basedOn w:val="Els-body-text"/>
    <w:next w:val="Els-body-text"/>
    <w:rsid w:val="008B0184"/>
    <w:pPr>
      <w:keepNext/>
      <w:numPr>
        <w:ilvl w:val="3"/>
        <w:numId w:val="2"/>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3"/>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lang w:eastAsia="en-US"/>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B47F30"/>
    <w:rPr>
      <w:rFonts w:asciiTheme="minorHAnsi" w:eastAsiaTheme="minorHAnsi" w:hAnsiTheme="minorHAnsi" w:cstheme="minorBidi"/>
      <w:sz w:val="22"/>
      <w:szCs w:val="22"/>
      <w:lang w:eastAsia="en-US"/>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style>
  <w:style w:type="character" w:customStyle="1" w:styleId="comma-separator1">
    <w:name w:val="comma-separator1"/>
    <w:basedOn w:val="Fontepargpadro"/>
    <w:rsid w:val="00FA2CC0"/>
  </w:style>
  <w:style w:type="character" w:customStyle="1" w:styleId="Ttulo1Char">
    <w:name w:val="Título 1 Char"/>
    <w:basedOn w:val="Fontepargpadro"/>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lang w:eastAsia="en-US"/>
    </w:rPr>
  </w:style>
  <w:style w:type="table" w:customStyle="1" w:styleId="a">
    <w:basedOn w:val="TableNormal5"/>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table" w:customStyle="1" w:styleId="a0">
    <w:basedOn w:val="TableNormal3"/>
    <w:tblPr>
      <w:tblStyleRowBandSize w:val="1"/>
      <w:tblStyleColBandSize w:val="1"/>
    </w:tblPr>
  </w:style>
  <w:style w:type="paragraph" w:styleId="NormalWeb">
    <w:name w:val="Normal (Web)"/>
    <w:basedOn w:val="Normal"/>
    <w:uiPriority w:val="99"/>
    <w:unhideWhenUsed/>
    <w:rsid w:val="004243E3"/>
    <w:pPr>
      <w:spacing w:before="100" w:beforeAutospacing="1" w:after="100" w:afterAutospacing="1"/>
      <w:jc w:val="left"/>
    </w:p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styleId="TabeladeLista2">
    <w:name w:val="List Table 2"/>
    <w:basedOn w:val="Tabelanormal"/>
    <w:uiPriority w:val="47"/>
    <w:rsid w:val="00017BD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argrafodaLista">
    <w:name w:val="List Paragraph"/>
    <w:basedOn w:val="Normal"/>
    <w:uiPriority w:val="34"/>
    <w:qFormat/>
    <w:rsid w:val="00017BD8"/>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0"/>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Lista6Colorida">
    <w:name w:val="List Table 6 Colorful"/>
    <w:basedOn w:val="Tabelanormal"/>
    <w:uiPriority w:val="51"/>
    <w:rsid w:val="00DF280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cTI6czB0aitN8GE6yW8uvL89XA==">CgMxLjAyDmgucTJxMTBvd3lucjQxMg5oLmIwdTJtOHkxbzFxYTIOaC5senVpamI3cGQwdmkyDmguYmoxMTB0bmpsNGx1Mg5oLm1pcGNkM2VoMzhyZDIOaC44YjJ3N2M2c2VqemQyDmgua2E4Y3Q0b3UxbjlkMg5oLmFqZHZhMG43MHFyaTgAciExZWtOUkljNmwxTHBCdWpuNDMyYTFrUDduLW9rVHBodzU=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2347</Words>
  <Characters>12677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Vitor Lima</cp:lastModifiedBy>
  <cp:revision>4</cp:revision>
  <dcterms:created xsi:type="dcterms:W3CDTF">2026-02-03T14:29:00Z</dcterms:created>
  <dcterms:modified xsi:type="dcterms:W3CDTF">2026-04-01T12:05:00Z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ies>
</file>