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9FBA4" w14:textId="3CFFF99F" w:rsidR="00177642" w:rsidRDefault="00AB193F" w:rsidP="00AB193F">
      <w:pPr>
        <w:pBdr>
          <w:top w:val="nil"/>
          <w:left w:val="nil"/>
          <w:bottom w:val="nil"/>
          <w:right w:val="nil"/>
          <w:between w:val="nil"/>
        </w:pBdr>
        <w:spacing w:before="240" w:after="120" w:line="360" w:lineRule="auto"/>
        <w:rPr>
          <w:rFonts w:eastAsia="Times New Roman" w:cs="Times New Roman"/>
          <w:b/>
          <w:bCs/>
          <w:color w:val="000000"/>
          <w:sz w:val="32"/>
          <w:szCs w:val="32"/>
        </w:rPr>
      </w:pPr>
      <w:r>
        <w:rPr>
          <w:rFonts w:eastAsia="Times New Roman" w:cs="Times New Roman"/>
          <w:b/>
          <w:bCs/>
          <w:color w:val="000000"/>
          <w:sz w:val="32"/>
          <w:szCs w:val="32"/>
        </w:rPr>
        <w:t xml:space="preserve">Simulação do processo de fabricação de Diesel Verde e Querosene de aviação a partir de óleo de mamona </w:t>
      </w:r>
      <w:r w:rsidRPr="00AB193F">
        <w:rPr>
          <w:rFonts w:eastAsia="Times New Roman" w:cs="Times New Roman"/>
          <w:b/>
          <w:bCs/>
          <w:color w:val="000000"/>
          <w:sz w:val="32"/>
          <w:szCs w:val="32"/>
        </w:rPr>
        <w:t>(</w:t>
      </w:r>
      <w:proofErr w:type="spellStart"/>
      <w:r w:rsidR="003F2BB0" w:rsidRPr="003F2BB0">
        <w:rPr>
          <w:rFonts w:eastAsia="Times New Roman" w:cs="Times New Roman"/>
          <w:b/>
          <w:bCs/>
          <w:i/>
          <w:iCs/>
          <w:color w:val="000000"/>
          <w:sz w:val="32"/>
          <w:szCs w:val="32"/>
        </w:rPr>
        <w:t>Ricinus</w:t>
      </w:r>
      <w:proofErr w:type="spellEnd"/>
      <w:r w:rsidR="003F2BB0" w:rsidRPr="003F2BB0">
        <w:rPr>
          <w:rFonts w:eastAsia="Times New Roman" w:cs="Times New Roman"/>
          <w:b/>
          <w:bCs/>
          <w:i/>
          <w:iCs/>
          <w:color w:val="000000"/>
          <w:sz w:val="32"/>
          <w:szCs w:val="32"/>
        </w:rPr>
        <w:t xml:space="preserve"> </w:t>
      </w:r>
      <w:proofErr w:type="spellStart"/>
      <w:r w:rsidR="003F2BB0" w:rsidRPr="003F2BB0">
        <w:rPr>
          <w:rFonts w:eastAsia="Times New Roman" w:cs="Times New Roman"/>
          <w:b/>
          <w:bCs/>
          <w:i/>
          <w:iCs/>
          <w:color w:val="000000"/>
          <w:sz w:val="32"/>
          <w:szCs w:val="32"/>
        </w:rPr>
        <w:t>communis</w:t>
      </w:r>
      <w:proofErr w:type="spellEnd"/>
      <w:r w:rsidR="003F2BB0" w:rsidRPr="003F2BB0">
        <w:rPr>
          <w:rFonts w:eastAsia="Times New Roman" w:cs="Times New Roman"/>
          <w:b/>
          <w:bCs/>
          <w:i/>
          <w:iCs/>
          <w:color w:val="000000"/>
          <w:sz w:val="32"/>
          <w:szCs w:val="32"/>
        </w:rPr>
        <w:t xml:space="preserve"> </w:t>
      </w:r>
      <w:r w:rsidRPr="00AB193F">
        <w:rPr>
          <w:rFonts w:eastAsia="Times New Roman" w:cs="Times New Roman"/>
          <w:b/>
          <w:bCs/>
          <w:i/>
          <w:iCs/>
          <w:color w:val="000000"/>
          <w:sz w:val="32"/>
          <w:szCs w:val="32"/>
        </w:rPr>
        <w:t>L.</w:t>
      </w:r>
      <w:r w:rsidRPr="00AB193F">
        <w:rPr>
          <w:rFonts w:eastAsia="Times New Roman" w:cs="Times New Roman"/>
          <w:b/>
          <w:bCs/>
          <w:color w:val="000000"/>
          <w:sz w:val="32"/>
          <w:szCs w:val="32"/>
        </w:rPr>
        <w:t>)</w:t>
      </w:r>
    </w:p>
    <w:p w14:paraId="7B47B358" w14:textId="146FA57D" w:rsidR="00177642" w:rsidRPr="000633C5" w:rsidRDefault="000633C5">
      <w:pPr>
        <w:keepNext/>
        <w:pBdr>
          <w:top w:val="nil"/>
          <w:left w:val="nil"/>
          <w:bottom w:val="nil"/>
          <w:right w:val="nil"/>
          <w:between w:val="nil"/>
        </w:pBdr>
        <w:spacing w:after="60" w:line="310" w:lineRule="auto"/>
        <w:jc w:val="center"/>
        <w:rPr>
          <w:rFonts w:eastAsia="Times New Roman" w:cs="Times New Roman"/>
          <w:color w:val="000000"/>
          <w:sz w:val="22"/>
          <w:szCs w:val="22"/>
        </w:rPr>
      </w:pPr>
      <w:r>
        <w:rPr>
          <w:rFonts w:eastAsia="Times New Roman" w:cs="Times New Roman"/>
          <w:color w:val="000000"/>
          <w:sz w:val="22"/>
          <w:szCs w:val="22"/>
        </w:rPr>
        <w:t xml:space="preserve">Venancio Vitor Lima da S. </w:t>
      </w:r>
      <w:proofErr w:type="spellStart"/>
      <w:r>
        <w:rPr>
          <w:rFonts w:eastAsia="Times New Roman" w:cs="Times New Roman"/>
          <w:color w:val="000000"/>
          <w:sz w:val="22"/>
          <w:szCs w:val="22"/>
        </w:rPr>
        <w:t>Bezerra</w:t>
      </w:r>
      <w:r>
        <w:rPr>
          <w:rFonts w:eastAsia="Times New Roman" w:cs="Times New Roman"/>
          <w:color w:val="000000"/>
          <w:sz w:val="22"/>
          <w:szCs w:val="22"/>
          <w:vertAlign w:val="superscript"/>
        </w:rPr>
        <w:t>a</w:t>
      </w:r>
      <w:proofErr w:type="spellEnd"/>
      <w:r w:rsidR="00371939">
        <w:rPr>
          <w:rFonts w:eastAsia="Times New Roman" w:cs="Times New Roman"/>
          <w:color w:val="000000"/>
          <w:sz w:val="22"/>
          <w:szCs w:val="22"/>
          <w:vertAlign w:val="superscript"/>
        </w:rPr>
        <w:t>*</w:t>
      </w:r>
      <w:r>
        <w:rPr>
          <w:rFonts w:eastAsia="Times New Roman" w:cs="Times New Roman"/>
          <w:color w:val="000000"/>
          <w:sz w:val="22"/>
          <w:szCs w:val="22"/>
        </w:rPr>
        <w:t>,</w:t>
      </w:r>
      <w:r w:rsidR="00371939">
        <w:rPr>
          <w:rFonts w:eastAsia="Times New Roman" w:cs="Times New Roman"/>
          <w:color w:val="000000"/>
          <w:sz w:val="22"/>
          <w:szCs w:val="22"/>
        </w:rPr>
        <w:t xml:space="preserve"> </w:t>
      </w:r>
      <w:r w:rsidR="00371939">
        <w:rPr>
          <w:rFonts w:eastAsia="Times New Roman" w:cs="Times New Roman"/>
          <w:color w:val="000000"/>
          <w:sz w:val="22"/>
          <w:szCs w:val="22"/>
        </w:rPr>
        <w:t xml:space="preserve">Fernanda </w:t>
      </w:r>
      <w:proofErr w:type="spellStart"/>
      <w:r w:rsidR="00371939">
        <w:rPr>
          <w:rFonts w:eastAsia="Times New Roman" w:cs="Times New Roman"/>
          <w:color w:val="000000"/>
          <w:sz w:val="22"/>
          <w:szCs w:val="22"/>
        </w:rPr>
        <w:t>Kyvia</w:t>
      </w:r>
      <w:proofErr w:type="spellEnd"/>
      <w:r w:rsidR="00371939">
        <w:rPr>
          <w:rFonts w:eastAsia="Times New Roman" w:cs="Times New Roman"/>
          <w:color w:val="000000"/>
          <w:sz w:val="22"/>
          <w:szCs w:val="22"/>
        </w:rPr>
        <w:t xml:space="preserve"> M. </w:t>
      </w:r>
      <w:proofErr w:type="spellStart"/>
      <w:r w:rsidR="00371939">
        <w:rPr>
          <w:rFonts w:eastAsia="Times New Roman" w:cs="Times New Roman"/>
          <w:color w:val="000000"/>
          <w:sz w:val="22"/>
          <w:szCs w:val="22"/>
        </w:rPr>
        <w:t>Mendonça</w:t>
      </w:r>
      <w:r w:rsidR="00371939">
        <w:rPr>
          <w:rFonts w:eastAsia="Times New Roman" w:cs="Times New Roman"/>
          <w:color w:val="000000"/>
          <w:sz w:val="22"/>
          <w:szCs w:val="22"/>
          <w:vertAlign w:val="superscript"/>
        </w:rPr>
        <w:t>a</w:t>
      </w:r>
      <w:proofErr w:type="spellEnd"/>
      <w:r w:rsidR="00371939">
        <w:rPr>
          <w:rFonts w:eastAsia="Times New Roman" w:cs="Times New Roman"/>
          <w:color w:val="000000"/>
          <w:sz w:val="22"/>
          <w:szCs w:val="22"/>
        </w:rPr>
        <w:t>,</w:t>
      </w:r>
      <w:r>
        <w:rPr>
          <w:rFonts w:eastAsia="Times New Roman" w:cs="Times New Roman"/>
          <w:color w:val="000000"/>
          <w:sz w:val="22"/>
          <w:szCs w:val="22"/>
        </w:rPr>
        <w:t xml:space="preserve"> Jonathan da Cunha </w:t>
      </w:r>
      <w:proofErr w:type="spellStart"/>
      <w:r>
        <w:rPr>
          <w:rFonts w:eastAsia="Times New Roman" w:cs="Times New Roman"/>
          <w:color w:val="000000"/>
          <w:sz w:val="22"/>
          <w:szCs w:val="22"/>
        </w:rPr>
        <w:t>Teixeira</w:t>
      </w:r>
      <w:r>
        <w:rPr>
          <w:rFonts w:eastAsia="Times New Roman" w:cs="Times New Roman"/>
          <w:color w:val="000000"/>
          <w:sz w:val="22"/>
          <w:szCs w:val="22"/>
          <w:vertAlign w:val="superscript"/>
        </w:rPr>
        <w:t>a</w:t>
      </w:r>
      <w:proofErr w:type="spellEnd"/>
    </w:p>
    <w:p w14:paraId="1A88EE6E" w14:textId="1FC4FF58" w:rsidR="00177642" w:rsidRDefault="00000000" w:rsidP="000633C5">
      <w:pPr>
        <w:pBdr>
          <w:top w:val="nil"/>
          <w:left w:val="nil"/>
          <w:bottom w:val="nil"/>
          <w:right w:val="nil"/>
          <w:between w:val="nil"/>
        </w:pBdr>
        <w:jc w:val="center"/>
        <w:rPr>
          <w:rFonts w:eastAsia="Times New Roman" w:cs="Times New Roman"/>
          <w:i/>
          <w:iCs/>
          <w:color w:val="000000"/>
          <w:szCs w:val="20"/>
        </w:rPr>
      </w:pPr>
      <w:proofErr w:type="spellStart"/>
      <w:r>
        <w:rPr>
          <w:rFonts w:eastAsia="Times New Roman" w:cs="Times New Roman"/>
          <w:i/>
          <w:iCs/>
          <w:color w:val="000000"/>
          <w:szCs w:val="20"/>
          <w:vertAlign w:val="superscript"/>
        </w:rPr>
        <w:t>a</w:t>
      </w:r>
      <w:r w:rsidR="000633C5">
        <w:rPr>
          <w:rFonts w:eastAsia="Times New Roman" w:cs="Times New Roman"/>
          <w:i/>
          <w:iCs/>
          <w:color w:val="000000"/>
          <w:szCs w:val="20"/>
        </w:rPr>
        <w:t>Universidade</w:t>
      </w:r>
      <w:proofErr w:type="spellEnd"/>
      <w:r w:rsidR="000633C5">
        <w:rPr>
          <w:rFonts w:eastAsia="Times New Roman" w:cs="Times New Roman"/>
          <w:i/>
          <w:iCs/>
          <w:color w:val="000000"/>
          <w:szCs w:val="20"/>
        </w:rPr>
        <w:t xml:space="preserve"> Federal de Alagoas, Centro de Tecnologia (</w:t>
      </w:r>
      <w:proofErr w:type="spellStart"/>
      <w:r w:rsidR="000633C5">
        <w:rPr>
          <w:rFonts w:eastAsia="Times New Roman" w:cs="Times New Roman"/>
          <w:i/>
          <w:iCs/>
          <w:color w:val="000000"/>
          <w:szCs w:val="20"/>
        </w:rPr>
        <w:t>CTEC</w:t>
      </w:r>
      <w:proofErr w:type="spellEnd"/>
      <w:r w:rsidR="000633C5">
        <w:rPr>
          <w:rFonts w:eastAsia="Times New Roman" w:cs="Times New Roman"/>
          <w:i/>
          <w:iCs/>
          <w:color w:val="000000"/>
          <w:szCs w:val="20"/>
        </w:rPr>
        <w:t>), Maceió – AL, Brasil</w:t>
      </w:r>
    </w:p>
    <w:p w14:paraId="122FBFBD" w14:textId="1F10770A" w:rsidR="00177642" w:rsidRDefault="00000000">
      <w:pPr>
        <w:pBdr>
          <w:top w:val="nil"/>
          <w:left w:val="nil"/>
          <w:bottom w:val="nil"/>
          <w:right w:val="nil"/>
          <w:between w:val="nil"/>
        </w:pBdr>
        <w:jc w:val="center"/>
        <w:rPr>
          <w:rFonts w:eastAsia="Times New Roman" w:cs="Times New Roman"/>
          <w:i/>
          <w:iCs/>
          <w:color w:val="000000"/>
          <w:szCs w:val="20"/>
        </w:rPr>
      </w:pPr>
      <w:r>
        <w:rPr>
          <w:rFonts w:eastAsia="Times New Roman" w:cs="Times New Roman"/>
          <w:i/>
          <w:iCs/>
          <w:color w:val="000000"/>
          <w:szCs w:val="20"/>
        </w:rPr>
        <w:t>*</w:t>
      </w:r>
      <w:proofErr w:type="spellStart"/>
      <w:r w:rsidR="00371939">
        <w:rPr>
          <w:rFonts w:eastAsia="Times New Roman" w:cs="Times New Roman"/>
          <w:i/>
          <w:iCs/>
          <w:color w:val="000000"/>
          <w:szCs w:val="20"/>
        </w:rPr>
        <w:t>limvitor</w:t>
      </w:r>
      <w:r>
        <w:rPr>
          <w:rFonts w:eastAsia="Times New Roman" w:cs="Times New Roman"/>
          <w:i/>
          <w:iCs/>
          <w:color w:val="000000"/>
          <w:szCs w:val="20"/>
        </w:rPr>
        <w:t>@</w:t>
      </w:r>
      <w:r w:rsidR="00422C25">
        <w:rPr>
          <w:rFonts w:eastAsia="Times New Roman" w:cs="Times New Roman"/>
          <w:i/>
          <w:iCs/>
          <w:color w:val="000000"/>
          <w:szCs w:val="20"/>
        </w:rPr>
        <w:t>gmail.com</w:t>
      </w:r>
      <w:proofErr w:type="spellEnd"/>
    </w:p>
    <w:p w14:paraId="4CDB7DF7" w14:textId="77777777" w:rsidR="00177642" w:rsidRDefault="00000000">
      <w:pPr>
        <w:keepNext/>
        <w:pBdr>
          <w:top w:val="nil"/>
          <w:left w:val="nil"/>
          <w:bottom w:val="nil"/>
          <w:right w:val="nil"/>
          <w:between w:val="nil"/>
        </w:pBdr>
        <w:spacing w:before="240" w:after="60"/>
        <w:jc w:val="center"/>
        <w:rPr>
          <w:rFonts w:eastAsia="Times New Roman" w:cs="Times New Roman"/>
          <w:b/>
          <w:bCs/>
          <w:color w:val="000000"/>
          <w:szCs w:val="20"/>
        </w:rPr>
      </w:pPr>
      <w:r>
        <w:rPr>
          <w:rFonts w:eastAsia="Times New Roman" w:cs="Times New Roman"/>
          <w:b/>
          <w:bCs/>
          <w:color w:val="000000"/>
          <w:szCs w:val="20"/>
        </w:rPr>
        <w:t>RESUMO</w:t>
      </w:r>
    </w:p>
    <w:p w14:paraId="71BE8CBD" w14:textId="5BDE8CE3" w:rsidR="00E52CC7" w:rsidRDefault="003F2BB0" w:rsidP="00AE0A25">
      <w:pPr>
        <w:pBdr>
          <w:top w:val="nil"/>
          <w:left w:val="nil"/>
          <w:bottom w:val="nil"/>
          <w:right w:val="nil"/>
          <w:between w:val="nil"/>
        </w:pBdr>
        <w:ind w:firstLine="720"/>
        <w:jc w:val="both"/>
        <w:rPr>
          <w:rFonts w:eastAsia="Times New Roman" w:cs="Times New Roman"/>
          <w:color w:val="000000"/>
          <w:szCs w:val="20"/>
        </w:rPr>
      </w:pPr>
      <w:r w:rsidRPr="003F2BB0">
        <w:rPr>
          <w:rFonts w:eastAsia="Times New Roman" w:cs="Times New Roman"/>
          <w:color w:val="000000"/>
          <w:szCs w:val="20"/>
        </w:rPr>
        <w:t>Com o crescimento contínuo da demanda energética mundial e o elevado consumo de Diesel</w:t>
      </w:r>
      <w:r w:rsidR="00AE0A25">
        <w:rPr>
          <w:rFonts w:eastAsia="Times New Roman" w:cs="Times New Roman"/>
          <w:color w:val="000000"/>
          <w:szCs w:val="20"/>
        </w:rPr>
        <w:t xml:space="preserve"> e Querosene</w:t>
      </w:r>
      <w:r w:rsidRPr="003F2BB0">
        <w:rPr>
          <w:rFonts w:eastAsia="Times New Roman" w:cs="Times New Roman"/>
          <w:color w:val="000000"/>
          <w:szCs w:val="20"/>
        </w:rPr>
        <w:t>, novas tecnologias vêm sendo desenvolvidas para atender às necessidades do setor de transportes, responsável por grande parte das emissões de gases de efeito estufa (GEE). Nesse contexto, fontes renováveis de energia surgem como alternativas estratégicas para mitigar tais impactos. Diante disso, pesquisas têm avançado na busca por rotas tecnológicas capazes de produzir combustíveis com identidade química equivalente ao Diesel</w:t>
      </w:r>
      <w:r w:rsidR="00E52CC7">
        <w:rPr>
          <w:rFonts w:eastAsia="Times New Roman" w:cs="Times New Roman"/>
          <w:color w:val="000000"/>
          <w:szCs w:val="20"/>
        </w:rPr>
        <w:t xml:space="preserve"> e Querosene</w:t>
      </w:r>
      <w:r w:rsidRPr="003F2BB0">
        <w:rPr>
          <w:rFonts w:eastAsia="Times New Roman" w:cs="Times New Roman"/>
          <w:color w:val="000000"/>
          <w:szCs w:val="20"/>
        </w:rPr>
        <w:t xml:space="preserve"> fóss</w:t>
      </w:r>
      <w:r w:rsidR="00E52CC7">
        <w:rPr>
          <w:rFonts w:eastAsia="Times New Roman" w:cs="Times New Roman"/>
          <w:color w:val="000000"/>
          <w:szCs w:val="20"/>
        </w:rPr>
        <w:t>eis</w:t>
      </w:r>
      <w:r w:rsidRPr="003F2BB0">
        <w:rPr>
          <w:rFonts w:eastAsia="Times New Roman" w:cs="Times New Roman"/>
          <w:color w:val="000000"/>
          <w:szCs w:val="20"/>
        </w:rPr>
        <w:t>, destacando-se o chamado Diesel Verde</w:t>
      </w:r>
      <w:r w:rsidR="00E52CC7">
        <w:rPr>
          <w:rFonts w:eastAsia="Times New Roman" w:cs="Times New Roman"/>
          <w:color w:val="000000"/>
          <w:szCs w:val="20"/>
        </w:rPr>
        <w:t xml:space="preserve"> e o Combustível Sustentável de Aviação (SAF)</w:t>
      </w:r>
      <w:r w:rsidRPr="003F2BB0">
        <w:rPr>
          <w:rFonts w:eastAsia="Times New Roman" w:cs="Times New Roman"/>
          <w:color w:val="000000"/>
          <w:szCs w:val="20"/>
        </w:rPr>
        <w:t>.</w:t>
      </w:r>
      <w:r w:rsidRPr="003F2BB0">
        <w:rPr>
          <w:rFonts w:eastAsia="Times New Roman" w:cs="Times New Roman"/>
          <w:color w:val="000000"/>
          <w:szCs w:val="20"/>
        </w:rPr>
        <w:t xml:space="preserve"> </w:t>
      </w:r>
    </w:p>
    <w:p w14:paraId="4ABF0577" w14:textId="1D68EB4C" w:rsidR="003F2BB0" w:rsidRPr="00AE0A25" w:rsidRDefault="003F2BB0" w:rsidP="00AE0A25">
      <w:pPr>
        <w:pBdr>
          <w:top w:val="nil"/>
          <w:left w:val="nil"/>
          <w:bottom w:val="nil"/>
          <w:right w:val="nil"/>
          <w:between w:val="nil"/>
        </w:pBdr>
        <w:ind w:firstLine="720"/>
        <w:jc w:val="both"/>
        <w:rPr>
          <w:rFonts w:eastAsia="Times New Roman" w:cs="Times New Roman"/>
          <w:color w:val="000000"/>
          <w:szCs w:val="20"/>
        </w:rPr>
      </w:pPr>
      <w:r>
        <w:rPr>
          <w:rFonts w:eastAsia="Times New Roman" w:cs="Times New Roman"/>
          <w:color w:val="000000"/>
          <w:szCs w:val="20"/>
        </w:rPr>
        <w:t>Frente aos diferentes tipos de biomassas existentes no Brasil, a mamona (</w:t>
      </w:r>
      <w:proofErr w:type="spellStart"/>
      <w:r w:rsidRPr="003F2BB0">
        <w:rPr>
          <w:rFonts w:eastAsia="Times New Roman" w:cs="Times New Roman"/>
          <w:i/>
          <w:iCs/>
          <w:color w:val="000000"/>
          <w:szCs w:val="20"/>
        </w:rPr>
        <w:t>Ricinus</w:t>
      </w:r>
      <w:proofErr w:type="spellEnd"/>
      <w:r w:rsidRPr="003F2BB0">
        <w:rPr>
          <w:rFonts w:eastAsia="Times New Roman" w:cs="Times New Roman"/>
          <w:i/>
          <w:iCs/>
          <w:color w:val="000000"/>
          <w:szCs w:val="20"/>
        </w:rPr>
        <w:t xml:space="preserve"> </w:t>
      </w:r>
      <w:proofErr w:type="spellStart"/>
      <w:r w:rsidRPr="003F2BB0">
        <w:rPr>
          <w:rFonts w:eastAsia="Times New Roman" w:cs="Times New Roman"/>
          <w:i/>
          <w:iCs/>
          <w:color w:val="000000"/>
          <w:szCs w:val="20"/>
        </w:rPr>
        <w:t>communis</w:t>
      </w:r>
      <w:proofErr w:type="spellEnd"/>
      <w:r>
        <w:rPr>
          <w:rFonts w:eastAsia="Times New Roman" w:cs="Times New Roman"/>
          <w:i/>
          <w:iCs/>
          <w:color w:val="000000"/>
          <w:szCs w:val="20"/>
        </w:rPr>
        <w:t xml:space="preserve"> L.</w:t>
      </w:r>
      <w:r>
        <w:rPr>
          <w:rFonts w:eastAsia="Times New Roman" w:cs="Times New Roman"/>
          <w:color w:val="000000"/>
          <w:szCs w:val="20"/>
        </w:rPr>
        <w:t xml:space="preserve">) tem mostrado forte potencial para fabricação de biocombustíveis, uma vez que seu óleo apresenta diferentes tipos de triglicerídeos. </w:t>
      </w:r>
      <w:r w:rsidR="00AE0A25">
        <w:rPr>
          <w:rFonts w:eastAsia="Times New Roman" w:cs="Times New Roman"/>
          <w:color w:val="000000"/>
          <w:szCs w:val="20"/>
        </w:rPr>
        <w:t xml:space="preserve">Atualmente, com o uso de recursos computacionais, torna-se possível simular processos químicos de diferentes perfis, sendo assim possível definir </w:t>
      </w:r>
      <w:r w:rsidR="00E52CC7">
        <w:rPr>
          <w:rFonts w:eastAsia="Times New Roman" w:cs="Times New Roman"/>
          <w:color w:val="000000"/>
          <w:szCs w:val="20"/>
        </w:rPr>
        <w:t>diferentes</w:t>
      </w:r>
      <w:r w:rsidR="00AE0A25">
        <w:rPr>
          <w:rFonts w:eastAsia="Times New Roman" w:cs="Times New Roman"/>
          <w:color w:val="000000"/>
          <w:szCs w:val="20"/>
        </w:rPr>
        <w:t xml:space="preserve"> linhas de processo. O presente trabalho apresenta a simulação do processo de Diesel</w:t>
      </w:r>
      <w:r w:rsidR="00E52CC7">
        <w:rPr>
          <w:rFonts w:eastAsia="Times New Roman" w:cs="Times New Roman"/>
          <w:color w:val="000000"/>
          <w:szCs w:val="20"/>
        </w:rPr>
        <w:t xml:space="preserve"> Verde</w:t>
      </w:r>
      <w:r w:rsidR="00AE0A25">
        <w:rPr>
          <w:rFonts w:eastAsia="Times New Roman" w:cs="Times New Roman"/>
          <w:color w:val="000000"/>
          <w:szCs w:val="20"/>
        </w:rPr>
        <w:t xml:space="preserve"> e SAF a partir do óleo de mamona no </w:t>
      </w:r>
      <w:r w:rsidR="00AE0A25">
        <w:rPr>
          <w:rFonts w:eastAsia="Times New Roman" w:cs="Times New Roman"/>
          <w:i/>
          <w:iCs/>
          <w:color w:val="000000"/>
          <w:szCs w:val="20"/>
        </w:rPr>
        <w:t>software</w:t>
      </w:r>
      <w:r w:rsidR="00AE0A25">
        <w:rPr>
          <w:rFonts w:eastAsia="Times New Roman" w:cs="Times New Roman"/>
          <w:color w:val="000000"/>
          <w:szCs w:val="20"/>
        </w:rPr>
        <w:t xml:space="preserve"> </w:t>
      </w:r>
      <w:proofErr w:type="spellStart"/>
      <w:r w:rsidR="00AE0A25">
        <w:rPr>
          <w:rFonts w:eastAsia="Times New Roman" w:cs="Times New Roman"/>
          <w:color w:val="000000"/>
          <w:szCs w:val="20"/>
        </w:rPr>
        <w:t>DWSIM</w:t>
      </w:r>
      <w:proofErr w:type="spellEnd"/>
      <w:r w:rsidR="00AE0A25">
        <w:rPr>
          <w:rFonts w:eastAsia="Times New Roman" w:cs="Times New Roman"/>
          <w:color w:val="000000"/>
          <w:szCs w:val="20"/>
        </w:rPr>
        <w:t>.</w:t>
      </w:r>
    </w:p>
    <w:p w14:paraId="091E87F0" w14:textId="1C54064F" w:rsidR="00AB193F" w:rsidRPr="00AE0A25" w:rsidRDefault="00750DDB" w:rsidP="00AE0A25">
      <w:pPr>
        <w:pBdr>
          <w:top w:val="nil"/>
          <w:left w:val="nil"/>
          <w:bottom w:val="nil"/>
          <w:right w:val="nil"/>
          <w:between w:val="nil"/>
        </w:pBdr>
        <w:ind w:firstLine="720"/>
        <w:jc w:val="both"/>
        <w:rPr>
          <w:rFonts w:eastAsia="Times New Roman" w:cs="Times New Roman"/>
          <w:color w:val="000000"/>
          <w:szCs w:val="20"/>
        </w:rPr>
      </w:pPr>
      <w:r>
        <w:rPr>
          <w:rFonts w:eastAsia="Times New Roman" w:cs="Times New Roman"/>
          <w:color w:val="000000"/>
          <w:szCs w:val="20"/>
        </w:rPr>
        <w:t>Para simulação do processo de obtenção de Diesel Verde e Querosene de Aviação</w:t>
      </w:r>
      <w:r w:rsidR="00213CB0">
        <w:rPr>
          <w:rFonts w:eastAsia="Times New Roman" w:cs="Times New Roman"/>
          <w:color w:val="000000"/>
          <w:szCs w:val="20"/>
        </w:rPr>
        <w:t xml:space="preserve"> (SAF)</w:t>
      </w:r>
      <w:r>
        <w:rPr>
          <w:rFonts w:eastAsia="Times New Roman" w:cs="Times New Roman"/>
          <w:color w:val="000000"/>
          <w:szCs w:val="20"/>
        </w:rPr>
        <w:t xml:space="preserve"> por óleo de mamona, foi escolhido o modelo termodinâmico de Peng-Robinson por se </w:t>
      </w:r>
      <w:r w:rsidR="00422C25">
        <w:rPr>
          <w:rFonts w:eastAsia="Times New Roman" w:cs="Times New Roman"/>
          <w:color w:val="000000"/>
          <w:szCs w:val="20"/>
        </w:rPr>
        <w:t>m</w:t>
      </w:r>
      <w:r>
        <w:rPr>
          <w:rFonts w:eastAsia="Times New Roman" w:cs="Times New Roman"/>
          <w:color w:val="000000"/>
          <w:szCs w:val="20"/>
        </w:rPr>
        <w:t xml:space="preserve">ostrar o mais preciso para modelagem de processos com compostos orgânicos </w:t>
      </w:r>
      <w:sdt>
        <w:sdtPr>
          <w:rPr>
            <w:rFonts w:eastAsia="Times New Roman" w:cs="Times New Roman"/>
            <w:color w:val="000000"/>
            <w:szCs w:val="20"/>
          </w:rPr>
          <w:id w:val="1598833188"/>
          <w:citation/>
        </w:sdtPr>
        <w:sdtContent>
          <w:r>
            <w:rPr>
              <w:rFonts w:eastAsia="Times New Roman" w:cs="Times New Roman"/>
              <w:color w:val="000000"/>
              <w:szCs w:val="20"/>
            </w:rPr>
            <w:fldChar w:fldCharType="begin"/>
          </w:r>
          <w:r>
            <w:rPr>
              <w:rFonts w:eastAsia="Times New Roman" w:cs="Times New Roman"/>
              <w:color w:val="000000"/>
              <w:szCs w:val="20"/>
            </w:rPr>
            <w:instrText xml:space="preserve"> CITATION Pen76 \l 1046 </w:instrText>
          </w:r>
          <w:r>
            <w:rPr>
              <w:rFonts w:eastAsia="Times New Roman" w:cs="Times New Roman"/>
              <w:color w:val="000000"/>
              <w:szCs w:val="20"/>
            </w:rPr>
            <w:fldChar w:fldCharType="separate"/>
          </w:r>
          <w:r w:rsidR="00213CB0" w:rsidRPr="00213CB0">
            <w:rPr>
              <w:rFonts w:eastAsia="Times New Roman" w:cs="Times New Roman"/>
              <w:noProof/>
              <w:color w:val="000000"/>
              <w:szCs w:val="20"/>
            </w:rPr>
            <w:t>(</w:t>
          </w:r>
          <w:hyperlink w:anchor="Pen76" w:history="1">
            <w:r w:rsidR="00213CB0" w:rsidRPr="00213CB0">
              <w:rPr>
                <w:rStyle w:val="TableNormal0"/>
                <w:rFonts w:eastAsia="Times New Roman" w:cs="Times New Roman"/>
                <w:noProof/>
                <w:color w:val="000000"/>
                <w:szCs w:val="20"/>
              </w:rPr>
              <w:t>Peng e Robinson, 1976</w:t>
            </w:r>
          </w:hyperlink>
          <w:r w:rsidR="00213CB0" w:rsidRPr="00213CB0">
            <w:rPr>
              <w:rFonts w:eastAsia="Times New Roman" w:cs="Times New Roman"/>
              <w:noProof/>
              <w:color w:val="000000"/>
              <w:szCs w:val="20"/>
            </w:rPr>
            <w:t>)</w:t>
          </w:r>
          <w:r>
            <w:rPr>
              <w:rFonts w:eastAsia="Times New Roman" w:cs="Times New Roman"/>
              <w:color w:val="000000"/>
              <w:szCs w:val="20"/>
            </w:rPr>
            <w:fldChar w:fldCharType="end"/>
          </w:r>
        </w:sdtContent>
      </w:sdt>
      <w:r>
        <w:rPr>
          <w:rFonts w:eastAsia="Times New Roman" w:cs="Times New Roman"/>
          <w:color w:val="000000"/>
          <w:szCs w:val="20"/>
        </w:rPr>
        <w:t xml:space="preserve">. A linha de fluxo do óleo de mamona foi composta por 91,2% de </w:t>
      </w:r>
      <w:proofErr w:type="spellStart"/>
      <w:r>
        <w:rPr>
          <w:rFonts w:eastAsia="Times New Roman" w:cs="Times New Roman"/>
          <w:color w:val="000000"/>
          <w:szCs w:val="20"/>
        </w:rPr>
        <w:t>Trirrinoleina</w:t>
      </w:r>
      <w:proofErr w:type="spellEnd"/>
      <w:r>
        <w:rPr>
          <w:rFonts w:eastAsia="Times New Roman" w:cs="Times New Roman"/>
          <w:color w:val="000000"/>
          <w:szCs w:val="20"/>
        </w:rPr>
        <w:t xml:space="preserve">, 4,9% de </w:t>
      </w:r>
      <w:proofErr w:type="spellStart"/>
      <w:r>
        <w:rPr>
          <w:rFonts w:eastAsia="Times New Roman" w:cs="Times New Roman"/>
          <w:color w:val="000000"/>
          <w:szCs w:val="20"/>
        </w:rPr>
        <w:t>Trilinoleina</w:t>
      </w:r>
      <w:proofErr w:type="spellEnd"/>
      <w:r>
        <w:rPr>
          <w:rFonts w:eastAsia="Times New Roman" w:cs="Times New Roman"/>
          <w:color w:val="000000"/>
          <w:szCs w:val="20"/>
        </w:rPr>
        <w:t xml:space="preserve"> e 3,9% de </w:t>
      </w:r>
      <w:proofErr w:type="spellStart"/>
      <w:r>
        <w:rPr>
          <w:rFonts w:eastAsia="Times New Roman" w:cs="Times New Roman"/>
          <w:color w:val="000000"/>
          <w:szCs w:val="20"/>
        </w:rPr>
        <w:t>Trioleina</w:t>
      </w:r>
      <w:proofErr w:type="spellEnd"/>
      <w:r w:rsidR="00AE0A25">
        <w:rPr>
          <w:rFonts w:eastAsia="Times New Roman" w:cs="Times New Roman"/>
          <w:color w:val="000000"/>
          <w:szCs w:val="20"/>
        </w:rPr>
        <w:t xml:space="preserve"> a 1010,74 kg/h</w:t>
      </w:r>
      <w:r w:rsidR="000633C5">
        <w:rPr>
          <w:rFonts w:eastAsia="Times New Roman" w:cs="Times New Roman"/>
          <w:color w:val="000000"/>
          <w:szCs w:val="20"/>
        </w:rPr>
        <w:t>, a qual foi pressurizada para 9,2 MPa</w:t>
      </w:r>
      <w:r w:rsidR="00947350">
        <w:rPr>
          <w:rFonts w:eastAsia="Times New Roman" w:cs="Times New Roman"/>
          <w:color w:val="000000"/>
          <w:szCs w:val="20"/>
        </w:rPr>
        <w:t>.</w:t>
      </w:r>
      <w:r w:rsidR="00F8746F">
        <w:rPr>
          <w:rFonts w:eastAsia="Times New Roman" w:cs="Times New Roman"/>
          <w:color w:val="000000"/>
          <w:szCs w:val="20"/>
        </w:rPr>
        <w:t xml:space="preserve"> </w:t>
      </w:r>
      <w:r w:rsidR="00947350">
        <w:rPr>
          <w:rFonts w:eastAsia="Times New Roman" w:cs="Times New Roman"/>
          <w:color w:val="000000"/>
          <w:szCs w:val="20"/>
        </w:rPr>
        <w:t xml:space="preserve">A </w:t>
      </w:r>
      <w:proofErr w:type="spellStart"/>
      <w:r w:rsidR="00947350">
        <w:rPr>
          <w:rFonts w:eastAsia="Times New Roman" w:cs="Times New Roman"/>
          <w:color w:val="000000"/>
          <w:szCs w:val="20"/>
        </w:rPr>
        <w:t>hidrogenólise</w:t>
      </w:r>
      <w:proofErr w:type="spellEnd"/>
      <w:r w:rsidR="00947350">
        <w:rPr>
          <w:rFonts w:eastAsia="Times New Roman" w:cs="Times New Roman"/>
          <w:color w:val="000000"/>
          <w:szCs w:val="20"/>
        </w:rPr>
        <w:t xml:space="preserve"> dos</w:t>
      </w:r>
      <w:r w:rsidR="00F8746F">
        <w:rPr>
          <w:rFonts w:eastAsia="Times New Roman" w:cs="Times New Roman"/>
          <w:color w:val="000000"/>
          <w:szCs w:val="20"/>
        </w:rPr>
        <w:t xml:space="preserve"> triglicerídeos</w:t>
      </w:r>
      <w:r w:rsidR="000633C5">
        <w:rPr>
          <w:rFonts w:eastAsia="Times New Roman" w:cs="Times New Roman"/>
          <w:color w:val="000000"/>
          <w:szCs w:val="20"/>
        </w:rPr>
        <w:t xml:space="preserve"> e hidrogenação dos ácidos insaturados</w:t>
      </w:r>
      <w:r w:rsidR="00947350">
        <w:rPr>
          <w:rFonts w:eastAsia="Times New Roman" w:cs="Times New Roman"/>
          <w:color w:val="000000"/>
          <w:szCs w:val="20"/>
        </w:rPr>
        <w:t xml:space="preserve"> ocorreu </w:t>
      </w:r>
      <w:r w:rsidR="000633C5">
        <w:rPr>
          <w:rFonts w:eastAsia="Times New Roman" w:cs="Times New Roman"/>
          <w:color w:val="000000"/>
          <w:szCs w:val="20"/>
        </w:rPr>
        <w:t xml:space="preserve">a partir da </w:t>
      </w:r>
      <w:r w:rsidR="00947350">
        <w:rPr>
          <w:rFonts w:eastAsia="Times New Roman" w:cs="Times New Roman"/>
          <w:color w:val="000000"/>
          <w:szCs w:val="20"/>
        </w:rPr>
        <w:t>adição de Hidrogênio</w:t>
      </w:r>
      <w:r w:rsidR="00090728">
        <w:rPr>
          <w:rFonts w:eastAsia="Times New Roman" w:cs="Times New Roman"/>
          <w:color w:val="000000"/>
          <w:szCs w:val="20"/>
        </w:rPr>
        <w:t xml:space="preserve"> (</w:t>
      </w:r>
      <w:proofErr w:type="spellStart"/>
      <w:r w:rsidR="00090728">
        <w:rPr>
          <w:rFonts w:eastAsia="Times New Roman" w:cs="Times New Roman"/>
          <w:color w:val="000000"/>
          <w:szCs w:val="20"/>
        </w:rPr>
        <w:t>H</w:t>
      </w:r>
      <w:r w:rsidR="00090728">
        <w:rPr>
          <w:rFonts w:eastAsia="Times New Roman" w:cs="Times New Roman"/>
          <w:color w:val="000000"/>
          <w:szCs w:val="20"/>
          <w:vertAlign w:val="subscript"/>
        </w:rPr>
        <w:t>2</w:t>
      </w:r>
      <w:proofErr w:type="spellEnd"/>
      <w:r w:rsidR="00090728">
        <w:rPr>
          <w:rFonts w:eastAsia="Times New Roman" w:cs="Times New Roman"/>
          <w:color w:val="000000"/>
          <w:szCs w:val="20"/>
        </w:rPr>
        <w:t>)</w:t>
      </w:r>
      <w:r w:rsidR="000633C5">
        <w:rPr>
          <w:rFonts w:eastAsia="Times New Roman" w:cs="Times New Roman"/>
          <w:color w:val="000000"/>
          <w:szCs w:val="20"/>
        </w:rPr>
        <w:t xml:space="preserve"> com 10% em excesso à corrente principal, a qual foi aquecida para 400 ºC e assim designada para o reator 1, produzindo assim o Ácido Esteárico (</w:t>
      </w:r>
      <w:proofErr w:type="spellStart"/>
      <w:r w:rsidR="000633C5">
        <w:rPr>
          <w:rFonts w:eastAsia="Times New Roman" w:cs="Times New Roman"/>
          <w:color w:val="000000"/>
          <w:szCs w:val="20"/>
        </w:rPr>
        <w:t>C18:0</w:t>
      </w:r>
      <w:proofErr w:type="spellEnd"/>
      <w:r w:rsidR="000633C5">
        <w:rPr>
          <w:rFonts w:eastAsia="Times New Roman" w:cs="Times New Roman"/>
          <w:color w:val="000000"/>
          <w:szCs w:val="20"/>
        </w:rPr>
        <w:t>)</w:t>
      </w:r>
      <w:r w:rsidR="00F8746F">
        <w:rPr>
          <w:rFonts w:eastAsia="Times New Roman" w:cs="Times New Roman"/>
          <w:color w:val="000000"/>
          <w:szCs w:val="20"/>
        </w:rPr>
        <w:t xml:space="preserve"> e propano</w:t>
      </w:r>
      <w:r w:rsidR="00422C25">
        <w:rPr>
          <w:rFonts w:eastAsia="Times New Roman" w:cs="Times New Roman"/>
          <w:color w:val="000000"/>
          <w:szCs w:val="20"/>
        </w:rPr>
        <w:t xml:space="preserve"> </w:t>
      </w:r>
      <w:sdt>
        <w:sdtPr>
          <w:rPr>
            <w:rFonts w:eastAsia="Times New Roman" w:cs="Times New Roman"/>
            <w:color w:val="000000"/>
            <w:szCs w:val="20"/>
          </w:rPr>
          <w:id w:val="65691606"/>
          <w:citation/>
        </w:sdtPr>
        <w:sdtContent>
          <w:r w:rsidR="00422C25">
            <w:rPr>
              <w:rFonts w:eastAsia="Times New Roman" w:cs="Times New Roman"/>
              <w:color w:val="000000"/>
              <w:szCs w:val="20"/>
            </w:rPr>
            <w:fldChar w:fldCharType="begin"/>
          </w:r>
          <w:r w:rsidR="00422C25">
            <w:rPr>
              <w:rFonts w:eastAsia="Times New Roman" w:cs="Times New Roman"/>
              <w:color w:val="000000"/>
              <w:szCs w:val="20"/>
            </w:rPr>
            <w:instrText xml:space="preserve"> CITATION Cav22 \l 1046 </w:instrText>
          </w:r>
          <w:r w:rsidR="00422C25">
            <w:rPr>
              <w:rFonts w:eastAsia="Times New Roman" w:cs="Times New Roman"/>
              <w:color w:val="000000"/>
              <w:szCs w:val="20"/>
            </w:rPr>
            <w:fldChar w:fldCharType="separate"/>
          </w:r>
          <w:r w:rsidR="00213CB0" w:rsidRPr="00213CB0">
            <w:rPr>
              <w:rFonts w:eastAsia="Times New Roman" w:cs="Times New Roman"/>
              <w:noProof/>
              <w:color w:val="000000"/>
              <w:szCs w:val="20"/>
            </w:rPr>
            <w:t>(</w:t>
          </w:r>
          <w:hyperlink w:anchor="Cav22" w:history="1">
            <w:r w:rsidR="00213CB0" w:rsidRPr="00213CB0">
              <w:rPr>
                <w:rStyle w:val="TableNormal0"/>
                <w:rFonts w:eastAsia="Times New Roman" w:cs="Times New Roman"/>
                <w:noProof/>
                <w:color w:val="000000"/>
                <w:szCs w:val="20"/>
              </w:rPr>
              <w:t>Cavalcanti, et al., 2022</w:t>
            </w:r>
          </w:hyperlink>
          <w:r w:rsidR="00213CB0" w:rsidRPr="00213CB0">
            <w:rPr>
              <w:rFonts w:eastAsia="Times New Roman" w:cs="Times New Roman"/>
              <w:noProof/>
              <w:color w:val="000000"/>
              <w:szCs w:val="20"/>
            </w:rPr>
            <w:t>)</w:t>
          </w:r>
          <w:r w:rsidR="00422C25">
            <w:rPr>
              <w:rFonts w:eastAsia="Times New Roman" w:cs="Times New Roman"/>
              <w:color w:val="000000"/>
              <w:szCs w:val="20"/>
            </w:rPr>
            <w:fldChar w:fldCharType="end"/>
          </w:r>
        </w:sdtContent>
      </w:sdt>
      <w:r w:rsidR="000633C5">
        <w:rPr>
          <w:rFonts w:eastAsia="Times New Roman" w:cs="Times New Roman"/>
          <w:color w:val="000000"/>
          <w:szCs w:val="20"/>
        </w:rPr>
        <w:t>.</w:t>
      </w:r>
      <w:r w:rsidR="00090728">
        <w:rPr>
          <w:rFonts w:eastAsia="Times New Roman" w:cs="Times New Roman"/>
          <w:color w:val="000000"/>
          <w:szCs w:val="20"/>
        </w:rPr>
        <w:t xml:space="preserve"> O excesso de </w:t>
      </w:r>
      <w:proofErr w:type="spellStart"/>
      <w:r w:rsidR="00090728">
        <w:rPr>
          <w:rFonts w:eastAsia="Times New Roman" w:cs="Times New Roman"/>
          <w:color w:val="000000"/>
          <w:szCs w:val="20"/>
        </w:rPr>
        <w:t>H</w:t>
      </w:r>
      <w:r w:rsidR="00090728">
        <w:rPr>
          <w:rFonts w:eastAsia="Times New Roman" w:cs="Times New Roman"/>
          <w:color w:val="000000"/>
          <w:szCs w:val="20"/>
          <w:vertAlign w:val="subscript"/>
        </w:rPr>
        <w:t>2</w:t>
      </w:r>
      <w:proofErr w:type="spellEnd"/>
      <w:r w:rsidR="00090728">
        <w:rPr>
          <w:rFonts w:eastAsia="Times New Roman" w:cs="Times New Roman"/>
          <w:color w:val="000000"/>
          <w:szCs w:val="20"/>
        </w:rPr>
        <w:t xml:space="preserve"> foi usado no segundo reator para conversão do </w:t>
      </w:r>
      <w:proofErr w:type="spellStart"/>
      <w:r w:rsidR="00090728">
        <w:rPr>
          <w:rFonts w:eastAsia="Times New Roman" w:cs="Times New Roman"/>
          <w:color w:val="000000"/>
          <w:szCs w:val="20"/>
        </w:rPr>
        <w:t>C18:0</w:t>
      </w:r>
      <w:proofErr w:type="spellEnd"/>
      <w:r w:rsidR="00DA69DC">
        <w:rPr>
          <w:rFonts w:eastAsia="Times New Roman" w:cs="Times New Roman"/>
          <w:color w:val="000000"/>
          <w:szCs w:val="20"/>
        </w:rPr>
        <w:t xml:space="preserve"> em </w:t>
      </w:r>
      <w:proofErr w:type="spellStart"/>
      <w:r w:rsidR="00DA69DC">
        <w:rPr>
          <w:rFonts w:eastAsia="Times New Roman" w:cs="Times New Roman"/>
          <w:color w:val="000000"/>
          <w:szCs w:val="20"/>
        </w:rPr>
        <w:t>Heptadecano</w:t>
      </w:r>
      <w:proofErr w:type="spellEnd"/>
      <w:r w:rsidR="00DA69DC">
        <w:rPr>
          <w:rFonts w:eastAsia="Times New Roman" w:cs="Times New Roman"/>
          <w:color w:val="000000"/>
          <w:szCs w:val="20"/>
        </w:rPr>
        <w:t xml:space="preserve"> (</w:t>
      </w:r>
      <w:proofErr w:type="spellStart"/>
      <w:r w:rsidR="00DA69DC">
        <w:rPr>
          <w:rFonts w:eastAsia="Times New Roman" w:cs="Times New Roman"/>
          <w:color w:val="000000"/>
          <w:szCs w:val="20"/>
        </w:rPr>
        <w:t>C</w:t>
      </w:r>
      <w:r w:rsidR="00DA69DC">
        <w:rPr>
          <w:rFonts w:eastAsia="Times New Roman" w:cs="Times New Roman"/>
          <w:color w:val="000000"/>
          <w:szCs w:val="20"/>
          <w:vertAlign w:val="subscript"/>
        </w:rPr>
        <w:t>17</w:t>
      </w:r>
      <w:r w:rsidR="00DA69DC">
        <w:rPr>
          <w:rFonts w:eastAsia="Times New Roman" w:cs="Times New Roman"/>
          <w:color w:val="000000"/>
          <w:szCs w:val="20"/>
        </w:rPr>
        <w:t>H</w:t>
      </w:r>
      <w:r w:rsidR="00DA69DC">
        <w:rPr>
          <w:rFonts w:eastAsia="Times New Roman" w:cs="Times New Roman"/>
          <w:color w:val="000000"/>
          <w:szCs w:val="20"/>
          <w:vertAlign w:val="subscript"/>
        </w:rPr>
        <w:t>36</w:t>
      </w:r>
      <w:proofErr w:type="spellEnd"/>
      <w:r w:rsidR="00DA69DC">
        <w:rPr>
          <w:rFonts w:eastAsia="Times New Roman" w:cs="Times New Roman"/>
          <w:color w:val="000000"/>
          <w:szCs w:val="20"/>
        </w:rPr>
        <w:t xml:space="preserve">) e </w:t>
      </w:r>
      <w:proofErr w:type="spellStart"/>
      <w:r w:rsidR="00DA69DC">
        <w:rPr>
          <w:rFonts w:eastAsia="Times New Roman" w:cs="Times New Roman"/>
          <w:color w:val="000000"/>
          <w:szCs w:val="20"/>
        </w:rPr>
        <w:t>Octadecano</w:t>
      </w:r>
      <w:proofErr w:type="spellEnd"/>
      <w:r w:rsidR="00DA69DC">
        <w:rPr>
          <w:rFonts w:eastAsia="Times New Roman" w:cs="Times New Roman"/>
          <w:color w:val="000000"/>
          <w:szCs w:val="20"/>
        </w:rPr>
        <w:t xml:space="preserve"> (</w:t>
      </w:r>
      <w:proofErr w:type="spellStart"/>
      <w:r w:rsidR="00DA69DC">
        <w:rPr>
          <w:rFonts w:eastAsia="Times New Roman" w:cs="Times New Roman"/>
          <w:color w:val="000000"/>
          <w:szCs w:val="20"/>
        </w:rPr>
        <w:t>C</w:t>
      </w:r>
      <w:r w:rsidR="00DA69DC">
        <w:rPr>
          <w:rFonts w:eastAsia="Times New Roman" w:cs="Times New Roman"/>
          <w:color w:val="000000"/>
          <w:szCs w:val="20"/>
          <w:vertAlign w:val="subscript"/>
        </w:rPr>
        <w:t>18</w:t>
      </w:r>
      <w:r w:rsidR="00DA69DC">
        <w:rPr>
          <w:rFonts w:eastAsia="Times New Roman" w:cs="Times New Roman"/>
          <w:color w:val="000000"/>
          <w:szCs w:val="20"/>
        </w:rPr>
        <w:t>H</w:t>
      </w:r>
      <w:r w:rsidR="00DA69DC">
        <w:rPr>
          <w:rFonts w:eastAsia="Times New Roman" w:cs="Times New Roman"/>
          <w:color w:val="000000"/>
          <w:szCs w:val="20"/>
          <w:vertAlign w:val="subscript"/>
        </w:rPr>
        <w:t>36</w:t>
      </w:r>
      <w:proofErr w:type="spellEnd"/>
      <w:r w:rsidR="00DA69DC">
        <w:rPr>
          <w:rFonts w:eastAsia="Times New Roman" w:cs="Times New Roman"/>
          <w:color w:val="000000"/>
          <w:szCs w:val="20"/>
        </w:rPr>
        <w:t>)</w:t>
      </w:r>
      <w:r w:rsidR="00AE0A25">
        <w:rPr>
          <w:rFonts w:eastAsia="Times New Roman" w:cs="Times New Roman"/>
          <w:color w:val="000000"/>
          <w:szCs w:val="20"/>
        </w:rPr>
        <w:t xml:space="preserve"> a partir de reações de </w:t>
      </w:r>
      <w:proofErr w:type="spellStart"/>
      <w:r w:rsidR="00AE0A25">
        <w:rPr>
          <w:rFonts w:eastAsia="Times New Roman" w:cs="Times New Roman"/>
          <w:color w:val="000000"/>
          <w:szCs w:val="20"/>
        </w:rPr>
        <w:t>Hidrodesoxigenação</w:t>
      </w:r>
      <w:proofErr w:type="spellEnd"/>
      <w:r w:rsidR="00213CB0">
        <w:rPr>
          <w:rFonts w:eastAsia="Times New Roman" w:cs="Times New Roman"/>
          <w:color w:val="000000"/>
          <w:szCs w:val="20"/>
        </w:rPr>
        <w:t xml:space="preserve"> </w:t>
      </w:r>
      <w:sdt>
        <w:sdtPr>
          <w:rPr>
            <w:rFonts w:eastAsia="Times New Roman" w:cs="Times New Roman"/>
            <w:color w:val="000000"/>
            <w:szCs w:val="20"/>
          </w:rPr>
          <w:id w:val="105403577"/>
          <w:citation/>
        </w:sdtPr>
        <w:sdtContent>
          <w:r w:rsidR="00213CB0">
            <w:rPr>
              <w:rFonts w:eastAsia="Times New Roman" w:cs="Times New Roman"/>
              <w:color w:val="000000"/>
              <w:szCs w:val="20"/>
            </w:rPr>
            <w:fldChar w:fldCharType="begin"/>
          </w:r>
          <w:r w:rsidR="00213CB0">
            <w:rPr>
              <w:rFonts w:eastAsia="Times New Roman" w:cs="Times New Roman"/>
              <w:color w:val="000000"/>
              <w:szCs w:val="20"/>
            </w:rPr>
            <w:instrText xml:space="preserve"> CITATION Ped22 \l 1046 </w:instrText>
          </w:r>
          <w:r w:rsidR="00213CB0">
            <w:rPr>
              <w:rFonts w:eastAsia="Times New Roman" w:cs="Times New Roman"/>
              <w:color w:val="000000"/>
              <w:szCs w:val="20"/>
            </w:rPr>
            <w:fldChar w:fldCharType="separate"/>
          </w:r>
          <w:r w:rsidR="00213CB0" w:rsidRPr="00213CB0">
            <w:rPr>
              <w:rFonts w:eastAsia="Times New Roman" w:cs="Times New Roman"/>
              <w:noProof/>
              <w:color w:val="000000"/>
              <w:szCs w:val="20"/>
            </w:rPr>
            <w:t>(</w:t>
          </w:r>
          <w:hyperlink w:anchor="Ped22" w:history="1">
            <w:r w:rsidR="00213CB0" w:rsidRPr="00213CB0">
              <w:rPr>
                <w:rStyle w:val="TableNormal0"/>
                <w:rFonts w:eastAsia="Times New Roman" w:cs="Times New Roman"/>
                <w:noProof/>
                <w:color w:val="000000"/>
                <w:szCs w:val="20"/>
              </w:rPr>
              <w:t>Pedroza, et al., 2022</w:t>
            </w:r>
          </w:hyperlink>
          <w:r w:rsidR="00213CB0" w:rsidRPr="00213CB0">
            <w:rPr>
              <w:rFonts w:eastAsia="Times New Roman" w:cs="Times New Roman"/>
              <w:noProof/>
              <w:color w:val="000000"/>
              <w:szCs w:val="20"/>
            </w:rPr>
            <w:t>)</w:t>
          </w:r>
          <w:r w:rsidR="00213CB0">
            <w:rPr>
              <w:rFonts w:eastAsia="Times New Roman" w:cs="Times New Roman"/>
              <w:color w:val="000000"/>
              <w:szCs w:val="20"/>
            </w:rPr>
            <w:fldChar w:fldCharType="end"/>
          </w:r>
        </w:sdtContent>
      </w:sdt>
      <w:r w:rsidR="00AE0A25">
        <w:rPr>
          <w:rFonts w:eastAsia="Times New Roman" w:cs="Times New Roman"/>
          <w:color w:val="000000"/>
          <w:szCs w:val="20"/>
        </w:rPr>
        <w:t xml:space="preserve">, Descarboxilação e </w:t>
      </w:r>
      <w:proofErr w:type="spellStart"/>
      <w:r w:rsidR="00AE0A25">
        <w:rPr>
          <w:rFonts w:eastAsia="Times New Roman" w:cs="Times New Roman"/>
          <w:color w:val="000000"/>
          <w:szCs w:val="20"/>
        </w:rPr>
        <w:t>Descarbonilação</w:t>
      </w:r>
      <w:proofErr w:type="spellEnd"/>
      <w:r w:rsidR="00583B71">
        <w:rPr>
          <w:rFonts w:eastAsia="Times New Roman" w:cs="Times New Roman"/>
          <w:color w:val="000000"/>
          <w:szCs w:val="20"/>
        </w:rPr>
        <w:t xml:space="preserve">. A mistura de produtos </w:t>
      </w:r>
      <w:r w:rsidR="00AE0A25">
        <w:rPr>
          <w:rFonts w:eastAsia="Times New Roman" w:cs="Times New Roman"/>
          <w:color w:val="000000"/>
          <w:szCs w:val="20"/>
        </w:rPr>
        <w:t>foi</w:t>
      </w:r>
      <w:r w:rsidR="00583B71">
        <w:rPr>
          <w:rFonts w:eastAsia="Times New Roman" w:cs="Times New Roman"/>
          <w:color w:val="000000"/>
          <w:szCs w:val="20"/>
        </w:rPr>
        <w:t xml:space="preserve"> transportada para um tambor flash, onde </w:t>
      </w:r>
      <w:r w:rsidR="00AE0A25">
        <w:rPr>
          <w:rFonts w:eastAsia="Times New Roman" w:cs="Times New Roman"/>
          <w:color w:val="000000"/>
          <w:szCs w:val="20"/>
        </w:rPr>
        <w:t>foram</w:t>
      </w:r>
      <w:r w:rsidR="00583B71">
        <w:rPr>
          <w:rFonts w:eastAsia="Times New Roman" w:cs="Times New Roman"/>
          <w:color w:val="000000"/>
          <w:szCs w:val="20"/>
        </w:rPr>
        <w:t xml:space="preserve"> separados os compostos líquidos, rico</w:t>
      </w:r>
      <w:r w:rsidR="00AE0A25">
        <w:rPr>
          <w:rFonts w:eastAsia="Times New Roman" w:cs="Times New Roman"/>
          <w:color w:val="000000"/>
          <w:szCs w:val="20"/>
        </w:rPr>
        <w:t>s</w:t>
      </w:r>
      <w:r w:rsidR="00583B71">
        <w:rPr>
          <w:rFonts w:eastAsia="Times New Roman" w:cs="Times New Roman"/>
          <w:color w:val="000000"/>
          <w:szCs w:val="20"/>
        </w:rPr>
        <w:t xml:space="preserve"> em alcanos, dos gasosos, rico </w:t>
      </w:r>
      <w:r w:rsidR="00AE0A25">
        <w:rPr>
          <w:rFonts w:eastAsia="Times New Roman" w:cs="Times New Roman"/>
          <w:color w:val="000000"/>
          <w:szCs w:val="20"/>
        </w:rPr>
        <w:t>s</w:t>
      </w:r>
      <w:r w:rsidR="00583B71">
        <w:rPr>
          <w:rFonts w:eastAsia="Times New Roman" w:cs="Times New Roman"/>
          <w:color w:val="000000"/>
          <w:szCs w:val="20"/>
        </w:rPr>
        <w:t xml:space="preserve">em </w:t>
      </w:r>
      <w:proofErr w:type="spellStart"/>
      <w:r w:rsidR="00583B71">
        <w:rPr>
          <w:rFonts w:eastAsia="Times New Roman" w:cs="Times New Roman"/>
          <w:color w:val="000000"/>
          <w:szCs w:val="20"/>
        </w:rPr>
        <w:t>H</w:t>
      </w:r>
      <w:r w:rsidR="00583B71">
        <w:rPr>
          <w:rFonts w:eastAsia="Times New Roman" w:cs="Times New Roman"/>
          <w:color w:val="000000"/>
          <w:szCs w:val="20"/>
          <w:vertAlign w:val="subscript"/>
        </w:rPr>
        <w:t>2</w:t>
      </w:r>
      <w:proofErr w:type="spellEnd"/>
      <w:r w:rsidR="00583B71">
        <w:rPr>
          <w:rFonts w:eastAsia="Times New Roman" w:cs="Times New Roman"/>
          <w:color w:val="000000"/>
          <w:szCs w:val="20"/>
        </w:rPr>
        <w:t xml:space="preserve"> e Dióxido de Carbono (</w:t>
      </w:r>
      <w:proofErr w:type="spellStart"/>
      <w:r w:rsidR="00583B71">
        <w:rPr>
          <w:rFonts w:eastAsia="Times New Roman" w:cs="Times New Roman"/>
          <w:color w:val="000000"/>
          <w:szCs w:val="20"/>
        </w:rPr>
        <w:t>CO</w:t>
      </w:r>
      <w:r w:rsidR="00583B71">
        <w:rPr>
          <w:rFonts w:eastAsia="Times New Roman" w:cs="Times New Roman"/>
          <w:color w:val="000000"/>
          <w:szCs w:val="20"/>
          <w:vertAlign w:val="subscript"/>
        </w:rPr>
        <w:t>2</w:t>
      </w:r>
      <w:proofErr w:type="spellEnd"/>
      <w:r w:rsidR="00583B71">
        <w:rPr>
          <w:rFonts w:eastAsia="Times New Roman" w:cs="Times New Roman"/>
          <w:color w:val="000000"/>
          <w:szCs w:val="20"/>
        </w:rPr>
        <w:t>)</w:t>
      </w:r>
      <w:r w:rsidR="00213CB0">
        <w:rPr>
          <w:rFonts w:eastAsia="Times New Roman" w:cs="Times New Roman"/>
          <w:color w:val="000000"/>
          <w:szCs w:val="20"/>
        </w:rPr>
        <w:t xml:space="preserve">. Os gases </w:t>
      </w:r>
      <w:r w:rsidR="00AE0A25">
        <w:rPr>
          <w:rFonts w:eastAsia="Times New Roman" w:cs="Times New Roman"/>
          <w:color w:val="000000"/>
          <w:szCs w:val="20"/>
        </w:rPr>
        <w:t>foram</w:t>
      </w:r>
      <w:r w:rsidR="00213CB0">
        <w:rPr>
          <w:rFonts w:eastAsia="Times New Roman" w:cs="Times New Roman"/>
          <w:color w:val="000000"/>
          <w:szCs w:val="20"/>
        </w:rPr>
        <w:t xml:space="preserve"> utilizados para geração de energia por turbinas e em seguida separados para reciclagem de </w:t>
      </w:r>
      <w:proofErr w:type="spellStart"/>
      <w:r w:rsidR="00213CB0">
        <w:rPr>
          <w:rFonts w:eastAsia="Times New Roman" w:cs="Times New Roman"/>
          <w:color w:val="000000"/>
          <w:szCs w:val="20"/>
        </w:rPr>
        <w:t>H</w:t>
      </w:r>
      <w:r w:rsidR="00213CB0">
        <w:rPr>
          <w:rFonts w:eastAsia="Times New Roman" w:cs="Times New Roman"/>
          <w:color w:val="000000"/>
          <w:szCs w:val="20"/>
          <w:vertAlign w:val="subscript"/>
        </w:rPr>
        <w:t>2</w:t>
      </w:r>
      <w:proofErr w:type="spellEnd"/>
      <w:r w:rsidR="00213CB0">
        <w:rPr>
          <w:rFonts w:eastAsia="Times New Roman" w:cs="Times New Roman"/>
          <w:color w:val="000000"/>
          <w:szCs w:val="20"/>
        </w:rPr>
        <w:t xml:space="preserve"> no início do processo. Os líquidos </w:t>
      </w:r>
      <w:r w:rsidR="00AE0A25">
        <w:rPr>
          <w:rFonts w:eastAsia="Times New Roman" w:cs="Times New Roman"/>
          <w:color w:val="000000"/>
          <w:szCs w:val="20"/>
        </w:rPr>
        <w:t>foram</w:t>
      </w:r>
      <w:r w:rsidR="00213CB0">
        <w:rPr>
          <w:rFonts w:eastAsia="Times New Roman" w:cs="Times New Roman"/>
          <w:color w:val="000000"/>
          <w:szCs w:val="20"/>
        </w:rPr>
        <w:t xml:space="preserve"> transportados para o Reator 3</w:t>
      </w:r>
      <w:r w:rsidR="00AE0A25">
        <w:rPr>
          <w:rFonts w:eastAsia="Times New Roman" w:cs="Times New Roman"/>
          <w:color w:val="000000"/>
          <w:szCs w:val="20"/>
        </w:rPr>
        <w:t>,</w:t>
      </w:r>
      <w:r w:rsidR="00213CB0">
        <w:rPr>
          <w:rFonts w:eastAsia="Times New Roman" w:cs="Times New Roman"/>
          <w:color w:val="000000"/>
          <w:szCs w:val="20"/>
        </w:rPr>
        <w:t xml:space="preserve"> no qual ocorre</w:t>
      </w:r>
      <w:r w:rsidR="00AE0A25">
        <w:rPr>
          <w:rFonts w:eastAsia="Times New Roman" w:cs="Times New Roman"/>
          <w:color w:val="000000"/>
          <w:szCs w:val="20"/>
        </w:rPr>
        <w:t>ram</w:t>
      </w:r>
      <w:r w:rsidR="00213CB0">
        <w:rPr>
          <w:rFonts w:eastAsia="Times New Roman" w:cs="Times New Roman"/>
          <w:color w:val="000000"/>
          <w:szCs w:val="20"/>
        </w:rPr>
        <w:t xml:space="preserve"> as reações de </w:t>
      </w:r>
      <w:proofErr w:type="spellStart"/>
      <w:r w:rsidR="00213CB0">
        <w:rPr>
          <w:rFonts w:eastAsia="Times New Roman" w:cs="Times New Roman"/>
          <w:color w:val="000000"/>
          <w:szCs w:val="20"/>
        </w:rPr>
        <w:t>metanação</w:t>
      </w:r>
      <w:proofErr w:type="spellEnd"/>
      <w:r w:rsidR="00213CB0">
        <w:rPr>
          <w:rFonts w:eastAsia="Times New Roman" w:cs="Times New Roman"/>
          <w:color w:val="000000"/>
          <w:szCs w:val="20"/>
        </w:rPr>
        <w:t xml:space="preserve"> e craqueamento, formando Metano (</w:t>
      </w:r>
      <w:proofErr w:type="spellStart"/>
      <w:r w:rsidR="00213CB0">
        <w:rPr>
          <w:rFonts w:eastAsia="Times New Roman" w:cs="Times New Roman"/>
          <w:color w:val="000000"/>
          <w:szCs w:val="20"/>
        </w:rPr>
        <w:t>CH</w:t>
      </w:r>
      <w:r w:rsidR="00213CB0">
        <w:rPr>
          <w:rFonts w:eastAsia="Times New Roman" w:cs="Times New Roman"/>
          <w:color w:val="000000"/>
          <w:szCs w:val="20"/>
          <w:vertAlign w:val="subscript"/>
        </w:rPr>
        <w:t>4</w:t>
      </w:r>
      <w:proofErr w:type="spellEnd"/>
      <w:r w:rsidR="00213CB0">
        <w:rPr>
          <w:rFonts w:eastAsia="Times New Roman" w:cs="Times New Roman"/>
          <w:color w:val="000000"/>
          <w:szCs w:val="20"/>
        </w:rPr>
        <w:t xml:space="preserve">), alcanos de </w:t>
      </w:r>
      <w:proofErr w:type="spellStart"/>
      <w:r w:rsidR="00213CB0">
        <w:rPr>
          <w:rFonts w:eastAsia="Times New Roman" w:cs="Times New Roman"/>
          <w:color w:val="000000"/>
          <w:szCs w:val="20"/>
        </w:rPr>
        <w:t>C7-C11</w:t>
      </w:r>
      <w:proofErr w:type="spellEnd"/>
      <w:r w:rsidR="00213CB0">
        <w:rPr>
          <w:rFonts w:eastAsia="Times New Roman" w:cs="Times New Roman"/>
          <w:color w:val="000000"/>
          <w:szCs w:val="20"/>
        </w:rPr>
        <w:t xml:space="preserve">, </w:t>
      </w:r>
      <w:proofErr w:type="spellStart"/>
      <w:r w:rsidR="00213CB0">
        <w:rPr>
          <w:rFonts w:eastAsia="Times New Roman" w:cs="Times New Roman"/>
          <w:color w:val="000000"/>
          <w:szCs w:val="20"/>
        </w:rPr>
        <w:t>tetradecano</w:t>
      </w:r>
      <w:proofErr w:type="spellEnd"/>
      <w:r w:rsidR="00213CB0">
        <w:rPr>
          <w:rFonts w:eastAsia="Times New Roman" w:cs="Times New Roman"/>
          <w:color w:val="000000"/>
          <w:szCs w:val="20"/>
        </w:rPr>
        <w:t xml:space="preserve"> (</w:t>
      </w:r>
      <w:proofErr w:type="spellStart"/>
      <w:r w:rsidR="00213CB0">
        <w:rPr>
          <w:rFonts w:eastAsia="Times New Roman" w:cs="Times New Roman"/>
          <w:color w:val="000000"/>
          <w:szCs w:val="20"/>
        </w:rPr>
        <w:t>C</w:t>
      </w:r>
      <w:r w:rsidR="00213CB0">
        <w:rPr>
          <w:rFonts w:eastAsia="Times New Roman" w:cs="Times New Roman"/>
          <w:color w:val="000000"/>
          <w:szCs w:val="20"/>
          <w:vertAlign w:val="subscript"/>
        </w:rPr>
        <w:t>14</w:t>
      </w:r>
      <w:r w:rsidR="00213CB0">
        <w:rPr>
          <w:rFonts w:eastAsia="Times New Roman" w:cs="Times New Roman"/>
          <w:color w:val="000000"/>
          <w:szCs w:val="20"/>
        </w:rPr>
        <w:t>H</w:t>
      </w:r>
      <w:r w:rsidR="00213CB0">
        <w:rPr>
          <w:rFonts w:eastAsia="Times New Roman" w:cs="Times New Roman"/>
          <w:color w:val="000000"/>
          <w:szCs w:val="20"/>
          <w:vertAlign w:val="subscript"/>
        </w:rPr>
        <w:t>30</w:t>
      </w:r>
      <w:proofErr w:type="spellEnd"/>
      <w:r w:rsidR="00213CB0">
        <w:rPr>
          <w:rFonts w:eastAsia="Times New Roman" w:cs="Times New Roman"/>
          <w:color w:val="000000"/>
          <w:szCs w:val="20"/>
        </w:rPr>
        <w:t xml:space="preserve">) e </w:t>
      </w:r>
      <w:proofErr w:type="spellStart"/>
      <w:r w:rsidR="00213CB0">
        <w:rPr>
          <w:rFonts w:eastAsia="Times New Roman" w:cs="Times New Roman"/>
          <w:color w:val="000000"/>
          <w:szCs w:val="20"/>
        </w:rPr>
        <w:t>pentadecano</w:t>
      </w:r>
      <w:proofErr w:type="spellEnd"/>
      <w:r w:rsidR="00213CB0">
        <w:rPr>
          <w:rFonts w:eastAsia="Times New Roman" w:cs="Times New Roman"/>
          <w:color w:val="000000"/>
          <w:szCs w:val="20"/>
        </w:rPr>
        <w:t xml:space="preserve"> (</w:t>
      </w:r>
      <w:proofErr w:type="spellStart"/>
      <w:r w:rsidR="00213CB0">
        <w:rPr>
          <w:rFonts w:eastAsia="Times New Roman" w:cs="Times New Roman"/>
          <w:color w:val="000000"/>
          <w:szCs w:val="20"/>
        </w:rPr>
        <w:t>C</w:t>
      </w:r>
      <w:r w:rsidR="00213CB0">
        <w:rPr>
          <w:rFonts w:eastAsia="Times New Roman" w:cs="Times New Roman"/>
          <w:color w:val="000000"/>
          <w:szCs w:val="20"/>
          <w:vertAlign w:val="subscript"/>
        </w:rPr>
        <w:t>15</w:t>
      </w:r>
      <w:r w:rsidR="00213CB0">
        <w:rPr>
          <w:rFonts w:eastAsia="Times New Roman" w:cs="Times New Roman"/>
          <w:color w:val="000000"/>
          <w:szCs w:val="20"/>
        </w:rPr>
        <w:t>H</w:t>
      </w:r>
      <w:r w:rsidR="00213CB0">
        <w:rPr>
          <w:rFonts w:eastAsia="Times New Roman" w:cs="Times New Roman"/>
          <w:color w:val="000000"/>
          <w:szCs w:val="20"/>
          <w:vertAlign w:val="subscript"/>
        </w:rPr>
        <w:t>32</w:t>
      </w:r>
      <w:proofErr w:type="spellEnd"/>
      <w:r w:rsidR="00213CB0">
        <w:rPr>
          <w:rFonts w:eastAsia="Times New Roman" w:cs="Times New Roman"/>
          <w:color w:val="000000"/>
          <w:szCs w:val="20"/>
        </w:rPr>
        <w:t xml:space="preserve">) </w:t>
      </w:r>
      <w:sdt>
        <w:sdtPr>
          <w:rPr>
            <w:rFonts w:eastAsia="Times New Roman" w:cs="Times New Roman"/>
            <w:color w:val="000000"/>
            <w:szCs w:val="20"/>
          </w:rPr>
          <w:id w:val="-569577940"/>
          <w:citation/>
        </w:sdtPr>
        <w:sdtContent>
          <w:r w:rsidR="00213CB0">
            <w:rPr>
              <w:rFonts w:eastAsia="Times New Roman" w:cs="Times New Roman"/>
              <w:color w:val="000000"/>
              <w:szCs w:val="20"/>
            </w:rPr>
            <w:fldChar w:fldCharType="begin"/>
          </w:r>
          <w:r w:rsidR="00213CB0">
            <w:rPr>
              <w:rFonts w:eastAsia="Times New Roman" w:cs="Times New Roman"/>
              <w:color w:val="000000"/>
              <w:szCs w:val="20"/>
            </w:rPr>
            <w:instrText xml:space="preserve"> CITATION Cav22 \l 1046 </w:instrText>
          </w:r>
          <w:r w:rsidR="00213CB0">
            <w:rPr>
              <w:rFonts w:eastAsia="Times New Roman" w:cs="Times New Roman"/>
              <w:color w:val="000000"/>
              <w:szCs w:val="20"/>
            </w:rPr>
            <w:fldChar w:fldCharType="separate"/>
          </w:r>
          <w:r w:rsidR="00213CB0" w:rsidRPr="00213CB0">
            <w:rPr>
              <w:rFonts w:eastAsia="Times New Roman" w:cs="Times New Roman"/>
              <w:noProof/>
              <w:color w:val="000000"/>
              <w:szCs w:val="20"/>
            </w:rPr>
            <w:t>(</w:t>
          </w:r>
          <w:hyperlink w:anchor="Cav22" w:history="1">
            <w:r w:rsidR="00213CB0" w:rsidRPr="00213CB0">
              <w:rPr>
                <w:rStyle w:val="TableNormal0"/>
                <w:rFonts w:eastAsia="Times New Roman" w:cs="Times New Roman"/>
                <w:noProof/>
                <w:color w:val="000000"/>
                <w:szCs w:val="20"/>
              </w:rPr>
              <w:t>Cavalcanti, et al., 2022</w:t>
            </w:r>
          </w:hyperlink>
          <w:r w:rsidR="00213CB0" w:rsidRPr="00213CB0">
            <w:rPr>
              <w:rFonts w:eastAsia="Times New Roman" w:cs="Times New Roman"/>
              <w:noProof/>
              <w:color w:val="000000"/>
              <w:szCs w:val="20"/>
            </w:rPr>
            <w:t>)</w:t>
          </w:r>
          <w:r w:rsidR="00213CB0">
            <w:rPr>
              <w:rFonts w:eastAsia="Times New Roman" w:cs="Times New Roman"/>
              <w:color w:val="000000"/>
              <w:szCs w:val="20"/>
            </w:rPr>
            <w:fldChar w:fldCharType="end"/>
          </w:r>
        </w:sdtContent>
      </w:sdt>
      <w:r w:rsidR="00213CB0">
        <w:rPr>
          <w:rFonts w:eastAsia="Times New Roman" w:cs="Times New Roman"/>
          <w:color w:val="000000"/>
          <w:szCs w:val="20"/>
        </w:rPr>
        <w:t xml:space="preserve">, que são os componentes de Diesel Verde e SAF. A mistura </w:t>
      </w:r>
      <w:r w:rsidR="00AE0A25">
        <w:rPr>
          <w:rFonts w:eastAsia="Times New Roman" w:cs="Times New Roman"/>
          <w:color w:val="000000"/>
          <w:szCs w:val="20"/>
        </w:rPr>
        <w:t>foi finalmente</w:t>
      </w:r>
      <w:r w:rsidR="00213CB0">
        <w:rPr>
          <w:rFonts w:eastAsia="Times New Roman" w:cs="Times New Roman"/>
          <w:color w:val="000000"/>
          <w:szCs w:val="20"/>
        </w:rPr>
        <w:t xml:space="preserve"> designada para uma coluna de destilação, onde </w:t>
      </w:r>
      <w:r w:rsidR="00AE0A25">
        <w:rPr>
          <w:rFonts w:eastAsia="Times New Roman" w:cs="Times New Roman"/>
          <w:color w:val="000000"/>
          <w:szCs w:val="20"/>
        </w:rPr>
        <w:t>foram</w:t>
      </w:r>
      <w:r w:rsidR="00213CB0">
        <w:rPr>
          <w:rFonts w:eastAsia="Times New Roman" w:cs="Times New Roman"/>
          <w:color w:val="000000"/>
          <w:szCs w:val="20"/>
        </w:rPr>
        <w:t xml:space="preserve"> obtidos 128,92 kg/h de SAF e 498,15 kg/h de Diesel Verde.</w:t>
      </w:r>
    </w:p>
    <w:p w14:paraId="7814AD83" w14:textId="7E798398" w:rsidR="00177642" w:rsidRDefault="00000000">
      <w:pPr>
        <w:keepNext/>
        <w:pBdr>
          <w:top w:val="nil"/>
          <w:left w:val="nil"/>
          <w:bottom w:val="nil"/>
          <w:right w:val="nil"/>
          <w:between w:val="nil"/>
        </w:pBdr>
        <w:spacing w:before="240" w:after="60"/>
        <w:jc w:val="both"/>
        <w:rPr>
          <w:rFonts w:eastAsia="Times New Roman" w:cs="Times New Roman"/>
          <w:b/>
          <w:bCs/>
          <w:color w:val="000000"/>
          <w:szCs w:val="20"/>
        </w:rPr>
      </w:pPr>
      <w:r>
        <w:rPr>
          <w:rFonts w:eastAsia="Times New Roman" w:cs="Times New Roman"/>
          <w:b/>
          <w:bCs/>
          <w:color w:val="000000"/>
          <w:szCs w:val="20"/>
        </w:rPr>
        <w:t>R</w:t>
      </w:r>
      <w:r w:rsidR="00F8746F">
        <w:rPr>
          <w:rFonts w:eastAsia="Times New Roman" w:cs="Times New Roman"/>
          <w:b/>
          <w:bCs/>
          <w:color w:val="000000"/>
          <w:szCs w:val="20"/>
        </w:rPr>
        <w:t>EFERÊNCIAS</w:t>
      </w:r>
    </w:p>
    <w:sdt>
      <w:sdtPr>
        <w:id w:val="-448394147"/>
        <w:docPartObj>
          <w:docPartGallery w:val="Bibliographies"/>
          <w:docPartUnique/>
        </w:docPartObj>
      </w:sdtPr>
      <w:sdtContent>
        <w:p w14:paraId="31B3A9CD" w14:textId="557E6F6E" w:rsidR="00F8746F" w:rsidRDefault="00F8746F" w:rsidP="00F8746F"/>
        <w:sdt>
          <w:sdtPr>
            <w:id w:val="-573587230"/>
            <w:bibliography/>
          </w:sdtPr>
          <w:sdtContent>
            <w:p w14:paraId="15D61BE7" w14:textId="77777777" w:rsidR="00213CB0" w:rsidRDefault="00F8746F" w:rsidP="00213CB0">
              <w:pPr>
                <w:pStyle w:val="Bibliografia"/>
                <w:spacing w:after="240"/>
                <w:rPr>
                  <w:noProof/>
                  <w:sz w:val="24"/>
                </w:rPr>
              </w:pPr>
              <w:r>
                <w:fldChar w:fldCharType="begin"/>
              </w:r>
              <w:r>
                <w:instrText>BIBLIOGRAPHY</w:instrText>
              </w:r>
              <w:r>
                <w:fldChar w:fldCharType="separate"/>
              </w:r>
              <w:bookmarkStart w:id="0" w:name="Pen76"/>
              <w:bookmarkStart w:id="1" w:name="Cav22"/>
              <w:r w:rsidR="00213CB0">
                <w:rPr>
                  <w:noProof/>
                </w:rPr>
                <w:t xml:space="preserve">Cavalcanti, C. J. S.; Ravagnani, M. A. S. S.; Stragevitch, L.; Carvalho, F. R.; Pimentel, M. F. Simulation of the soybean oil hydrotreating process for green diesel production. </w:t>
              </w:r>
              <w:r w:rsidR="00213CB0">
                <w:rPr>
                  <w:b/>
                  <w:bCs/>
                  <w:noProof/>
                </w:rPr>
                <w:t>Cleaner Chemical Engineering</w:t>
              </w:r>
              <w:r w:rsidR="00213CB0">
                <w:rPr>
                  <w:noProof/>
                </w:rPr>
                <w:t>, Recife, 9 Fevereiro 2022. 1-11. Disponível em: &lt;https://doi.org/10.1016/j.clce.2022.100004&gt;. Acesso em: 2024 Novembro 25.</w:t>
              </w:r>
            </w:p>
            <w:p w14:paraId="51F921F7" w14:textId="77777777" w:rsidR="00213CB0" w:rsidRDefault="00213CB0" w:rsidP="00213CB0">
              <w:pPr>
                <w:pStyle w:val="Bibliografia"/>
                <w:spacing w:after="240"/>
                <w:rPr>
                  <w:noProof/>
                </w:rPr>
              </w:pPr>
              <w:bookmarkStart w:id="2" w:name="Ped22"/>
              <w:r>
                <w:rPr>
                  <w:noProof/>
                </w:rPr>
                <w:t xml:space="preserve">Pedroza, M. A.; Segtovich, I. S. V.; Sermoud, V. M.; Silva, M. A. P. Hydrodeoxygenation of stearic acid to produce diesel–like hydrocarbons: kinetic modeling, parameter estimation and simulation. </w:t>
              </w:r>
              <w:r>
                <w:rPr>
                  <w:b/>
                  <w:bCs/>
                  <w:noProof/>
                </w:rPr>
                <w:t>Chemical Engineering Science</w:t>
              </w:r>
              <w:r>
                <w:rPr>
                  <w:noProof/>
                </w:rPr>
                <w:t>, Rio de Janeiro, 254, 27 Fevereiro 2022. Disponível em: &lt;https://doi.org/10.1016/j.ces.2022.117576&gt;. Acesso em: 20 Março 2025.</w:t>
              </w:r>
              <w:bookmarkEnd w:id="2"/>
            </w:p>
            <w:p w14:paraId="533F2FD9" w14:textId="59C91208" w:rsidR="00177642" w:rsidRPr="00AE0A25" w:rsidRDefault="00213CB0" w:rsidP="00AE0A25">
              <w:pPr>
                <w:pStyle w:val="Bibliografia"/>
                <w:spacing w:after="240"/>
              </w:pPr>
              <w:r>
                <w:rPr>
                  <w:noProof/>
                </w:rPr>
                <w:t xml:space="preserve">Peng, D.; Robinson, D. B. A New Two-Constant Equation of State. </w:t>
              </w:r>
              <w:r>
                <w:rPr>
                  <w:b/>
                  <w:bCs/>
                  <w:noProof/>
                </w:rPr>
                <w:t>Industrial &amp; Engineering Chemistry Fundamentals</w:t>
              </w:r>
              <w:r>
                <w:rPr>
                  <w:noProof/>
                </w:rPr>
                <w:t>, Alberta, Canada, 15, 1 Fevereiro 1976. 59-64. Disponível em: &lt;doi.org/10.1021/i160057a011&gt;. Acesso em: 25 Fevereiro 2026.</w:t>
              </w:r>
              <w:bookmarkEnd w:id="0"/>
              <w:bookmarkEnd w:id="1"/>
              <w:r w:rsidR="00F8746F">
                <w:rPr>
                  <w:b/>
                  <w:bCs/>
                </w:rPr>
                <w:fldChar w:fldCharType="end"/>
              </w:r>
            </w:p>
          </w:sdtContent>
        </w:sdt>
      </w:sdtContent>
    </w:sdt>
    <w:sectPr w:rsidR="00177642" w:rsidRPr="00AE0A25">
      <w:headerReference w:type="even" r:id="rId9"/>
      <w:headerReference w:type="default" r:id="rId10"/>
      <w:footerReference w:type="even" r:id="rId11"/>
      <w:footerReference w:type="default" r:id="rId12"/>
      <w:headerReference w:type="first" r:id="rId13"/>
      <w:footerReference w:type="first" r:id="rId14"/>
      <w:pgSz w:w="11906" w:h="16838"/>
      <w:pgMar w:top="2268" w:right="1418" w:bottom="1418" w:left="1418" w:header="170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66A08" w14:textId="77777777" w:rsidR="00661FB0" w:rsidRDefault="00661FB0">
      <w:r>
        <w:separator/>
      </w:r>
    </w:p>
  </w:endnote>
  <w:endnote w:type="continuationSeparator" w:id="0">
    <w:p w14:paraId="7396CCE4" w14:textId="77777777" w:rsidR="00661FB0" w:rsidRDefault="00661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FD6D930-744C-4736-8EF1-3A14D038D4F8}"/>
    <w:embedBold r:id="rId2" w:fontKey="{F5148AD5-865D-4D33-9D49-3C923A56171A}"/>
    <w:embedItalic r:id="rId3" w:fontKey="{F84CF97C-887C-4DEC-A962-A1971FA32929}"/>
  </w:font>
  <w:font w:name="Cambria">
    <w:panose1 w:val="02040503050406030204"/>
    <w:charset w:val="00"/>
    <w:family w:val="roman"/>
    <w:pitch w:val="variable"/>
    <w:sig w:usb0="E00006FF" w:usb1="420024FF" w:usb2="02000000" w:usb3="00000000" w:csb0="0000019F" w:csb1="00000000"/>
    <w:embedRegular r:id="rId4" w:fontKey="{4CFA3A5C-4F05-4043-8003-0A59FCA95E46}"/>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embedRegular r:id="rId5" w:fontKey="{5CB902FB-AF80-416E-A6F9-65EE299A570E}"/>
  </w:font>
  <w:font w:name="Tahoma">
    <w:panose1 w:val="020B0604030504040204"/>
    <w:charset w:val="00"/>
    <w:family w:val="swiss"/>
    <w:pitch w:val="variable"/>
    <w:sig w:usb0="E1002EFF" w:usb1="C000605B" w:usb2="00000029" w:usb3="00000000" w:csb0="000101FF" w:csb1="00000000"/>
    <w:embedRegular r:id="rId6" w:fontKey="{E6397477-98DF-46FF-AD1B-BF61D6E3501F}"/>
  </w:font>
  <w:font w:name="Georgia">
    <w:panose1 w:val="02040502050405020303"/>
    <w:charset w:val="00"/>
    <w:family w:val="roman"/>
    <w:pitch w:val="variable"/>
    <w:sig w:usb0="00000287" w:usb1="00000000" w:usb2="00000000" w:usb3="00000000" w:csb0="0000009F" w:csb1="00000000"/>
    <w:embedItalic r:id="rId7" w:fontKey="{7831B448-3399-46EF-8707-D30EE7C701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C7544" w14:textId="77777777" w:rsidR="00177642" w:rsidRDefault="00000000">
    <w:pPr>
      <w:pBdr>
        <w:top w:val="nil"/>
        <w:left w:val="nil"/>
        <w:bottom w:val="nil"/>
        <w:right w:val="nil"/>
        <w:between w:val="nil"/>
      </w:pBdr>
      <w:tabs>
        <w:tab w:val="center" w:pos="3600"/>
        <w:tab w:val="right" w:pos="7200"/>
      </w:tabs>
      <w:jc w:val="right"/>
      <w:rPr>
        <w:color w:val="000000"/>
      </w:rPr>
    </w:pPr>
    <w:r>
      <w:rPr>
        <w:rFonts w:eastAsia="Times New Roman" w:cs="Times New Roman"/>
        <w:color w:val="000000"/>
      </w:rPr>
      <w:fldChar w:fldCharType="begin"/>
    </w:r>
    <w:r>
      <w:rPr>
        <w:rFonts w:eastAsia="Times New Roman" w:cs="Times New Roman"/>
        <w:color w:val="000000"/>
        <w:sz w:val="24"/>
      </w:rPr>
      <w:instrText>PAGE</w:instrText>
    </w:r>
    <w:r>
      <w:rPr>
        <w:rFonts w:eastAsia="Times New Roman" w:cs="Times New Roman"/>
        <w:color w:val="000000"/>
      </w:rPr>
      <w:fldChar w:fldCharType="separate"/>
    </w:r>
    <w:r>
      <w:rPr>
        <w:rFonts w:eastAsia="Times New Roman" w:cs="Times New Roman"/>
        <w:color w:val="000000"/>
      </w:rPr>
      <w:fldChar w:fldCharType="end"/>
    </w:r>
  </w:p>
  <w:p w14:paraId="694B652D" w14:textId="77777777" w:rsidR="00177642" w:rsidRDefault="00177642">
    <w:pPr>
      <w:pBdr>
        <w:top w:val="nil"/>
        <w:left w:val="nil"/>
        <w:bottom w:val="nil"/>
        <w:right w:val="nil"/>
        <w:between w:val="nil"/>
      </w:pBdr>
      <w:tabs>
        <w:tab w:val="center" w:pos="3600"/>
        <w:tab w:val="right" w:pos="720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BF3FF" w14:textId="77777777" w:rsidR="00177642" w:rsidRDefault="00000000">
    <w:pPr>
      <w:pBdr>
        <w:top w:val="nil"/>
        <w:left w:val="nil"/>
        <w:bottom w:val="nil"/>
        <w:right w:val="nil"/>
        <w:between w:val="nil"/>
      </w:pBdr>
      <w:tabs>
        <w:tab w:val="center" w:pos="3600"/>
        <w:tab w:val="right" w:pos="7200"/>
      </w:tabs>
      <w:jc w:val="center"/>
      <w:rPr>
        <w:color w:val="000000"/>
        <w:szCs w:val="20"/>
      </w:rPr>
    </w:pPr>
    <w:r>
      <w:rPr>
        <w:noProof/>
      </w:rPr>
      <w:drawing>
        <wp:anchor distT="0" distB="0" distL="114300" distR="114300" simplePos="0" relativeHeight="251661312" behindDoc="0" locked="0" layoutInCell="1" hidden="0" allowOverlap="1" wp14:anchorId="43879345" wp14:editId="43299D13">
          <wp:simplePos x="0" y="0"/>
          <wp:positionH relativeFrom="column">
            <wp:posOffset>732789</wp:posOffset>
          </wp:positionH>
          <wp:positionV relativeFrom="paragraph">
            <wp:posOffset>-136626</wp:posOffset>
          </wp:positionV>
          <wp:extent cx="4293870" cy="735965"/>
          <wp:effectExtent l="0" t="0" r="0" b="0"/>
          <wp:wrapNone/>
          <wp:docPr id="205531935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4293870" cy="735965"/>
                  </a:xfrm>
                  <a:prstGeom prst="rect">
                    <a:avLst/>
                  </a:prstGeom>
                  <a:ln/>
                </pic:spPr>
              </pic:pic>
            </a:graphicData>
          </a:graphic>
        </wp:anchor>
      </w:drawing>
    </w:r>
  </w:p>
  <w:p w14:paraId="589C257F" w14:textId="77777777" w:rsidR="00177642" w:rsidRDefault="00177642">
    <w:pPr>
      <w:pBdr>
        <w:top w:val="nil"/>
        <w:left w:val="nil"/>
        <w:bottom w:val="nil"/>
        <w:right w:val="nil"/>
        <w:between w:val="nil"/>
      </w:pBdr>
      <w:tabs>
        <w:tab w:val="center" w:pos="3600"/>
        <w:tab w:val="right" w:pos="7200"/>
      </w:tabs>
      <w:ind w:firstLine="567"/>
      <w:jc w:val="both"/>
      <w:rPr>
        <w:rFonts w:eastAsia="Times New Roman" w:cs="Times New Roman"/>
        <w:color w:val="00000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E6BEC" w14:textId="77777777" w:rsidR="00177642" w:rsidRDefault="00000000">
    <w:pPr>
      <w:pBdr>
        <w:top w:val="nil"/>
        <w:left w:val="nil"/>
        <w:bottom w:val="nil"/>
        <w:right w:val="nil"/>
        <w:between w:val="nil"/>
      </w:pBdr>
      <w:tabs>
        <w:tab w:val="center" w:pos="3600"/>
        <w:tab w:val="right" w:pos="7200"/>
      </w:tabs>
      <w:ind w:firstLine="567"/>
      <w:jc w:val="center"/>
      <w:rPr>
        <w:rFonts w:eastAsia="Times New Roman" w:cs="Times New Roman"/>
        <w:color w:val="000000"/>
        <w:szCs w:val="20"/>
      </w:rPr>
    </w:pPr>
    <w:r>
      <w:rPr>
        <w:noProof/>
      </w:rPr>
      <w:drawing>
        <wp:inline distT="0" distB="0" distL="0" distR="0" wp14:anchorId="1C741120" wp14:editId="2BC1B791">
          <wp:extent cx="4499610" cy="627380"/>
          <wp:effectExtent l="0" t="0" r="0" b="0"/>
          <wp:docPr id="2055319357" name="image1.png" descr="Logotipo, nome da empresa&#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1.png" descr="Logotipo, nome da empresa&#10;&#10;O conteúdo gerado por IA pode estar incorreto."/>
                  <pic:cNvPicPr preferRelativeResize="0"/>
                </pic:nvPicPr>
                <pic:blipFill>
                  <a:blip r:embed="rId1"/>
                  <a:srcRect/>
                  <a:stretch>
                    <a:fillRect/>
                  </a:stretch>
                </pic:blipFill>
                <pic:spPr>
                  <a:xfrm>
                    <a:off x="0" y="0"/>
                    <a:ext cx="4499610" cy="62738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85379" w14:textId="77777777" w:rsidR="00661FB0" w:rsidRDefault="00661FB0">
      <w:r>
        <w:separator/>
      </w:r>
    </w:p>
  </w:footnote>
  <w:footnote w:type="continuationSeparator" w:id="0">
    <w:p w14:paraId="361AA917" w14:textId="77777777" w:rsidR="00661FB0" w:rsidRDefault="00661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13A0" w14:textId="77777777" w:rsidR="00177642" w:rsidRDefault="00000000">
    <w:pPr>
      <w:pBdr>
        <w:top w:val="nil"/>
        <w:left w:val="nil"/>
        <w:bottom w:val="nil"/>
        <w:right w:val="nil"/>
        <w:between w:val="nil"/>
      </w:pBdr>
      <w:tabs>
        <w:tab w:val="left" w:pos="2133"/>
        <w:tab w:val="center" w:pos="3600"/>
        <w:tab w:val="right" w:pos="7200"/>
        <w:tab w:val="right" w:pos="7088"/>
      </w:tabs>
      <w:jc w:val="both"/>
      <w:rPr>
        <w:rFonts w:eastAsia="Times New Roman" w:cs="Times New Roman"/>
        <w:i/>
        <w:iCs/>
        <w:color w:val="000000"/>
        <w:szCs w:val="20"/>
      </w:rPr>
    </w:pPr>
    <w:r>
      <w:rPr>
        <w:noProof/>
      </w:rPr>
      <w:drawing>
        <wp:anchor distT="0" distB="0" distL="0" distR="0" simplePos="0" relativeHeight="251660288" behindDoc="0" locked="0" layoutInCell="1" hidden="0" allowOverlap="1" wp14:anchorId="7CB8F738" wp14:editId="5EF12337">
          <wp:simplePos x="0" y="0"/>
          <wp:positionH relativeFrom="column">
            <wp:posOffset>-917361</wp:posOffset>
          </wp:positionH>
          <wp:positionV relativeFrom="paragraph">
            <wp:posOffset>-1071667</wp:posOffset>
          </wp:positionV>
          <wp:extent cx="7599638" cy="1439662"/>
          <wp:effectExtent l="0" t="0" r="0" b="0"/>
          <wp:wrapSquare wrapText="bothSides" distT="0" distB="0" distL="0" distR="0"/>
          <wp:docPr id="2055319356" name="image4.png" descr="Ícone&#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Ícone&#10;&#10;O conteúdo gerado por IA pode estar incorreto."/>
                  <pic:cNvPicPr preferRelativeResize="0"/>
                </pic:nvPicPr>
                <pic:blipFill>
                  <a:blip r:embed="rId1"/>
                  <a:srcRect b="23599"/>
                  <a:stretch>
                    <a:fillRect/>
                  </a:stretch>
                </pic:blipFill>
                <pic:spPr>
                  <a:xfrm>
                    <a:off x="0" y="0"/>
                    <a:ext cx="7599638" cy="14396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5A675" w14:textId="77777777" w:rsidR="00177642" w:rsidRDefault="00000000">
    <w:pPr>
      <w:pBdr>
        <w:top w:val="nil"/>
        <w:left w:val="nil"/>
        <w:bottom w:val="nil"/>
        <w:right w:val="nil"/>
        <w:between w:val="nil"/>
      </w:pBdr>
      <w:tabs>
        <w:tab w:val="center" w:pos="3600"/>
        <w:tab w:val="right" w:pos="7200"/>
        <w:tab w:val="right" w:pos="7088"/>
      </w:tabs>
      <w:rPr>
        <w:rFonts w:eastAsia="Times New Roman" w:cs="Times New Roman"/>
        <w:color w:val="000000"/>
      </w:rPr>
    </w:pPr>
    <w:r>
      <w:rPr>
        <w:rFonts w:eastAsia="Times New Roman" w:cs="Times New Roman"/>
        <w:noProof/>
        <w:color w:val="000000"/>
      </w:rPr>
      <w:drawing>
        <wp:anchor distT="0" distB="0" distL="114300" distR="114300" simplePos="0" relativeHeight="251658240" behindDoc="0" locked="0" layoutInCell="1" hidden="0" allowOverlap="1" wp14:anchorId="63E0E931" wp14:editId="465EF270">
          <wp:simplePos x="0" y="0"/>
          <wp:positionH relativeFrom="margin">
            <wp:posOffset>-920749</wp:posOffset>
          </wp:positionH>
          <wp:positionV relativeFrom="topMargin">
            <wp:posOffset>-840</wp:posOffset>
          </wp:positionV>
          <wp:extent cx="7596505" cy="1432560"/>
          <wp:effectExtent l="0" t="0" r="0" b="0"/>
          <wp:wrapSquare wrapText="bothSides" distT="0" distB="0" distL="114300" distR="114300"/>
          <wp:docPr id="205531935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6898" w14:textId="77777777" w:rsidR="00177642" w:rsidRDefault="00000000">
    <w:pPr>
      <w:tabs>
        <w:tab w:val="right" w:pos="7086"/>
      </w:tabs>
      <w:jc w:val="right"/>
      <w:rPr>
        <w:rFonts w:eastAsia="Times New Roman" w:cs="Times New Roman"/>
        <w:b/>
        <w:bCs/>
      </w:rPr>
    </w:pPr>
    <w:r>
      <w:rPr>
        <w:noProof/>
      </w:rPr>
      <w:drawing>
        <wp:anchor distT="0" distB="0" distL="114300" distR="114300" simplePos="0" relativeHeight="251659264" behindDoc="0" locked="0" layoutInCell="1" hidden="0" allowOverlap="1" wp14:anchorId="2E7BC808" wp14:editId="5DB5A47C">
          <wp:simplePos x="0" y="0"/>
          <wp:positionH relativeFrom="column">
            <wp:posOffset>-900429</wp:posOffset>
          </wp:positionH>
          <wp:positionV relativeFrom="paragraph">
            <wp:posOffset>-1080134</wp:posOffset>
          </wp:positionV>
          <wp:extent cx="7596505" cy="1432560"/>
          <wp:effectExtent l="0" t="0" r="0" b="0"/>
          <wp:wrapSquare wrapText="bothSides" distT="0" distB="0" distL="114300" distR="114300"/>
          <wp:docPr id="205531936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96505" cy="1432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0F525A"/>
    <w:multiLevelType w:val="multilevel"/>
    <w:tmpl w:val="16B6C422"/>
    <w:lvl w:ilvl="0">
      <w:start w:val="1"/>
      <w:numFmt w:val="decimal"/>
      <w:pStyle w:val="Els-reference"/>
      <w:lvlText w:val="%1."/>
      <w:lvlJc w:val="left"/>
      <w:pPr>
        <w:tabs>
          <w:tab w:val="num" w:pos="720"/>
        </w:tabs>
        <w:ind w:left="720" w:hanging="720"/>
      </w:pPr>
    </w:lvl>
    <w:lvl w:ilvl="1">
      <w:start w:val="1"/>
      <w:numFmt w:val="decimal"/>
      <w:pStyle w:val="Els-1storder-head"/>
      <w:lvlText w:val="%2."/>
      <w:lvlJc w:val="left"/>
      <w:pPr>
        <w:tabs>
          <w:tab w:val="num" w:pos="1440"/>
        </w:tabs>
        <w:ind w:left="1440" w:hanging="720"/>
      </w:pPr>
    </w:lvl>
    <w:lvl w:ilvl="2">
      <w:start w:val="1"/>
      <w:numFmt w:val="decimal"/>
      <w:pStyle w:val="Els-2ndorder-head"/>
      <w:lvlText w:val="%3."/>
      <w:lvlJc w:val="left"/>
      <w:pPr>
        <w:tabs>
          <w:tab w:val="num" w:pos="2160"/>
        </w:tabs>
        <w:ind w:left="2160" w:hanging="720"/>
      </w:pPr>
    </w:lvl>
    <w:lvl w:ilvl="3">
      <w:start w:val="1"/>
      <w:numFmt w:val="decimal"/>
      <w:pStyle w:val="Els-3rdorder-head"/>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7F3F777B"/>
    <w:multiLevelType w:val="multilevel"/>
    <w:tmpl w:val="EBA237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21986006">
    <w:abstractNumId w:val="1"/>
  </w:num>
  <w:num w:numId="2" w16cid:durableId="1833059020">
    <w:abstractNumId w:val="0"/>
  </w:num>
  <w:num w:numId="3" w16cid:durableId="16347476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642"/>
    <w:rsid w:val="00023EA9"/>
    <w:rsid w:val="000633C5"/>
    <w:rsid w:val="00090728"/>
    <w:rsid w:val="001677AA"/>
    <w:rsid w:val="00177642"/>
    <w:rsid w:val="00213CB0"/>
    <w:rsid w:val="00371939"/>
    <w:rsid w:val="003F2BB0"/>
    <w:rsid w:val="00422C25"/>
    <w:rsid w:val="004E48DD"/>
    <w:rsid w:val="00583B71"/>
    <w:rsid w:val="00661FB0"/>
    <w:rsid w:val="0069399C"/>
    <w:rsid w:val="00750DDB"/>
    <w:rsid w:val="00790D63"/>
    <w:rsid w:val="007C37FC"/>
    <w:rsid w:val="00862088"/>
    <w:rsid w:val="00947350"/>
    <w:rsid w:val="00AB193F"/>
    <w:rsid w:val="00AC690F"/>
    <w:rsid w:val="00AE0A25"/>
    <w:rsid w:val="00C01B1C"/>
    <w:rsid w:val="00DA69DC"/>
    <w:rsid w:val="00E52CC7"/>
    <w:rsid w:val="00F8746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F288E"/>
  <w15:docId w15:val="{A90A832A-33F1-409E-8B6F-AB514E651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46F"/>
    <w:pPr>
      <w:spacing w:after="0" w:line="240" w:lineRule="auto"/>
    </w:pPr>
    <w:rPr>
      <w:rFonts w:ascii="Times New Roman" w:hAnsi="Times New Roman"/>
      <w:sz w:val="20"/>
    </w:rPr>
  </w:style>
  <w:style w:type="paragraph" w:styleId="Ttulo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spacing w:before="240" w:after="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styleId="Legenda">
    <w:name w:val="caption"/>
    <w:basedOn w:val="Els-caption"/>
    <w:next w:val="Els-caption"/>
    <w:qFormat/>
    <w:rsid w:val="008B0184"/>
  </w:style>
  <w:style w:type="paragraph" w:customStyle="1" w:styleId="Els-caption">
    <w:name w:val="Els-caption"/>
    <w:rsid w:val="008B0184"/>
    <w:pPr>
      <w:keepLines/>
      <w:spacing w:before="100" w:after="120"/>
    </w:pPr>
    <w:rPr>
      <w:sz w:val="18"/>
      <w:lang w:val="en-US" w:eastAsia="en-US"/>
    </w:rPr>
  </w:style>
  <w:style w:type="paragraph" w:customStyle="1" w:styleId="Els-1storder-head">
    <w:name w:val="Els-1storder-head"/>
    <w:basedOn w:val="Els-body-text"/>
    <w:next w:val="Els-body-text"/>
    <w:rsid w:val="008B0184"/>
    <w:pPr>
      <w:keepNext/>
      <w:numPr>
        <w:ilvl w:val="1"/>
        <w:numId w:val="2"/>
      </w:numPr>
      <w:suppressAutoHyphens/>
      <w:spacing w:before="240" w:after="60" w:line="240" w:lineRule="exact"/>
    </w:pPr>
    <w:rPr>
      <w:b/>
      <w:sz w:val="22"/>
    </w:rPr>
  </w:style>
  <w:style w:type="paragraph" w:customStyle="1" w:styleId="Els-body-text">
    <w:name w:val="Els-body-text"/>
    <w:rsid w:val="008B0184"/>
    <w:rPr>
      <w:lang w:val="en-US" w:eastAsia="en-US"/>
    </w:rPr>
  </w:style>
  <w:style w:type="paragraph" w:customStyle="1" w:styleId="Els-2ndorder-head">
    <w:name w:val="Els-2ndorder-head"/>
    <w:basedOn w:val="Els-body-text"/>
    <w:next w:val="Els-body-text"/>
    <w:rsid w:val="008B0184"/>
    <w:pPr>
      <w:keepNext/>
      <w:numPr>
        <w:ilvl w:val="2"/>
        <w:numId w:val="2"/>
      </w:numPr>
      <w:suppressAutoHyphens/>
      <w:spacing w:before="80"/>
    </w:pPr>
    <w:rPr>
      <w:i/>
    </w:rPr>
  </w:style>
  <w:style w:type="paragraph" w:customStyle="1" w:styleId="Els-3rdorder-head">
    <w:name w:val="Els-3rdorder-head"/>
    <w:basedOn w:val="Els-body-text"/>
    <w:next w:val="Els-body-text"/>
    <w:rsid w:val="008B0184"/>
    <w:pPr>
      <w:keepNext/>
      <w:numPr>
        <w:ilvl w:val="3"/>
        <w:numId w:val="2"/>
      </w:numPr>
      <w:suppressAutoHyphens/>
      <w:spacing w:before="60"/>
    </w:pPr>
    <w:rPr>
      <w:i/>
    </w:rPr>
  </w:style>
  <w:style w:type="paragraph" w:customStyle="1" w:styleId="Els-Affiliation">
    <w:name w:val="Els-Affiliation"/>
    <w:rsid w:val="008B0184"/>
    <w:pPr>
      <w:suppressAutoHyphens/>
      <w:spacing w:line="240" w:lineRule="exact"/>
    </w:pPr>
    <w:rPr>
      <w:i/>
      <w:noProof/>
      <w:lang w:eastAsia="en-US"/>
    </w:rPr>
  </w:style>
  <w:style w:type="paragraph" w:customStyle="1" w:styleId="Els-Author">
    <w:name w:val="Els-Author"/>
    <w:next w:val="Els-Affiliation"/>
    <w:rsid w:val="008B0184"/>
    <w:pPr>
      <w:keepNext/>
      <w:suppressAutoHyphens/>
      <w:spacing w:after="60" w:line="310" w:lineRule="exact"/>
    </w:pPr>
    <w:rPr>
      <w:noProof/>
      <w:sz w:val="22"/>
      <w:lang w:eastAsia="en-US"/>
    </w:rPr>
  </w:style>
  <w:style w:type="paragraph" w:customStyle="1" w:styleId="Els-bulletlist">
    <w:name w:val="Els-bulletlist"/>
    <w:basedOn w:val="Els-body-text"/>
    <w:rsid w:val="008B0184"/>
    <w:pPr>
      <w:tabs>
        <w:tab w:val="left" w:pos="240"/>
        <w:tab w:val="num" w:pos="360"/>
      </w:tabs>
      <w:ind w:left="240" w:hanging="240"/>
    </w:pPr>
  </w:style>
  <w:style w:type="paragraph" w:customStyle="1" w:styleId="Els-chem-equation">
    <w:name w:val="Els-chem-equation"/>
    <w:basedOn w:val="Els-body-text"/>
    <w:next w:val="Els-body-text"/>
    <w:rsid w:val="008B0184"/>
    <w:pPr>
      <w:tabs>
        <w:tab w:val="right" w:pos="7088"/>
      </w:tabs>
      <w:spacing w:before="120" w:after="120"/>
    </w:pPr>
    <w:rPr>
      <w:noProof/>
      <w:lang w:val="en-GB"/>
    </w:rPr>
  </w:style>
  <w:style w:type="paragraph" w:customStyle="1" w:styleId="Els-equation">
    <w:name w:val="Els-equation"/>
    <w:basedOn w:val="Els-body-text"/>
    <w:next w:val="Els-body-text"/>
    <w:rsid w:val="008B0184"/>
    <w:pPr>
      <w:tabs>
        <w:tab w:val="right" w:pos="7088"/>
      </w:tabs>
      <w:spacing w:before="120" w:after="120"/>
    </w:pPr>
    <w:rPr>
      <w:i/>
      <w:noProof/>
      <w:lang w:val="en-GB"/>
    </w:rPr>
  </w:style>
  <w:style w:type="paragraph" w:customStyle="1" w:styleId="Els-footnote">
    <w:name w:val="Els-footnote"/>
    <w:rsid w:val="008B0184"/>
    <w:pPr>
      <w:keepLines/>
      <w:widowControl w:val="0"/>
      <w:ind w:left="120" w:hanging="120"/>
    </w:pPr>
    <w:rPr>
      <w:sz w:val="18"/>
      <w:lang w:val="en-US" w:eastAsia="en-US"/>
    </w:rPr>
  </w:style>
  <w:style w:type="paragraph" w:customStyle="1" w:styleId="Els-numlist">
    <w:name w:val="Els-numlist"/>
    <w:basedOn w:val="Els-body-text"/>
    <w:rsid w:val="008B0184"/>
    <w:pPr>
      <w:tabs>
        <w:tab w:val="left" w:pos="240"/>
        <w:tab w:val="num" w:pos="360"/>
      </w:tabs>
      <w:ind w:left="240" w:hanging="240"/>
    </w:pPr>
  </w:style>
  <w:style w:type="paragraph" w:customStyle="1" w:styleId="Els-reference">
    <w:name w:val="Els-reference"/>
    <w:rsid w:val="008B0184"/>
    <w:pPr>
      <w:numPr>
        <w:numId w:val="3"/>
      </w:numPr>
      <w:ind w:left="482"/>
    </w:pPr>
    <w:rPr>
      <w:noProof/>
      <w:sz w:val="18"/>
      <w:lang w:eastAsia="en-US"/>
    </w:rPr>
  </w:style>
  <w:style w:type="paragraph" w:customStyle="1" w:styleId="Els-reference-head">
    <w:name w:val="Els-reference-head"/>
    <w:basedOn w:val="Els-body-text"/>
    <w:next w:val="Els-referenceno-number"/>
    <w:rsid w:val="008B0184"/>
    <w:pPr>
      <w:keepNext/>
      <w:spacing w:before="240" w:after="60"/>
    </w:pPr>
    <w:rPr>
      <w:b/>
      <w:sz w:val="22"/>
      <w:szCs w:val="22"/>
    </w:rPr>
  </w:style>
  <w:style w:type="paragraph" w:customStyle="1" w:styleId="Els-table-text">
    <w:name w:val="Els-table-text"/>
    <w:rsid w:val="008B0184"/>
    <w:pPr>
      <w:keepNext/>
      <w:spacing w:after="80" w:line="240" w:lineRule="exact"/>
    </w:pPr>
    <w:rPr>
      <w:sz w:val="18"/>
      <w:lang w:val="en-US" w:eastAsia="en-US"/>
    </w:rPr>
  </w:style>
  <w:style w:type="paragraph" w:customStyle="1" w:styleId="Els-Title">
    <w:name w:val="Els-Title"/>
    <w:next w:val="Els-Author"/>
    <w:rsid w:val="008B0184"/>
    <w:pPr>
      <w:suppressAutoHyphens/>
      <w:spacing w:before="240" w:after="120" w:line="360" w:lineRule="exact"/>
    </w:pPr>
    <w:rPr>
      <w:b/>
      <w:sz w:val="32"/>
      <w:lang w:val="en-US" w:eastAsia="en-US"/>
    </w:rPr>
  </w:style>
  <w:style w:type="character" w:styleId="Refdenotadefim">
    <w:name w:val="endnote reference"/>
    <w:basedOn w:val="Fontepargpadro"/>
    <w:semiHidden/>
    <w:rsid w:val="008B0184"/>
    <w:rPr>
      <w:vertAlign w:val="superscript"/>
    </w:rPr>
  </w:style>
  <w:style w:type="paragraph" w:styleId="Cabealho">
    <w:name w:val="header"/>
    <w:link w:val="CabealhoChar"/>
    <w:uiPriority w:val="99"/>
    <w:rsid w:val="008B0184"/>
    <w:pPr>
      <w:tabs>
        <w:tab w:val="center" w:pos="3600"/>
        <w:tab w:val="right" w:pos="7200"/>
      </w:tabs>
      <w:spacing w:line="200" w:lineRule="atLeast"/>
    </w:pPr>
    <w:rPr>
      <w:noProof/>
      <w:lang w:eastAsia="en-US"/>
    </w:rPr>
  </w:style>
  <w:style w:type="paragraph" w:styleId="Rodap">
    <w:name w:val="footer"/>
    <w:basedOn w:val="Cabealho"/>
    <w:link w:val="RodapChar"/>
    <w:uiPriority w:val="99"/>
    <w:rsid w:val="008B0184"/>
  </w:style>
  <w:style w:type="character" w:styleId="Refdenotaderodap">
    <w:name w:val="footnote reference"/>
    <w:semiHidden/>
    <w:rsid w:val="008B0184"/>
    <w:rPr>
      <w:vertAlign w:val="superscript"/>
    </w:rPr>
  </w:style>
  <w:style w:type="paragraph" w:styleId="Textodenotaderodap">
    <w:name w:val="footnote text"/>
    <w:basedOn w:val="Normal"/>
    <w:semiHidden/>
    <w:rsid w:val="008B0184"/>
    <w:rPr>
      <w:rFonts w:ascii="Univers" w:hAnsi="Univers"/>
    </w:rPr>
  </w:style>
  <w:style w:type="character" w:styleId="Hyperlink">
    <w:name w:val="Hyperlink"/>
    <w:basedOn w:val="Fontepargpadro"/>
    <w:rsid w:val="008B0184"/>
    <w:rPr>
      <w:color w:val="0000FF"/>
      <w:u w:val="single"/>
    </w:rPr>
  </w:style>
  <w:style w:type="character" w:customStyle="1" w:styleId="MTEquationSection">
    <w:name w:val="MTEquationSection"/>
    <w:basedOn w:val="Fontepargpadro"/>
    <w:rsid w:val="008B0184"/>
    <w:rPr>
      <w:vanish/>
      <w:color w:val="FF0000"/>
    </w:rPr>
  </w:style>
  <w:style w:type="character" w:styleId="Nmerodepgina">
    <w:name w:val="page number"/>
    <w:basedOn w:val="Fontepargpadro"/>
    <w:rsid w:val="008B0184"/>
    <w:rPr>
      <w:sz w:val="20"/>
      <w:szCs w:val="20"/>
    </w:rPr>
  </w:style>
  <w:style w:type="paragraph" w:customStyle="1" w:styleId="Els-Chapterno">
    <w:name w:val="Els-Chapter no"/>
    <w:rsid w:val="008B0184"/>
    <w:pPr>
      <w:tabs>
        <w:tab w:val="num" w:pos="720"/>
      </w:tabs>
      <w:spacing w:before="907" w:line="260" w:lineRule="exact"/>
      <w:ind w:left="720" w:hanging="720"/>
    </w:pPr>
    <w:rPr>
      <w:lang w:val="en-US" w:eastAsia="en-US"/>
    </w:rPr>
  </w:style>
  <w:style w:type="paragraph" w:customStyle="1" w:styleId="Els-referenceno-number">
    <w:name w:val="Els-reference no-number"/>
    <w:basedOn w:val="Els-reference"/>
    <w:rsid w:val="008B0184"/>
    <w:pPr>
      <w:numPr>
        <w:numId w:val="0"/>
      </w:numPr>
      <w:ind w:left="240" w:hanging="240"/>
    </w:pPr>
  </w:style>
  <w:style w:type="character" w:customStyle="1" w:styleId="Els-captionChar">
    <w:name w:val="Els-caption Char"/>
    <w:basedOn w:val="Fontepargpadro"/>
    <w:rsid w:val="008B0184"/>
    <w:rPr>
      <w:sz w:val="18"/>
      <w:lang w:val="en-US" w:eastAsia="en-US" w:bidi="ar-SA"/>
    </w:rPr>
  </w:style>
  <w:style w:type="character" w:styleId="Refdecomentrio">
    <w:name w:val="annotation reference"/>
    <w:basedOn w:val="Fontepargpadro"/>
    <w:semiHidden/>
    <w:rsid w:val="008B0184"/>
    <w:rPr>
      <w:sz w:val="16"/>
      <w:szCs w:val="16"/>
    </w:rPr>
  </w:style>
  <w:style w:type="paragraph" w:styleId="Textodecomentrio">
    <w:name w:val="annotation text"/>
    <w:basedOn w:val="Normal"/>
    <w:semiHidden/>
    <w:rsid w:val="008B0184"/>
  </w:style>
  <w:style w:type="paragraph" w:styleId="Assuntodocomentrio">
    <w:name w:val="annotation subject"/>
    <w:basedOn w:val="Textodecomentrio"/>
    <w:next w:val="Textodecomentrio"/>
    <w:semiHidden/>
    <w:rsid w:val="008B0184"/>
    <w:rPr>
      <w:b/>
      <w:bCs/>
    </w:rPr>
  </w:style>
  <w:style w:type="paragraph" w:styleId="Textodebalo">
    <w:name w:val="Balloon Text"/>
    <w:basedOn w:val="Normal"/>
    <w:semiHidden/>
    <w:rsid w:val="008B0184"/>
    <w:rPr>
      <w:rFonts w:ascii="Tahoma" w:hAnsi="Tahoma" w:cs="Tahoma"/>
      <w:sz w:val="16"/>
      <w:szCs w:val="16"/>
    </w:rPr>
  </w:style>
  <w:style w:type="paragraph" w:customStyle="1" w:styleId="Els-Abstract">
    <w:name w:val="Els-Abstract"/>
    <w:basedOn w:val="Els-1storder-head"/>
    <w:next w:val="Els-body-text"/>
    <w:autoRedefine/>
    <w:rsid w:val="00402878"/>
    <w:pPr>
      <w:numPr>
        <w:ilvl w:val="0"/>
        <w:numId w:val="0"/>
      </w:numPr>
      <w:jc w:val="center"/>
    </w:pPr>
    <w:rPr>
      <w:sz w:val="20"/>
      <w:szCs w:val="18"/>
      <w:lang w:val="pt-BR"/>
    </w:rPr>
  </w:style>
  <w:style w:type="paragraph" w:styleId="SemEspaamento">
    <w:name w:val="No Spacing"/>
    <w:uiPriority w:val="1"/>
    <w:qFormat/>
    <w:rsid w:val="00684389"/>
    <w:rPr>
      <w:rFonts w:asciiTheme="minorHAnsi" w:eastAsiaTheme="minorHAnsi" w:hAnsiTheme="minorHAnsi" w:cstheme="minorBidi"/>
      <w:sz w:val="22"/>
      <w:szCs w:val="22"/>
      <w:lang w:eastAsia="en-US"/>
    </w:rPr>
  </w:style>
  <w:style w:type="character" w:styleId="TextodoEspaoReservado">
    <w:name w:val="Placeholder Text"/>
    <w:basedOn w:val="Fontepargpadro"/>
    <w:uiPriority w:val="99"/>
    <w:semiHidden/>
    <w:rsid w:val="00A658BE"/>
    <w:rPr>
      <w:color w:val="808080"/>
    </w:rPr>
  </w:style>
  <w:style w:type="table" w:styleId="Tabelacomgrade">
    <w:name w:val="Table Grid"/>
    <w:basedOn w:val="Tabelanormal"/>
    <w:rsid w:val="003F69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
    <w:name w:val="Cabeçalho Char"/>
    <w:basedOn w:val="Fontepargpadro"/>
    <w:link w:val="Cabealho"/>
    <w:uiPriority w:val="99"/>
    <w:rsid w:val="000A4877"/>
    <w:rPr>
      <w:noProof/>
      <w:lang w:eastAsia="en-US"/>
    </w:rPr>
  </w:style>
  <w:style w:type="character" w:customStyle="1" w:styleId="hlfld-contribauthor">
    <w:name w:val="hlfld-contribauthor"/>
    <w:basedOn w:val="Fontepargpadro"/>
    <w:rsid w:val="00FA2CC0"/>
  </w:style>
  <w:style w:type="paragraph" w:customStyle="1" w:styleId="comma-separator">
    <w:name w:val="comma-separator"/>
    <w:basedOn w:val="Normal"/>
    <w:rsid w:val="00FA2CC0"/>
    <w:pPr>
      <w:spacing w:before="100" w:beforeAutospacing="1" w:after="100" w:afterAutospacing="1"/>
    </w:pPr>
    <w:rPr>
      <w:rFonts w:eastAsia="Times New Roman" w:cs="Times New Roman"/>
    </w:rPr>
  </w:style>
  <w:style w:type="character" w:customStyle="1" w:styleId="comma-separator1">
    <w:name w:val="comma-separator1"/>
    <w:basedOn w:val="Fontepargpadro"/>
    <w:rsid w:val="00FA2CC0"/>
  </w:style>
  <w:style w:type="character" w:customStyle="1" w:styleId="Ttulo1Char">
    <w:name w:val="Título 1 Char"/>
    <w:basedOn w:val="Fontepargpadro"/>
    <w:uiPriority w:val="9"/>
    <w:rsid w:val="00FA2CC0"/>
    <w:rPr>
      <w:rFonts w:asciiTheme="majorHAnsi" w:eastAsiaTheme="majorEastAsia" w:hAnsiTheme="majorHAnsi" w:cstheme="majorBidi"/>
      <w:color w:val="365F91" w:themeColor="accent1" w:themeShade="BF"/>
      <w:kern w:val="2"/>
      <w:sz w:val="32"/>
      <w:szCs w:val="32"/>
      <w:lang w:val="pt-BR" w:eastAsia="en-US"/>
    </w:rPr>
  </w:style>
  <w:style w:type="character" w:customStyle="1" w:styleId="hlfld-title">
    <w:name w:val="hlfld-title"/>
    <w:basedOn w:val="Fontepargpadro"/>
    <w:rsid w:val="00FA2CC0"/>
  </w:style>
  <w:style w:type="character" w:customStyle="1" w:styleId="cit-title">
    <w:name w:val="cit-title"/>
    <w:basedOn w:val="Fontepargpadro"/>
    <w:rsid w:val="00FA2CC0"/>
  </w:style>
  <w:style w:type="character" w:customStyle="1" w:styleId="cit-year-info">
    <w:name w:val="cit-year-info"/>
    <w:basedOn w:val="Fontepargpadro"/>
    <w:rsid w:val="00FA2CC0"/>
  </w:style>
  <w:style w:type="character" w:customStyle="1" w:styleId="cit-volume">
    <w:name w:val="cit-volume"/>
    <w:basedOn w:val="Fontepargpadro"/>
    <w:rsid w:val="00FA2CC0"/>
  </w:style>
  <w:style w:type="character" w:customStyle="1" w:styleId="cit-issue">
    <w:name w:val="cit-issue"/>
    <w:basedOn w:val="Fontepargpadro"/>
    <w:rsid w:val="00FA2CC0"/>
  </w:style>
  <w:style w:type="character" w:customStyle="1" w:styleId="cit-pagerange">
    <w:name w:val="cit-pagerange"/>
    <w:basedOn w:val="Fontepargpadro"/>
    <w:rsid w:val="00FA2CC0"/>
  </w:style>
  <w:style w:type="paragraph" w:styleId="Reviso">
    <w:name w:val="Revision"/>
    <w:hidden/>
    <w:uiPriority w:val="99"/>
    <w:semiHidden/>
    <w:rsid w:val="000444D4"/>
    <w:rPr>
      <w:rFonts w:asciiTheme="minorHAnsi" w:eastAsiaTheme="minorHAnsi" w:hAnsiTheme="minorHAnsi" w:cstheme="minorBidi"/>
      <w:kern w:val="2"/>
      <w:sz w:val="22"/>
      <w:szCs w:val="22"/>
      <w:lang w:eastAsia="en-US"/>
    </w:rPr>
  </w:style>
  <w:style w:type="table" w:customStyle="1" w:styleId="a">
    <w:basedOn w:val="TableNormal0"/>
    <w:tblPr>
      <w:tblStyleRowBandSize w:val="1"/>
      <w:tblStyleColBandSize w:val="1"/>
      <w:tblCellMar>
        <w:top w:w="0" w:type="dxa"/>
        <w:left w:w="108" w:type="dxa"/>
        <w:bottom w:w="0" w:type="dxa"/>
        <w:right w:w="108" w:type="dxa"/>
      </w:tblCellMar>
    </w:tblPr>
  </w:style>
  <w:style w:type="character" w:customStyle="1" w:styleId="RodapChar">
    <w:name w:val="Rodapé Char"/>
    <w:basedOn w:val="Fontepargpadro"/>
    <w:link w:val="Rodap"/>
    <w:uiPriority w:val="99"/>
    <w:rsid w:val="00DB5EC1"/>
    <w:rPr>
      <w:noProof/>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Bibliografia">
    <w:name w:val="Bibliography"/>
    <w:basedOn w:val="Normal"/>
    <w:next w:val="Normal"/>
    <w:uiPriority w:val="37"/>
    <w:unhideWhenUsed/>
    <w:rsid w:val="00F874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560345">
      <w:bodyDiv w:val="1"/>
      <w:marLeft w:val="0"/>
      <w:marRight w:val="0"/>
      <w:marTop w:val="0"/>
      <w:marBottom w:val="0"/>
      <w:divBdr>
        <w:top w:val="none" w:sz="0" w:space="0" w:color="auto"/>
        <w:left w:val="none" w:sz="0" w:space="0" w:color="auto"/>
        <w:bottom w:val="none" w:sz="0" w:space="0" w:color="auto"/>
        <w:right w:val="none" w:sz="0" w:space="0" w:color="auto"/>
      </w:divBdr>
    </w:div>
    <w:div w:id="518470110">
      <w:bodyDiv w:val="1"/>
      <w:marLeft w:val="0"/>
      <w:marRight w:val="0"/>
      <w:marTop w:val="0"/>
      <w:marBottom w:val="0"/>
      <w:divBdr>
        <w:top w:val="none" w:sz="0" w:space="0" w:color="auto"/>
        <w:left w:val="none" w:sz="0" w:space="0" w:color="auto"/>
        <w:bottom w:val="none" w:sz="0" w:space="0" w:color="auto"/>
        <w:right w:val="none" w:sz="0" w:space="0" w:color="auto"/>
      </w:divBdr>
    </w:div>
    <w:div w:id="596253353">
      <w:bodyDiv w:val="1"/>
      <w:marLeft w:val="0"/>
      <w:marRight w:val="0"/>
      <w:marTop w:val="0"/>
      <w:marBottom w:val="0"/>
      <w:divBdr>
        <w:top w:val="none" w:sz="0" w:space="0" w:color="auto"/>
        <w:left w:val="none" w:sz="0" w:space="0" w:color="auto"/>
        <w:bottom w:val="none" w:sz="0" w:space="0" w:color="auto"/>
        <w:right w:val="none" w:sz="0" w:space="0" w:color="auto"/>
      </w:divBdr>
    </w:div>
    <w:div w:id="631441439">
      <w:bodyDiv w:val="1"/>
      <w:marLeft w:val="0"/>
      <w:marRight w:val="0"/>
      <w:marTop w:val="0"/>
      <w:marBottom w:val="0"/>
      <w:divBdr>
        <w:top w:val="none" w:sz="0" w:space="0" w:color="auto"/>
        <w:left w:val="none" w:sz="0" w:space="0" w:color="auto"/>
        <w:bottom w:val="none" w:sz="0" w:space="0" w:color="auto"/>
        <w:right w:val="none" w:sz="0" w:space="0" w:color="auto"/>
      </w:divBdr>
    </w:div>
    <w:div w:id="828061344">
      <w:bodyDiv w:val="1"/>
      <w:marLeft w:val="0"/>
      <w:marRight w:val="0"/>
      <w:marTop w:val="0"/>
      <w:marBottom w:val="0"/>
      <w:divBdr>
        <w:top w:val="none" w:sz="0" w:space="0" w:color="auto"/>
        <w:left w:val="none" w:sz="0" w:space="0" w:color="auto"/>
        <w:bottom w:val="none" w:sz="0" w:space="0" w:color="auto"/>
        <w:right w:val="none" w:sz="0" w:space="0" w:color="auto"/>
      </w:divBdr>
    </w:div>
    <w:div w:id="1191452496">
      <w:bodyDiv w:val="1"/>
      <w:marLeft w:val="0"/>
      <w:marRight w:val="0"/>
      <w:marTop w:val="0"/>
      <w:marBottom w:val="0"/>
      <w:divBdr>
        <w:top w:val="none" w:sz="0" w:space="0" w:color="auto"/>
        <w:left w:val="none" w:sz="0" w:space="0" w:color="auto"/>
        <w:bottom w:val="none" w:sz="0" w:space="0" w:color="auto"/>
        <w:right w:val="none" w:sz="0" w:space="0" w:color="auto"/>
      </w:divBdr>
    </w:div>
    <w:div w:id="1256937748">
      <w:bodyDiv w:val="1"/>
      <w:marLeft w:val="0"/>
      <w:marRight w:val="0"/>
      <w:marTop w:val="0"/>
      <w:marBottom w:val="0"/>
      <w:divBdr>
        <w:top w:val="none" w:sz="0" w:space="0" w:color="auto"/>
        <w:left w:val="none" w:sz="0" w:space="0" w:color="auto"/>
        <w:bottom w:val="none" w:sz="0" w:space="0" w:color="auto"/>
        <w:right w:val="none" w:sz="0" w:space="0" w:color="auto"/>
      </w:divBdr>
    </w:div>
    <w:div w:id="1263417966">
      <w:bodyDiv w:val="1"/>
      <w:marLeft w:val="0"/>
      <w:marRight w:val="0"/>
      <w:marTop w:val="0"/>
      <w:marBottom w:val="0"/>
      <w:divBdr>
        <w:top w:val="none" w:sz="0" w:space="0" w:color="auto"/>
        <w:left w:val="none" w:sz="0" w:space="0" w:color="auto"/>
        <w:bottom w:val="none" w:sz="0" w:space="0" w:color="auto"/>
        <w:right w:val="none" w:sz="0" w:space="0" w:color="auto"/>
      </w:divBdr>
    </w:div>
    <w:div w:id="1704283078">
      <w:bodyDiv w:val="1"/>
      <w:marLeft w:val="0"/>
      <w:marRight w:val="0"/>
      <w:marTop w:val="0"/>
      <w:marBottom w:val="0"/>
      <w:divBdr>
        <w:top w:val="none" w:sz="0" w:space="0" w:color="auto"/>
        <w:left w:val="none" w:sz="0" w:space="0" w:color="auto"/>
        <w:bottom w:val="none" w:sz="0" w:space="0" w:color="auto"/>
        <w:right w:val="none" w:sz="0" w:space="0" w:color="auto"/>
      </w:divBdr>
    </w:div>
    <w:div w:id="1704285413">
      <w:bodyDiv w:val="1"/>
      <w:marLeft w:val="0"/>
      <w:marRight w:val="0"/>
      <w:marTop w:val="0"/>
      <w:marBottom w:val="0"/>
      <w:divBdr>
        <w:top w:val="none" w:sz="0" w:space="0" w:color="auto"/>
        <w:left w:val="none" w:sz="0" w:space="0" w:color="auto"/>
        <w:bottom w:val="none" w:sz="0" w:space="0" w:color="auto"/>
        <w:right w:val="none" w:sz="0" w:space="0" w:color="auto"/>
      </w:divBdr>
    </w:div>
    <w:div w:id="1758205268">
      <w:bodyDiv w:val="1"/>
      <w:marLeft w:val="0"/>
      <w:marRight w:val="0"/>
      <w:marTop w:val="0"/>
      <w:marBottom w:val="0"/>
      <w:divBdr>
        <w:top w:val="none" w:sz="0" w:space="0" w:color="auto"/>
        <w:left w:val="none" w:sz="0" w:space="0" w:color="auto"/>
        <w:bottom w:val="none" w:sz="0" w:space="0" w:color="auto"/>
        <w:right w:val="none" w:sz="0" w:space="0" w:color="auto"/>
      </w:divBdr>
    </w:div>
    <w:div w:id="1893422599">
      <w:bodyDiv w:val="1"/>
      <w:marLeft w:val="0"/>
      <w:marRight w:val="0"/>
      <w:marTop w:val="0"/>
      <w:marBottom w:val="0"/>
      <w:divBdr>
        <w:top w:val="none" w:sz="0" w:space="0" w:color="auto"/>
        <w:left w:val="none" w:sz="0" w:space="0" w:color="auto"/>
        <w:bottom w:val="none" w:sz="0" w:space="0" w:color="auto"/>
        <w:right w:val="none" w:sz="0" w:space="0" w:color="auto"/>
      </w:divBdr>
    </w:div>
    <w:div w:id="2023311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uB9eoJSaVwUAiHslW5cJDIq2MQ==">CgMxLjAyDmgucTJxMTBvd3lucjQxOAByITFiUWttRjZmano1OVVJSFNXUTRXR0NOUWxpWUc1WnpRdg==</go:docsCustomData>
</go:gDocsCustomXmlDataStorage>
</file>

<file path=customXml/item2.xml><?xml version="1.0" encoding="utf-8"?>
<b:Sources xmlns:b="http://schemas.openxmlformats.org/officeDocument/2006/bibliography" xmlns="http://schemas.openxmlformats.org/officeDocument/2006/bibliography" SelectedStyle="\ABNT_Author.XSL" StyleName="ABNT NBR 14724:2025 - Author" Version="4">
  <b:Source>
    <b:Tag>Pen76</b:Tag>
    <b:SourceType>ArticleInAPeriodical</b:SourceType>
    <b:Guid>{D016E985-E45C-4DE8-8035-10D4339AC338}</b:Guid>
    <b:Title>A New Two-Constant Equation of State</b:Title>
    <b:Year>1976</b:Year>
    <b:City>Alberta, Canada</b:City>
    <b:Publisher>American Chemical Society (ACS)</b:Publisher>
    <b:Volume>15</b:Volume>
    <b:Author>
      <b:Author>
        <b:NameList>
          <b:Person>
            <b:Last>Peng</b:Last>
            <b:First>D.</b:First>
          </b:Person>
          <b:Person>
            <b:Last>Robinson</b:Last>
            <b:First>D.</b:First>
            <b:Middle>B.</b:Middle>
          </b:Person>
        </b:NameList>
      </b:Author>
    </b:Author>
    <b:PeriodicalTitle>Industrial &amp; Engineering Chemistry Fundamentals</b:PeriodicalTitle>
    <b:Edition>1</b:Edition>
    <b:Month>Fevereiro</b:Month>
    <b:Day>1</b:Day>
    <b:Pages>59-64</b:Pages>
    <b:YearAccessed>2026</b:YearAccessed>
    <b:MonthAccessed>Fevereiro</b:MonthAccessed>
    <b:DayAccessed>25</b:DayAccessed>
    <b:URL>doi.org/10.1021/i160057a011</b:URL>
    <b:DOI>10.1021/i160057a011</b:DOI>
    <b:RefOrder>1</b:RefOrder>
  </b:Source>
  <b:Source>
    <b:Tag>Cav22</b:Tag>
    <b:SourceType>ArticleInAPeriodical</b:SourceType>
    <b:Guid>{28CE5D11-0374-4498-B13C-D4ED6E03A06A}</b:Guid>
    <b:Author>
      <b:Author>
        <b:NameList>
          <b:Person>
            <b:Last>Cavalcanti</b:Last>
            <b:First>C.</b:First>
            <b:Middle>J. S.</b:Middle>
          </b:Person>
          <b:Person>
            <b:Last>Ravagnani</b:Last>
            <b:First>M.</b:First>
            <b:Middle>A. S. S.</b:Middle>
          </b:Person>
          <b:Person>
            <b:Last>Stragevitch</b:Last>
            <b:First>L.</b:First>
          </b:Person>
          <b:Person>
            <b:Last>Carvalho</b:Last>
            <b:First>F.</b:First>
            <b:Middle>R.</b:Middle>
          </b:Person>
          <b:Person>
            <b:Last>Pimentel</b:Last>
            <b:First>M.</b:First>
            <b:Middle>F.</b:Middle>
          </b:Person>
        </b:NameList>
      </b:Author>
    </b:Author>
    <b:Title>Simulation of the soybean oil hydrotreating process for green diesel production</b:Title>
    <b:Year>2022</b:Year>
    <b:City>Recife</b:City>
    <b:Publisher>Elsevier</b:Publisher>
    <b:StateProvince>Pernambuco</b:StateProvince>
    <b:CountryRegion>Brasil</b:CountryRegion>
    <b:Pages>1-11</b:Pages>
    <b:YearAccessed>25</b:YearAccessed>
    <b:MonthAccessed>Novembro</b:MonthAccessed>
    <b:DayAccessed>2024</b:DayAccessed>
    <b:URL>https://doi.org/10.1016/j.clce.2022.100004</b:URL>
    <b:DOI>doi.org/10.1016/j.clce.2022.100004</b:DOI>
    <b:PeriodicalTitle>Cleaner Chemical Engineering</b:PeriodicalTitle>
    <b:Month>Fevereiro</b:Month>
    <b:Day>9</b:Day>
    <b:RefOrder>2</b:RefOrder>
  </b:Source>
  <b:Source>
    <b:Tag>Ped22</b:Tag>
    <b:SourceType>ArticleInAPeriodical</b:SourceType>
    <b:Guid>{66E21FEC-CDDE-467E-8F9B-2FA5F6C75BEB}</b:Guid>
    <b:Title>Hydrodeoxygenation of stearic acid to produce diesel–like hydrocarbons: kinetic modeling, parameter estimation and simulation</b:Title>
    <b:PeriodicalTitle>Chemical Engineering Science</b:PeriodicalTitle>
    <b:Year>2022</b:Year>
    <b:Month>Fevereiro</b:Month>
    <b:Day>27</b:Day>
    <b:Author>
      <b:Author>
        <b:NameList>
          <b:Person>
            <b:Last>Pedroza</b:Last>
            <b:First>M.</b:First>
            <b:Middle>A.</b:Middle>
          </b:Person>
          <b:Person>
            <b:Last>Segtovich</b:Last>
            <b:First>I.</b:First>
            <b:Middle>S. V.</b:Middle>
          </b:Person>
          <b:Person>
            <b:Last>Sermoud</b:Last>
            <b:First>V.</b:First>
            <b:Middle>M.</b:Middle>
          </b:Person>
          <b:Person>
            <b:Last>Silva</b:Last>
            <b:First>M.</b:First>
            <b:Middle>A. P.</b:Middle>
          </b:Person>
        </b:NameList>
      </b:Author>
      <b:Editor>
        <b:NameList>
          <b:Person>
            <b:Last>117576</b:Last>
          </b:Person>
        </b:NameList>
      </b:Editor>
    </b:Author>
    <b:City>Rio de Janeiro</b:City>
    <b:Publisher>Elsevier</b:Publisher>
    <b:Volume>254</b:Volume>
    <b:YearAccessed>2025</b:YearAccessed>
    <b:MonthAccessed>Março</b:MonthAccessed>
    <b:DayAccessed>20</b:DayAccessed>
    <b:URL>https://doi.org/10.1016/j.ces.2022.117576</b:URL>
    <b:DOI>10.1016/j.ces.2022.117576</b:DOI>
    <b:RefOrder>3</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DD15D60-4004-47CD-9456-E74D88228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1</Pages>
  <Words>676</Words>
  <Characters>3652</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Reis</dc:creator>
  <cp:lastModifiedBy>Vitor Lima</cp:lastModifiedBy>
  <cp:revision>8</cp:revision>
  <dcterms:created xsi:type="dcterms:W3CDTF">2026-01-30T01:29:00Z</dcterms:created>
  <dcterms:modified xsi:type="dcterms:W3CDTF">2026-05-17T19:23:00Z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49ac42a-3eb4-4074-b885-aea26bd6241e_Enabled">
    <vt:lpwstr>true</vt:lpwstr>
  </property>
  <property fmtid="{D5CDD505-2E9C-101B-9397-08002B2CF9AE}" pid="3" name="MSIP_Label_549ac42a-3eb4-4074-b885-aea26bd6241e_SetDate">
    <vt:lpwstr>2021-11-04T09:12:24Z</vt:lpwstr>
  </property>
  <property fmtid="{D5CDD505-2E9C-101B-9397-08002B2CF9AE}" pid="4" name="MSIP_Label_549ac42a-3eb4-4074-b885-aea26bd6241e_Method">
    <vt:lpwstr>Standard</vt:lpwstr>
  </property>
  <property fmtid="{D5CDD505-2E9C-101B-9397-08002B2CF9AE}" pid="5" name="MSIP_Label_549ac42a-3eb4-4074-b885-aea26bd6241e_Name">
    <vt:lpwstr>General Business</vt:lpwstr>
  </property>
  <property fmtid="{D5CDD505-2E9C-101B-9397-08002B2CF9AE}" pid="6" name="MSIP_Label_549ac42a-3eb4-4074-b885-aea26bd6241e_SiteId">
    <vt:lpwstr>9274ee3f-9425-4109-a27f-9fb15c10675d</vt:lpwstr>
  </property>
  <property fmtid="{D5CDD505-2E9C-101B-9397-08002B2CF9AE}" pid="7" name="MSIP_Label_549ac42a-3eb4-4074-b885-aea26bd6241e_ActionId">
    <vt:lpwstr>5587a44c-12f0-4d84-98cd-f79dcdb8b2fc</vt:lpwstr>
  </property>
  <property fmtid="{D5CDD505-2E9C-101B-9397-08002B2CF9AE}" pid="8" name="MSIP_Label_549ac42a-3eb4-4074-b885-aea26bd6241e_ContentBits">
    <vt:lpwstr>0</vt:lpwstr>
  </property>
</Properties>
</file>