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ACC10" w14:textId="5E474DE3" w:rsidR="002D3AC2" w:rsidRPr="00D70C47" w:rsidRDefault="00D70C47">
      <w:pPr>
        <w:pBdr>
          <w:top w:val="nil"/>
          <w:left w:val="nil"/>
          <w:bottom w:val="nil"/>
          <w:right w:val="nil"/>
          <w:between w:val="nil"/>
        </w:pBdr>
        <w:spacing w:before="240" w:after="120" w:line="360" w:lineRule="auto"/>
        <w:ind w:firstLine="567"/>
        <w:jc w:val="center"/>
        <w:rPr>
          <w:rFonts w:ascii="Times New Roman" w:eastAsia="Times New Roman" w:hAnsi="Times New Roman" w:cs="Times New Roman"/>
          <w:b/>
          <w:bCs/>
          <w:color w:val="000000"/>
          <w:sz w:val="32"/>
          <w:szCs w:val="32"/>
          <w:lang w:val="en-US"/>
        </w:rPr>
      </w:pPr>
      <w:r>
        <w:rPr>
          <w:rFonts w:ascii="Times New Roman" w:eastAsia="Times New Roman" w:hAnsi="Times New Roman" w:cs="Times New Roman"/>
          <w:b/>
          <w:bCs/>
          <w:color w:val="000000"/>
          <w:sz w:val="32"/>
          <w:szCs w:val="32"/>
          <w:lang w:val="en-US"/>
        </w:rPr>
        <w:t xml:space="preserve">A </w:t>
      </w:r>
      <w:r w:rsidRPr="00D70C47">
        <w:rPr>
          <w:rFonts w:ascii="Times New Roman" w:eastAsia="Times New Roman" w:hAnsi="Times New Roman" w:cs="Times New Roman"/>
          <w:b/>
          <w:bCs/>
          <w:color w:val="000000"/>
          <w:sz w:val="32"/>
          <w:szCs w:val="32"/>
          <w:lang w:val="en-US"/>
        </w:rPr>
        <w:t xml:space="preserve">Hybrid </w:t>
      </w:r>
      <w:proofErr w:type="spellStart"/>
      <w:r w:rsidRPr="00D70C47">
        <w:rPr>
          <w:rFonts w:ascii="Times New Roman" w:eastAsia="Times New Roman" w:hAnsi="Times New Roman" w:cs="Times New Roman"/>
          <w:b/>
          <w:bCs/>
          <w:color w:val="000000"/>
          <w:sz w:val="32"/>
          <w:szCs w:val="32"/>
          <w:lang w:val="en-US"/>
        </w:rPr>
        <w:t>ResNet</w:t>
      </w:r>
      <w:proofErr w:type="spellEnd"/>
      <w:r w:rsidRPr="00D70C47">
        <w:rPr>
          <w:rFonts w:ascii="Times New Roman" w:eastAsia="Times New Roman" w:hAnsi="Times New Roman" w:cs="Times New Roman"/>
          <w:b/>
          <w:bCs/>
          <w:color w:val="000000"/>
          <w:sz w:val="32"/>
          <w:szCs w:val="32"/>
          <w:lang w:val="en-US"/>
        </w:rPr>
        <w:t xml:space="preserve"> Architecture for Predicting Polymerization Conditions from Microstructural Data</w:t>
      </w:r>
    </w:p>
    <w:p w14:paraId="482ACC11" w14:textId="77777777" w:rsidR="002D3AC2" w:rsidRPr="00A662E4" w:rsidRDefault="002800B1">
      <w:pPr>
        <w:keepNext/>
        <w:pBdr>
          <w:top w:val="nil"/>
          <w:left w:val="nil"/>
          <w:bottom w:val="nil"/>
          <w:right w:val="nil"/>
          <w:between w:val="nil"/>
        </w:pBdr>
        <w:spacing w:after="60" w:line="310" w:lineRule="auto"/>
        <w:ind w:firstLine="567"/>
        <w:jc w:val="center"/>
        <w:rPr>
          <w:rFonts w:ascii="Times New Roman" w:eastAsia="Times New Roman" w:hAnsi="Times New Roman" w:cs="Times New Roman"/>
          <w:color w:val="000000"/>
          <w:sz w:val="22"/>
          <w:szCs w:val="22"/>
          <w:vertAlign w:val="superscript"/>
          <w:lang w:val="pt-BR"/>
        </w:rPr>
      </w:pPr>
      <w:r w:rsidRPr="00A662E4">
        <w:rPr>
          <w:rFonts w:ascii="Times New Roman" w:eastAsia="Times New Roman" w:hAnsi="Times New Roman" w:cs="Times New Roman"/>
          <w:color w:val="000000"/>
          <w:sz w:val="22"/>
          <w:szCs w:val="22"/>
          <w:lang w:val="pt-BR"/>
        </w:rPr>
        <w:t xml:space="preserve">Alexandre </w:t>
      </w:r>
      <w:proofErr w:type="spellStart"/>
      <w:r w:rsidRPr="00A662E4">
        <w:rPr>
          <w:rFonts w:ascii="Times New Roman" w:eastAsia="Times New Roman" w:hAnsi="Times New Roman" w:cs="Times New Roman"/>
          <w:color w:val="000000"/>
          <w:sz w:val="22"/>
          <w:szCs w:val="22"/>
          <w:lang w:val="pt-BR"/>
        </w:rPr>
        <w:t>Eurício</w:t>
      </w:r>
      <w:proofErr w:type="spellEnd"/>
      <w:r w:rsidRPr="00A662E4">
        <w:rPr>
          <w:rFonts w:ascii="Times New Roman" w:eastAsia="Times New Roman" w:hAnsi="Times New Roman" w:cs="Times New Roman"/>
          <w:color w:val="000000"/>
          <w:sz w:val="22"/>
          <w:szCs w:val="22"/>
          <w:lang w:val="pt-BR"/>
        </w:rPr>
        <w:t xml:space="preserve"> Álvaro </w:t>
      </w:r>
      <w:proofErr w:type="spellStart"/>
      <w:r w:rsidRPr="00A662E4">
        <w:rPr>
          <w:rFonts w:ascii="Times New Roman" w:eastAsia="Times New Roman" w:hAnsi="Times New Roman" w:cs="Times New Roman"/>
          <w:color w:val="000000"/>
          <w:sz w:val="22"/>
          <w:szCs w:val="22"/>
          <w:lang w:val="pt-BR"/>
        </w:rPr>
        <w:t>Antunes</w:t>
      </w:r>
      <w:r w:rsidRPr="00A662E4">
        <w:rPr>
          <w:rFonts w:ascii="Times New Roman" w:eastAsia="Times New Roman" w:hAnsi="Times New Roman" w:cs="Times New Roman"/>
          <w:color w:val="000000"/>
          <w:sz w:val="22"/>
          <w:szCs w:val="22"/>
          <w:vertAlign w:val="superscript"/>
          <w:lang w:val="pt-BR"/>
        </w:rPr>
        <w:t>a</w:t>
      </w:r>
      <w:proofErr w:type="spellEnd"/>
      <w:r w:rsidRPr="00A662E4">
        <w:rPr>
          <w:rFonts w:ascii="Times New Roman" w:eastAsia="Times New Roman" w:hAnsi="Times New Roman" w:cs="Times New Roman"/>
          <w:color w:val="000000"/>
          <w:sz w:val="22"/>
          <w:szCs w:val="22"/>
          <w:lang w:val="pt-BR"/>
        </w:rPr>
        <w:t xml:space="preserve">, </w:t>
      </w:r>
      <w:r w:rsidRPr="00A662E4">
        <w:rPr>
          <w:rFonts w:ascii="Times New Roman" w:eastAsia="Times New Roman" w:hAnsi="Times New Roman" w:cs="Times New Roman"/>
          <w:sz w:val="22"/>
          <w:szCs w:val="22"/>
          <w:lang w:val="pt-BR"/>
        </w:rPr>
        <w:t xml:space="preserve">João B. P. </w:t>
      </w:r>
      <w:proofErr w:type="spellStart"/>
      <w:r w:rsidRPr="00A662E4">
        <w:rPr>
          <w:rFonts w:ascii="Times New Roman" w:eastAsia="Times New Roman" w:hAnsi="Times New Roman" w:cs="Times New Roman"/>
          <w:sz w:val="22"/>
          <w:szCs w:val="22"/>
          <w:lang w:val="pt-BR"/>
        </w:rPr>
        <w:t>Soares</w:t>
      </w:r>
      <w:r w:rsidRPr="00A662E4">
        <w:rPr>
          <w:rFonts w:ascii="Times New Roman" w:eastAsia="Times New Roman" w:hAnsi="Times New Roman" w:cs="Times New Roman"/>
          <w:sz w:val="22"/>
          <w:szCs w:val="22"/>
          <w:vertAlign w:val="superscript"/>
          <w:lang w:val="pt-BR"/>
        </w:rPr>
        <w:t>b</w:t>
      </w:r>
      <w:proofErr w:type="spellEnd"/>
      <w:r w:rsidRPr="00A662E4">
        <w:rPr>
          <w:rFonts w:ascii="Times New Roman" w:eastAsia="Times New Roman" w:hAnsi="Times New Roman" w:cs="Times New Roman"/>
          <w:sz w:val="22"/>
          <w:szCs w:val="22"/>
          <w:lang w:val="pt-BR"/>
        </w:rPr>
        <w:t xml:space="preserve">, </w:t>
      </w:r>
      <w:r w:rsidRPr="00A662E4">
        <w:rPr>
          <w:rFonts w:ascii="Times New Roman" w:eastAsia="Times New Roman" w:hAnsi="Times New Roman" w:cs="Times New Roman"/>
          <w:color w:val="000000"/>
          <w:sz w:val="22"/>
          <w:szCs w:val="22"/>
          <w:lang w:val="pt-BR"/>
        </w:rPr>
        <w:t xml:space="preserve">Amanda </w:t>
      </w:r>
      <w:proofErr w:type="spellStart"/>
      <w:r w:rsidRPr="00A662E4">
        <w:rPr>
          <w:rFonts w:ascii="Times New Roman" w:eastAsia="Times New Roman" w:hAnsi="Times New Roman" w:cs="Times New Roman"/>
          <w:color w:val="000000"/>
          <w:sz w:val="22"/>
          <w:szCs w:val="22"/>
          <w:lang w:val="pt-BR"/>
        </w:rPr>
        <w:t>Lemette</w:t>
      </w:r>
      <w:proofErr w:type="spellEnd"/>
      <w:r w:rsidRPr="00A662E4">
        <w:rPr>
          <w:rFonts w:ascii="Times New Roman" w:eastAsia="Times New Roman" w:hAnsi="Times New Roman" w:cs="Times New Roman"/>
          <w:color w:val="000000"/>
          <w:sz w:val="22"/>
          <w:szCs w:val="22"/>
          <w:lang w:val="pt-BR"/>
        </w:rPr>
        <w:t xml:space="preserve"> Teixeira </w:t>
      </w:r>
      <w:proofErr w:type="spellStart"/>
      <w:r w:rsidRPr="00A662E4">
        <w:rPr>
          <w:rFonts w:ascii="Times New Roman" w:eastAsia="Times New Roman" w:hAnsi="Times New Roman" w:cs="Times New Roman"/>
          <w:color w:val="000000"/>
          <w:sz w:val="22"/>
          <w:szCs w:val="22"/>
          <w:lang w:val="pt-BR"/>
        </w:rPr>
        <w:t>Brandão</w:t>
      </w:r>
      <w:r w:rsidRPr="00A662E4">
        <w:rPr>
          <w:rFonts w:ascii="Times New Roman" w:eastAsia="Times New Roman" w:hAnsi="Times New Roman" w:cs="Times New Roman"/>
          <w:color w:val="000000"/>
          <w:sz w:val="22"/>
          <w:szCs w:val="22"/>
          <w:vertAlign w:val="superscript"/>
          <w:lang w:val="pt-BR"/>
        </w:rPr>
        <w:t>a</w:t>
      </w:r>
      <w:proofErr w:type="spellEnd"/>
      <w:r w:rsidRPr="00A662E4">
        <w:rPr>
          <w:rFonts w:ascii="Times New Roman" w:eastAsia="Times New Roman" w:hAnsi="Times New Roman" w:cs="Times New Roman"/>
          <w:color w:val="000000"/>
          <w:sz w:val="22"/>
          <w:szCs w:val="22"/>
          <w:vertAlign w:val="superscript"/>
          <w:lang w:val="pt-BR"/>
        </w:rPr>
        <w:t>*</w:t>
      </w:r>
    </w:p>
    <w:p w14:paraId="482ACC12" w14:textId="77777777" w:rsidR="002D3AC2" w:rsidRDefault="002800B1">
      <w:pPr>
        <w:keepNext/>
        <w:pBdr>
          <w:top w:val="nil"/>
          <w:left w:val="nil"/>
          <w:bottom w:val="nil"/>
          <w:right w:val="nil"/>
          <w:between w:val="nil"/>
        </w:pBdr>
        <w:spacing w:after="60" w:line="310" w:lineRule="auto"/>
        <w:ind w:firstLine="567"/>
        <w:jc w:val="center"/>
        <w:rPr>
          <w:rFonts w:ascii="Times New Roman" w:eastAsia="Times New Roman" w:hAnsi="Times New Roman" w:cs="Times New Roman"/>
          <w:i/>
          <w:iCs/>
          <w:color w:val="000000"/>
          <w:sz w:val="20"/>
          <w:szCs w:val="20"/>
        </w:rPr>
      </w:pPr>
      <w:r w:rsidRPr="00A662E4">
        <w:rPr>
          <w:rFonts w:ascii="Times New Roman" w:eastAsia="Times New Roman" w:hAnsi="Times New Roman" w:cs="Times New Roman"/>
          <w:color w:val="000000"/>
          <w:sz w:val="22"/>
          <w:szCs w:val="22"/>
          <w:lang w:val="pt-BR"/>
        </w:rPr>
        <w:t xml:space="preserve"> </w:t>
      </w:r>
      <w:r>
        <w:rPr>
          <w:rFonts w:ascii="Times New Roman" w:eastAsia="Times New Roman" w:hAnsi="Times New Roman" w:cs="Times New Roman"/>
          <w:i/>
          <w:iCs/>
          <w:color w:val="000000"/>
          <w:sz w:val="20"/>
          <w:szCs w:val="20"/>
          <w:vertAlign w:val="superscript"/>
        </w:rPr>
        <w:t>a</w:t>
      </w:r>
      <w:r>
        <w:t xml:space="preserve"> </w:t>
      </w:r>
      <w:r>
        <w:rPr>
          <w:rFonts w:ascii="Times New Roman" w:eastAsia="Times New Roman" w:hAnsi="Times New Roman" w:cs="Times New Roman"/>
          <w:i/>
          <w:iCs/>
          <w:color w:val="000000"/>
          <w:sz w:val="20"/>
          <w:szCs w:val="20"/>
        </w:rPr>
        <w:t>Pontifical Catholic University of Rio de Janeiro, Department of Chemical and Materials Engineering</w:t>
      </w:r>
    </w:p>
    <w:p w14:paraId="482ACC13" w14:textId="77777777" w:rsidR="002D3AC2" w:rsidRDefault="002800B1">
      <w:pPr>
        <w:pBdr>
          <w:top w:val="nil"/>
          <w:left w:val="nil"/>
          <w:bottom w:val="nil"/>
          <w:right w:val="nil"/>
          <w:between w:val="nil"/>
        </w:pBdr>
        <w:spacing w:after="0" w:line="240" w:lineRule="auto"/>
        <w:ind w:firstLine="567"/>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vertAlign w:val="superscript"/>
        </w:rPr>
        <w:t>b</w:t>
      </w:r>
      <w:r>
        <w:t xml:space="preserve"> </w:t>
      </w:r>
      <w:r>
        <w:rPr>
          <w:rFonts w:ascii="Times New Roman" w:eastAsia="Times New Roman" w:hAnsi="Times New Roman" w:cs="Times New Roman"/>
          <w:i/>
          <w:iCs/>
          <w:color w:val="000000"/>
          <w:sz w:val="20"/>
          <w:szCs w:val="20"/>
        </w:rPr>
        <w:t>University of Alberta Canada, Department of Chemical Engineering</w:t>
      </w:r>
    </w:p>
    <w:p w14:paraId="482ACC14" w14:textId="77777777" w:rsidR="002D3AC2" w:rsidRDefault="002800B1">
      <w:pPr>
        <w:pBdr>
          <w:top w:val="nil"/>
          <w:left w:val="nil"/>
          <w:bottom w:val="nil"/>
          <w:right w:val="nil"/>
          <w:between w:val="nil"/>
        </w:pBdr>
        <w:spacing w:after="0" w:line="240" w:lineRule="auto"/>
        <w:ind w:firstLine="567"/>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*amanda.lemette@puc-rio.br</w:t>
      </w:r>
    </w:p>
    <w:p w14:paraId="482ACC15" w14:textId="77777777" w:rsidR="002D3AC2" w:rsidRDefault="002800B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ABSTRACT</w:t>
      </w:r>
    </w:p>
    <w:p w14:paraId="482ACC16" w14:textId="77777777" w:rsidR="002D3AC2" w:rsidRDefault="002800B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Modeling polymerization reactions is often hindered by experimental data scarcity. This study proposes a novel hybrid Residual Network (</w:t>
      </w:r>
      <w:proofErr w:type="spellStart"/>
      <w:r>
        <w:rPr>
          <w:rFonts w:ascii="Times New Roman" w:eastAsia="Times New Roman" w:hAnsi="Times New Roman" w:cs="Times New Roman"/>
          <w:color w:val="000000"/>
          <w:sz w:val="20"/>
          <w:szCs w:val="20"/>
        </w:rPr>
        <w:t>ResNet</w:t>
      </w:r>
      <w:proofErr w:type="spellEnd"/>
      <w:r>
        <w:rPr>
          <w:rFonts w:ascii="Times New Roman" w:eastAsia="Times New Roman" w:hAnsi="Times New Roman" w:cs="Times New Roman"/>
          <w:color w:val="000000"/>
          <w:sz w:val="20"/>
          <w:szCs w:val="20"/>
        </w:rPr>
        <w:t xml:space="preserve">) architecture to predict operational reactor conditions: </w:t>
      </w:r>
      <w:r>
        <w:rPr>
          <w:rFonts w:ascii="Times New Roman" w:eastAsia="Times New Roman" w:hAnsi="Times New Roman" w:cs="Times New Roman"/>
          <w:sz w:val="20"/>
          <w:szCs w:val="20"/>
        </w:rPr>
        <w:t>p</w:t>
      </w:r>
      <w:r>
        <w:rPr>
          <w:rFonts w:ascii="Times New Roman" w:eastAsia="Times New Roman" w:hAnsi="Times New Roman" w:cs="Times New Roman"/>
          <w:color w:val="000000"/>
          <w:sz w:val="20"/>
          <w:szCs w:val="20"/>
        </w:rPr>
        <w:t xml:space="preserve">ressure, </w:t>
      </w:r>
      <w:r>
        <w:rPr>
          <w:rFonts w:ascii="Times New Roman" w:eastAsia="Times New Roman" w:hAnsi="Times New Roman" w:cs="Times New Roman"/>
          <w:sz w:val="20"/>
          <w:szCs w:val="20"/>
        </w:rPr>
        <w:t>c</w:t>
      </w:r>
      <w:r>
        <w:rPr>
          <w:rFonts w:ascii="Times New Roman" w:eastAsia="Times New Roman" w:hAnsi="Times New Roman" w:cs="Times New Roman"/>
          <w:color w:val="000000"/>
          <w:sz w:val="20"/>
          <w:szCs w:val="20"/>
        </w:rPr>
        <w:t xml:space="preserve">atalyst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atio, C8 </w:t>
      </w:r>
      <w:r>
        <w:rPr>
          <w:rFonts w:ascii="Times New Roman" w:eastAsia="Times New Roman" w:hAnsi="Times New Roman" w:cs="Times New Roman"/>
          <w:sz w:val="20"/>
          <w:szCs w:val="20"/>
        </w:rPr>
        <w:t>p</w:t>
      </w:r>
      <w:r>
        <w:rPr>
          <w:rFonts w:ascii="Times New Roman" w:eastAsia="Times New Roman" w:hAnsi="Times New Roman" w:cs="Times New Roman"/>
          <w:color w:val="000000"/>
          <w:sz w:val="20"/>
          <w:szCs w:val="20"/>
        </w:rPr>
        <w:t xml:space="preserve">reload, and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 xml:space="preserve">ength directly from microstructural polymer data. Utilizing 2D tensors derived from Molecular Weight and Short-Chain Branching distributions, the deep learning model bifurcates into simultaneous regression and classification branches. To accurately predict the continuous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 xml:space="preserve">ength, a mathematical expectation approach was introduced, smoothly mapping discrete </w:t>
      </w:r>
      <w:proofErr w:type="spellStart"/>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oftmax</w:t>
      </w:r>
      <w:proofErr w:type="spellEnd"/>
      <w:r>
        <w:rPr>
          <w:rFonts w:ascii="Times New Roman" w:eastAsia="Times New Roman" w:hAnsi="Times New Roman" w:cs="Times New Roman"/>
          <w:color w:val="000000"/>
          <w:sz w:val="20"/>
          <w:szCs w:val="20"/>
        </w:rPr>
        <w:t xml:space="preserve"> probabilities into continuous temporal estimates. </w:t>
      </w:r>
      <w:r>
        <w:rPr>
          <w:rFonts w:ascii="Times New Roman" w:eastAsia="Times New Roman" w:hAnsi="Times New Roman" w:cs="Times New Roman"/>
          <w:sz w:val="20"/>
          <w:szCs w:val="20"/>
        </w:rPr>
        <w:t xml:space="preserve">The hybrid framework demonstrated strong predictive performance, with R² scores above 0.98 for continuous regression variables and 0.73 for the classification-derived run length. Errors were confined to data-scarce intervals. </w:t>
      </w:r>
      <w:r>
        <w:rPr>
          <w:rFonts w:ascii="Times New Roman" w:eastAsia="Times New Roman" w:hAnsi="Times New Roman" w:cs="Times New Roman"/>
          <w:color w:val="000000"/>
          <w:sz w:val="20"/>
          <w:szCs w:val="20"/>
        </w:rPr>
        <w:t>Ultimately, this multi-objective methodology effectively mitigates inherent data limitations, significantly outperforming exclusive single-task networks and providing a robust solution for advanced polymer process modeling.</w:t>
      </w:r>
    </w:p>
    <w:p w14:paraId="482ACC17" w14:textId="77777777" w:rsidR="002D3AC2" w:rsidRDefault="002800B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Keywords</w:t>
      </w:r>
      <w:r>
        <w:rPr>
          <w:rFonts w:ascii="Times New Roman" w:eastAsia="Times New Roman" w:hAnsi="Times New Roman" w:cs="Times New Roman"/>
          <w:color w:val="000000"/>
          <w:sz w:val="20"/>
          <w:szCs w:val="20"/>
        </w:rPr>
        <w:t xml:space="preserve">: Polymerization, Deep Learning, </w:t>
      </w:r>
      <w:proofErr w:type="spellStart"/>
      <w:r>
        <w:rPr>
          <w:rFonts w:ascii="Times New Roman" w:eastAsia="Times New Roman" w:hAnsi="Times New Roman" w:cs="Times New Roman"/>
          <w:color w:val="000000"/>
          <w:sz w:val="20"/>
          <w:szCs w:val="20"/>
        </w:rPr>
        <w:t>ResNet</w:t>
      </w:r>
      <w:proofErr w:type="spellEnd"/>
      <w:r>
        <w:rPr>
          <w:rFonts w:ascii="Times New Roman" w:eastAsia="Times New Roman" w:hAnsi="Times New Roman" w:cs="Times New Roman"/>
          <w:color w:val="000000"/>
          <w:sz w:val="20"/>
          <w:szCs w:val="20"/>
        </w:rPr>
        <w:t>, Data Scarcity.</w:t>
      </w:r>
    </w:p>
    <w:p w14:paraId="482ACC18" w14:textId="77777777" w:rsidR="002D3AC2" w:rsidRDefault="002D3A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482ACC19" w14:textId="77777777" w:rsidR="002D3AC2" w:rsidRDefault="002800B1">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Introduction</w:t>
      </w:r>
    </w:p>
    <w:p w14:paraId="482ACC1A"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Plastics have established themselves as indispensable materials in contemporary society, encompassing a vast array of applications ranging from food packaging and furniture to highly specialized items such as heart valves and military helmets. Polyethylene (PE), with the general formula (C₂H₄)ₙ, is one of the most widely used polymers globally due to its chemical inertness, low cost, and high mechanical strength. The properties of polyethylene vary significantly depending on its diverse range of chain architectures and molecular weights, which are heavily dependent on the synthesis process (Mejia et al., 2021).</w:t>
      </w:r>
    </w:p>
    <w:p w14:paraId="482ACC1B"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microstructure of the polymer chain plays a fundamental role in the overall performance of PE. This microstructure is strongly governed by characteristics such as the Short-Chain Branching Distribution (SCBD) and the Molecular Weight Distribution (MWD) (Soares &amp; McKenna, 2012). When both SCBD and MWD are tightly controlled, PE exhibits excellent mechanical properties alongside highly efficient processability (Hu et al., 2019).</w:t>
      </w:r>
    </w:p>
    <w:p w14:paraId="482ACC1C"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application of Artificial Intelligence (AI) has become increasingly prevalent in the field of polymer science, aiming to accelerate material development and solve complex synthesis and characterization problems. However, a pervasive challenge in this domain is the scarcity or severe imbalance of datasets. As argued by Ge et al. (2025), the two primary bottlenecks regarding polymer datasets are the fundamental lack of available data and the poor quality of existing records. This is corroborated by Xie et al. (2025), who emphasize that polymer datasets are frequently insufficient, unbalanced, and plagued by low signal-to-noise ratios, missing values, and outliers. They highlight that feature engineering must evolve to reduce the heavy reliance on expert-annotated labels and eliminate redundant, low-information features to effectively cluster patterns. Furthermore, Wei et al. (2022) point out that data derived from real physical experiments inevitably suffers from inadequate sample sizes, primarily due to the high costs and logistical constraints associated with comprehensive experimental runs. Consequently, there is an urgent demand for robust scientific algorithms capable of enabling effective machine learning modeling even when restricted to small datasets.</w:t>
      </w:r>
    </w:p>
    <w:p w14:paraId="482ACC1D"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Therefore, the present work aims to explore a novel methodology and a deep learning architecture designed to effectively mitigate the challenges associated with data scarcity and class imbalance in polymerization process modeling.</w:t>
      </w:r>
    </w:p>
    <w:p w14:paraId="482ACC1E"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1F"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20"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21"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22"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27" w14:textId="77777777" w:rsidR="002D3AC2" w:rsidRDefault="002800B1">
      <w:pPr>
        <w:pBdr>
          <w:top w:val="nil"/>
          <w:left w:val="nil"/>
          <w:bottom w:val="nil"/>
          <w:right w:val="nil"/>
          <w:between w:val="nil"/>
        </w:pBdr>
        <w:tabs>
          <w:tab w:val="left" w:pos="240"/>
        </w:tabs>
        <w:spacing w:after="0" w:line="240" w:lineRule="auto"/>
        <w:ind w:left="56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          Methodology</w:t>
      </w:r>
    </w:p>
    <w:p w14:paraId="482ACC28" w14:textId="77777777" w:rsidR="002D3AC2" w:rsidRDefault="002800B1" w:rsidP="00A662E4">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sz w:val="20"/>
          <w:szCs w:val="20"/>
        </w:rPr>
      </w:pPr>
      <w:r w:rsidRPr="00A662E4">
        <w:rPr>
          <w:rFonts w:ascii="Times New Roman" w:eastAsia="Times New Roman" w:hAnsi="Times New Roman" w:cs="Times New Roman"/>
          <w:color w:val="000000"/>
          <w:sz w:val="20"/>
          <w:szCs w:val="20"/>
        </w:rPr>
        <w:t>This section details the methodologies applied in this study, encompassing the data preprocessing protocols, the data augmentation strategy, and the architectural design of the Residual Network (</w:t>
      </w:r>
      <w:proofErr w:type="spellStart"/>
      <w:r w:rsidRPr="00A662E4">
        <w:rPr>
          <w:rFonts w:ascii="Times New Roman" w:eastAsia="Times New Roman" w:hAnsi="Times New Roman" w:cs="Times New Roman"/>
          <w:color w:val="000000"/>
          <w:sz w:val="20"/>
          <w:szCs w:val="20"/>
        </w:rPr>
        <w:t>ResNet</w:t>
      </w:r>
      <w:proofErr w:type="spellEnd"/>
      <w:r w:rsidRPr="00A662E4">
        <w:rPr>
          <w:rFonts w:ascii="Times New Roman" w:eastAsia="Times New Roman" w:hAnsi="Times New Roman" w:cs="Times New Roman"/>
          <w:color w:val="000000"/>
          <w:sz w:val="20"/>
          <w:szCs w:val="20"/>
        </w:rPr>
        <w:t>).</w:t>
      </w:r>
    </w:p>
    <w:p w14:paraId="482ACC29" w14:textId="77777777" w:rsidR="002D3AC2" w:rsidRDefault="002800B1">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ab/>
      </w:r>
      <w:r>
        <w:rPr>
          <w:rFonts w:ascii="Times New Roman" w:eastAsia="Times New Roman" w:hAnsi="Times New Roman" w:cs="Times New Roman"/>
          <w:color w:val="000000"/>
          <w:sz w:val="20"/>
          <w:szCs w:val="20"/>
        </w:rPr>
        <w:t xml:space="preserve">      </w:t>
      </w:r>
    </w:p>
    <w:p w14:paraId="482ACC2A" w14:textId="77777777" w:rsidR="002D3AC2" w:rsidRDefault="002800B1">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2.1          Dataset and Pre-processing</w:t>
      </w:r>
    </w:p>
    <w:p w14:paraId="482ACC2B" w14:textId="28DF6150"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MWD and SCBD graphs were generated from 111 experiments conducted at the University of Alberta in Canada, using the GPC Technique. However, unlike the original study, </w:t>
      </w:r>
      <w:proofErr w:type="gramStart"/>
      <w:r>
        <w:rPr>
          <w:rFonts w:ascii="Times New Roman" w:eastAsia="Times New Roman" w:hAnsi="Times New Roman" w:cs="Times New Roman"/>
          <w:color w:val="000000"/>
          <w:sz w:val="20"/>
          <w:szCs w:val="20"/>
        </w:rPr>
        <w:t>in order to</w:t>
      </w:r>
      <w:proofErr w:type="gramEnd"/>
      <w:r>
        <w:rPr>
          <w:rFonts w:ascii="Times New Roman" w:eastAsia="Times New Roman" w:hAnsi="Times New Roman" w:cs="Times New Roman"/>
          <w:color w:val="000000"/>
          <w:sz w:val="20"/>
          <w:szCs w:val="20"/>
        </w:rPr>
        <w:t xml:space="preserve"> avoid data leakage, the dataset was split into 50% for data augmentation and 50% for testing.</w:t>
      </w:r>
    </w:p>
    <w:p w14:paraId="482ACC2C"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data augmentation is based on the work of Brandão et al., 2016 and Chiara et al., 2025, the generation of synthetic samples was based on the stochastic perturbation of the Molecular Weight M values, applying a random error factor (δ) of up to 10%, as described in Equation 1:</w:t>
      </w:r>
    </w:p>
    <w:p w14:paraId="482ACC2D"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color w:val="000000"/>
          <w:sz w:val="20"/>
          <w:szCs w:val="20"/>
        </w:rPr>
      </w:pPr>
    </w:p>
    <w:p w14:paraId="482ACC2E" w14:textId="77777777" w:rsidR="002D3AC2" w:rsidRDefault="002800B1">
      <w:pPr>
        <w:jc w:val="center"/>
        <w:rPr>
          <w:rFonts w:ascii="Cambria Math" w:eastAsia="Cambria Math" w:hAnsi="Cambria Math" w:cs="Cambria Math"/>
          <w:color w:val="000000"/>
          <w:sz w:val="20"/>
          <w:szCs w:val="20"/>
        </w:rPr>
      </w:pPr>
      <m:oMathPara>
        <m:oMath>
          <m:r>
            <w:rPr>
              <w:rFonts w:ascii="Cambria Math" w:eastAsia="Cambria Math" w:hAnsi="Cambria Math" w:cs="Cambria Math"/>
              <w:color w:val="000000"/>
              <w:sz w:val="20"/>
              <w:szCs w:val="20"/>
            </w:rPr>
            <m:t>             </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M</m:t>
              </m:r>
            </m:e>
            <m:sub>
              <m:r>
                <w:rPr>
                  <w:rFonts w:ascii="Cambria Math" w:eastAsia="Cambria Math" w:hAnsi="Cambria Math" w:cs="Cambria Math"/>
                  <w:color w:val="000000"/>
                  <w:sz w:val="20"/>
                  <w:szCs w:val="20"/>
                </w:rPr>
                <m:t>New</m:t>
              </m:r>
            </m:sub>
          </m:sSub>
          <m:r>
            <w:rPr>
              <w:rFonts w:ascii="Cambria Math" w:eastAsia="Cambria Math" w:hAnsi="Cambria Math" w:cs="Cambria Math"/>
              <w:color w:val="000000"/>
              <w:sz w:val="20"/>
              <w:szCs w:val="20"/>
            </w:rPr>
            <m:t>=    </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M</m:t>
              </m:r>
            </m:e>
            <m:sub>
              <m:r>
                <w:rPr>
                  <w:rFonts w:ascii="Cambria Math" w:eastAsia="Cambria Math" w:hAnsi="Cambria Math" w:cs="Cambria Math"/>
                  <w:color w:val="000000"/>
                  <w:sz w:val="20"/>
                  <w:szCs w:val="20"/>
                </w:rPr>
                <m:t>original</m:t>
              </m:r>
            </m:sub>
          </m:sSub>
          <m:r>
            <w:rPr>
              <w:rFonts w:ascii="Cambria Math" w:eastAsia="Cambria Math" w:hAnsi="Cambria Math" w:cs="Cambria Math"/>
              <w:color w:val="000000"/>
              <w:sz w:val="20"/>
              <w:szCs w:val="20"/>
            </w:rPr>
            <m:t xml:space="preserve"> * (1+δ   )                    (1)</m:t>
          </m:r>
        </m:oMath>
      </m:oMathPara>
    </w:p>
    <w:p w14:paraId="482ACC2F" w14:textId="77777777" w:rsidR="002D3AC2" w:rsidRDefault="002800B1">
      <w:pPr>
        <w:pBdr>
          <w:top w:val="nil"/>
          <w:left w:val="nil"/>
          <w:bottom w:val="nil"/>
          <w:right w:val="nil"/>
          <w:between w:val="nil"/>
        </w:pBdr>
        <w:tabs>
          <w:tab w:val="left" w:pos="24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w</w:t>
      </w:r>
      <w:r>
        <w:rPr>
          <w:rFonts w:ascii="Times New Roman" w:eastAsia="Times New Roman" w:hAnsi="Times New Roman" w:cs="Times New Roman"/>
          <w:color w:val="000000"/>
          <w:sz w:val="20"/>
          <w:szCs w:val="20"/>
        </w:rPr>
        <w:t xml:space="preserve">here </w:t>
      </w:r>
      <w:r>
        <w:rPr>
          <w:rFonts w:ascii="Cambria Math" w:eastAsia="Cambria Math" w:hAnsi="Cambria Math" w:cs="Cambria Math"/>
          <w:color w:val="000000"/>
          <w:sz w:val="20"/>
          <w:szCs w:val="20"/>
        </w:rPr>
        <w:t>𝛿</w:t>
      </w:r>
      <w:r>
        <w:rPr>
          <w:rFonts w:ascii="Times New Roman" w:eastAsia="Times New Roman" w:hAnsi="Times New Roman" w:cs="Times New Roman"/>
          <w:color w:val="000000"/>
          <w:sz w:val="20"/>
          <w:szCs w:val="20"/>
        </w:rPr>
        <w:t xml:space="preserve"> is randomly selected in the range [-0.1; +0.1]. The quantification of this augmentation followed a differential sampling strategy, a higher multiplication factor was applied: while 15 synthetic variations were generated for the standard experimental data, 35 variations per sample were generated for the outliers.</w:t>
      </w:r>
      <w:r>
        <w:rPr>
          <w:rFonts w:ascii="Times New Roman" w:eastAsia="Times New Roman" w:hAnsi="Times New Roman" w:cs="Times New Roman"/>
          <w:color w:val="000000"/>
          <w:sz w:val="20"/>
          <w:szCs w:val="20"/>
        </w:rPr>
        <w:br/>
        <w:t>After the augmentation step, the graphs were processed into single-channel binary tensors (inverted grayscale) and associated with their respective process condition labels,</w:t>
      </w:r>
      <w:r>
        <w:rPr>
          <w:rFonts w:ascii="Times New Roman" w:eastAsia="Times New Roman" w:hAnsi="Times New Roman" w:cs="Times New Roman"/>
          <w:sz w:val="20"/>
          <w:szCs w:val="20"/>
        </w:rPr>
        <w:t xml:space="preserve"> F</w:t>
      </w:r>
      <w:r>
        <w:rPr>
          <w:rFonts w:ascii="Times New Roman" w:eastAsia="Times New Roman" w:hAnsi="Times New Roman" w:cs="Times New Roman"/>
          <w:color w:val="000000"/>
          <w:sz w:val="20"/>
          <w:szCs w:val="20"/>
        </w:rPr>
        <w:t>igure 1 shows th</w:t>
      </w:r>
      <w:r>
        <w:rPr>
          <w:rFonts w:ascii="Times New Roman" w:eastAsia="Times New Roman" w:hAnsi="Times New Roman" w:cs="Times New Roman"/>
          <w:sz w:val="20"/>
          <w:szCs w:val="20"/>
        </w:rPr>
        <w:t>is</w:t>
      </w:r>
      <w:r>
        <w:rPr>
          <w:rFonts w:ascii="Times New Roman" w:eastAsia="Times New Roman" w:hAnsi="Times New Roman" w:cs="Times New Roman"/>
          <w:color w:val="000000"/>
          <w:sz w:val="20"/>
          <w:szCs w:val="20"/>
        </w:rPr>
        <w:t xml:space="preserve"> process. The target variables P(psi) and [Al</w:t>
      </w:r>
      <w:proofErr w:type="gramStart"/>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Ti] were normalized using </w:t>
      </w:r>
      <w:proofErr w:type="spellStart"/>
      <w:r>
        <w:rPr>
          <w:rFonts w:ascii="Times New Roman" w:eastAsia="Times New Roman" w:hAnsi="Times New Roman" w:cs="Times New Roman"/>
          <w:color w:val="000000"/>
          <w:sz w:val="20"/>
          <w:szCs w:val="20"/>
        </w:rPr>
        <w:t>StandardScaler</w:t>
      </w:r>
      <w:proofErr w:type="spellEnd"/>
      <w:r>
        <w:rPr>
          <w:rFonts w:ascii="Times New Roman" w:eastAsia="Times New Roman" w:hAnsi="Times New Roman" w:cs="Times New Roman"/>
          <w:color w:val="000000"/>
          <w:sz w:val="20"/>
          <w:szCs w:val="20"/>
        </w:rPr>
        <w:t xml:space="preserve"> to ensure numerical stability during training.</w:t>
      </w:r>
    </w:p>
    <w:p w14:paraId="482ACC30"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31"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Figure 1</w:t>
      </w:r>
      <w:r>
        <w:rPr>
          <w:rFonts w:ascii="Times New Roman" w:eastAsia="Times New Roman" w:hAnsi="Times New Roman" w:cs="Times New Roman"/>
          <w:color w:val="000000"/>
          <w:sz w:val="20"/>
          <w:szCs w:val="20"/>
        </w:rPr>
        <w:t>: MWD and SCBD graphs converted into single-channel binary tensors.</w:t>
      </w:r>
    </w:p>
    <w:p w14:paraId="482ACC32"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sz w:val="20"/>
          <w:szCs w:val="20"/>
        </w:rPr>
      </w:pPr>
    </w:p>
    <w:tbl>
      <w:tblPr>
        <w:tblStyle w:val="a0"/>
        <w:tblW w:w="9070" w:type="dxa"/>
        <w:tblInd w:w="0" w:type="dxa"/>
        <w:tblLayout w:type="fixed"/>
        <w:tblLook w:val="0600" w:firstRow="0" w:lastRow="0" w:firstColumn="0" w:lastColumn="0" w:noHBand="1" w:noVBand="1"/>
      </w:tblPr>
      <w:tblGrid>
        <w:gridCol w:w="4535"/>
        <w:gridCol w:w="4535"/>
      </w:tblGrid>
      <w:tr w:rsidR="002D3AC2" w14:paraId="482ACC35" w14:textId="77777777" w:rsidTr="009C1179">
        <w:tc>
          <w:tcPr>
            <w:tcW w:w="4535" w:type="dxa"/>
            <w:tcMar>
              <w:top w:w="100" w:type="dxa"/>
              <w:left w:w="100" w:type="dxa"/>
              <w:bottom w:w="100" w:type="dxa"/>
              <w:right w:w="100" w:type="dxa"/>
            </w:tcMar>
          </w:tcPr>
          <w:p w14:paraId="482ACC33" w14:textId="1265F0BD" w:rsidR="002D3AC2" w:rsidRDefault="002800B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482ACCB8" wp14:editId="267A7180">
                  <wp:extent cx="2733675" cy="1943100"/>
                  <wp:effectExtent l="0" t="0" r="9525" b="0"/>
                  <wp:docPr id="1643355917" name="image1.png"/>
                  <wp:cNvGraphicFramePr/>
                  <a:graphic xmlns:a="http://schemas.openxmlformats.org/drawingml/2006/main">
                    <a:graphicData uri="http://schemas.openxmlformats.org/drawingml/2006/picture">
                      <pic:pic xmlns:pic="http://schemas.openxmlformats.org/drawingml/2006/picture">
                        <pic:nvPicPr>
                          <pic:cNvPr id="1643355917" name="image1.png"/>
                          <pic:cNvPicPr preferRelativeResize="0"/>
                        </pic:nvPicPr>
                        <pic:blipFill>
                          <a:blip r:embed="rId8" cstate="print">
                            <a:extLst>
                              <a:ext uri="{28A0092B-C50C-407E-A947-70E740481C1C}">
                                <a14:useLocalDpi xmlns:a14="http://schemas.microsoft.com/office/drawing/2010/main" val="0"/>
                              </a:ext>
                            </a:extLst>
                          </a:blip>
                          <a:srcRect l="1417" r="1417"/>
                          <a:stretch>
                            <a:fillRect/>
                          </a:stretch>
                        </pic:blipFill>
                        <pic:spPr>
                          <a:xfrm>
                            <a:off x="0" y="0"/>
                            <a:ext cx="2733675" cy="1943100"/>
                          </a:xfrm>
                          <a:prstGeom prst="rect">
                            <a:avLst/>
                          </a:prstGeom>
                          <a:ln/>
                        </pic:spPr>
                      </pic:pic>
                    </a:graphicData>
                  </a:graphic>
                </wp:inline>
              </w:drawing>
            </w:r>
          </w:p>
        </w:tc>
        <w:tc>
          <w:tcPr>
            <w:tcW w:w="4535" w:type="dxa"/>
            <w:tcMar>
              <w:top w:w="100" w:type="dxa"/>
              <w:left w:w="100" w:type="dxa"/>
              <w:bottom w:w="100" w:type="dxa"/>
              <w:right w:w="100" w:type="dxa"/>
            </w:tcMar>
          </w:tcPr>
          <w:p w14:paraId="482ACC34" w14:textId="77777777" w:rsidR="002D3AC2" w:rsidRDefault="002800B1">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482ACCBA" wp14:editId="482ACCBB">
                  <wp:extent cx="2733675" cy="1651000"/>
                  <wp:effectExtent l="0" t="0" r="0" b="0"/>
                  <wp:docPr id="16433559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562" r="562"/>
                          <a:stretch>
                            <a:fillRect/>
                          </a:stretch>
                        </pic:blipFill>
                        <pic:spPr>
                          <a:xfrm>
                            <a:off x="0" y="0"/>
                            <a:ext cx="2733675" cy="1651000"/>
                          </a:xfrm>
                          <a:prstGeom prst="rect">
                            <a:avLst/>
                          </a:prstGeom>
                          <a:ln/>
                        </pic:spPr>
                      </pic:pic>
                    </a:graphicData>
                  </a:graphic>
                </wp:inline>
              </w:drawing>
            </w:r>
          </w:p>
        </w:tc>
      </w:tr>
      <w:tr w:rsidR="002D3AC2" w14:paraId="482ACC38" w14:textId="77777777" w:rsidTr="009C1179">
        <w:tc>
          <w:tcPr>
            <w:tcW w:w="4535" w:type="dxa"/>
            <w:tcMar>
              <w:top w:w="100" w:type="dxa"/>
              <w:left w:w="100" w:type="dxa"/>
              <w:bottom w:w="100" w:type="dxa"/>
              <w:right w:w="100" w:type="dxa"/>
            </w:tcMar>
          </w:tcPr>
          <w:p w14:paraId="482ACC36" w14:textId="77777777" w:rsidR="002D3AC2" w:rsidRDefault="002800B1">
            <w:pPr>
              <w:widowControl w:val="0"/>
              <w:numPr>
                <w:ilvl w:val="0"/>
                <w:numId w:val="1"/>
              </w:num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Original MWD and SCBD graphs</w:t>
            </w:r>
          </w:p>
        </w:tc>
        <w:tc>
          <w:tcPr>
            <w:tcW w:w="4535" w:type="dxa"/>
            <w:tcMar>
              <w:top w:w="100" w:type="dxa"/>
              <w:left w:w="100" w:type="dxa"/>
              <w:bottom w:w="100" w:type="dxa"/>
              <w:right w:w="100" w:type="dxa"/>
            </w:tcMar>
          </w:tcPr>
          <w:p w14:paraId="482ACC37" w14:textId="1EE19A49" w:rsidR="002D3AC2" w:rsidRDefault="002800B1">
            <w:pPr>
              <w:widowControl w:val="0"/>
              <w:numPr>
                <w:ilvl w:val="0"/>
                <w:numId w:val="1"/>
              </w:num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Treated MWD and </w:t>
            </w:r>
            <w:r w:rsidR="009D34EA">
              <w:rPr>
                <w:rFonts w:ascii="Times New Roman" w:eastAsia="Times New Roman" w:hAnsi="Times New Roman" w:cs="Times New Roman"/>
                <w:sz w:val="20"/>
                <w:szCs w:val="20"/>
              </w:rPr>
              <w:t>SCBD graphs</w:t>
            </w:r>
          </w:p>
        </w:tc>
      </w:tr>
    </w:tbl>
    <w:p w14:paraId="482ACC39"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sz w:val="20"/>
          <w:szCs w:val="20"/>
        </w:rPr>
      </w:pPr>
    </w:p>
    <w:p w14:paraId="482ACC3A"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An 80/20 train–validation split was applied to the augmented dataset. The test set consisted exclusively of 56 original data points, which were not used in the augmentation or training steps.</w:t>
      </w:r>
    </w:p>
    <w:p w14:paraId="482ACC3B"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b/>
          <w:bCs/>
          <w:color w:val="000000"/>
          <w:sz w:val="20"/>
          <w:szCs w:val="20"/>
        </w:rPr>
      </w:pPr>
    </w:p>
    <w:p w14:paraId="482ACC3C" w14:textId="77777777" w:rsidR="002D3AC2" w:rsidRDefault="002800B1">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       Resnet Configuration</w:t>
      </w:r>
    </w:p>
    <w:p w14:paraId="482ACC3D"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Resnet network structure receives input tensors of </w:t>
      </w:r>
      <w:r>
        <w:rPr>
          <w:rFonts w:ascii="Times New Roman" w:eastAsia="Times New Roman" w:hAnsi="Times New Roman" w:cs="Times New Roman"/>
          <w:sz w:val="20"/>
          <w:szCs w:val="20"/>
        </w:rPr>
        <w:t>shape</w:t>
      </w:r>
      <w:r>
        <w:rPr>
          <w:rFonts w:ascii="Times New Roman" w:eastAsia="Times New Roman" w:hAnsi="Times New Roman" w:cs="Times New Roman"/>
          <w:color w:val="000000"/>
          <w:sz w:val="20"/>
          <w:szCs w:val="20"/>
        </w:rPr>
        <w:t xml:space="preserve"> (295, 494, 1). The feature extraction backbone is based on a Residual Network (</w:t>
      </w:r>
      <w:proofErr w:type="spellStart"/>
      <w:r>
        <w:rPr>
          <w:rFonts w:ascii="Times New Roman" w:eastAsia="Times New Roman" w:hAnsi="Times New Roman" w:cs="Times New Roman"/>
          <w:color w:val="000000"/>
          <w:sz w:val="20"/>
          <w:szCs w:val="20"/>
        </w:rPr>
        <w:t>ResNet</w:t>
      </w:r>
      <w:proofErr w:type="spellEnd"/>
      <w:r>
        <w:rPr>
          <w:rFonts w:ascii="Times New Roman" w:eastAsia="Times New Roman" w:hAnsi="Times New Roman" w:cs="Times New Roman"/>
          <w:color w:val="000000"/>
          <w:sz w:val="20"/>
          <w:szCs w:val="20"/>
        </w:rPr>
        <w:t xml:space="preserve">) architecture. It begins with a stem block comprising a 7 X 7 </w:t>
      </w:r>
      <w:r>
        <w:rPr>
          <w:rFonts w:ascii="Times New Roman" w:eastAsia="Times New Roman" w:hAnsi="Times New Roman" w:cs="Times New Roman"/>
          <w:sz w:val="20"/>
          <w:szCs w:val="20"/>
        </w:rPr>
        <w:t>c</w:t>
      </w:r>
      <w:r>
        <w:rPr>
          <w:rFonts w:ascii="Times New Roman" w:eastAsia="Times New Roman" w:hAnsi="Times New Roman" w:cs="Times New Roman"/>
          <w:color w:val="000000"/>
          <w:sz w:val="20"/>
          <w:szCs w:val="20"/>
        </w:rPr>
        <w:t>onvolutional layer (32 filters, stride 2, He normal in</w:t>
      </w:r>
      <w:r>
        <w:rPr>
          <w:rFonts w:ascii="Times New Roman" w:eastAsia="Times New Roman" w:hAnsi="Times New Roman" w:cs="Times New Roman"/>
          <w:sz w:val="20"/>
          <w:szCs w:val="20"/>
        </w:rPr>
        <w:t>itialization</w:t>
      </w:r>
      <w:r>
        <w:rPr>
          <w:rFonts w:ascii="Times New Roman" w:eastAsia="Times New Roman" w:hAnsi="Times New Roman" w:cs="Times New Roman"/>
          <w:color w:val="000000"/>
          <w:sz w:val="20"/>
          <w:szCs w:val="20"/>
        </w:rPr>
        <w:t xml:space="preserve">), followed by </w:t>
      </w:r>
      <w:r>
        <w:rPr>
          <w:rFonts w:ascii="Times New Roman" w:eastAsia="Times New Roman" w:hAnsi="Times New Roman" w:cs="Times New Roman"/>
          <w:sz w:val="20"/>
          <w:szCs w:val="20"/>
        </w:rPr>
        <w:t>b</w:t>
      </w:r>
      <w:r>
        <w:rPr>
          <w:rFonts w:ascii="Times New Roman" w:eastAsia="Times New Roman" w:hAnsi="Times New Roman" w:cs="Times New Roman"/>
          <w:color w:val="000000"/>
          <w:sz w:val="20"/>
          <w:szCs w:val="20"/>
        </w:rPr>
        <w:t xml:space="preserve">atch </w:t>
      </w:r>
      <w:r>
        <w:rPr>
          <w:rFonts w:ascii="Times New Roman" w:eastAsia="Times New Roman" w:hAnsi="Times New Roman" w:cs="Times New Roman"/>
          <w:sz w:val="20"/>
          <w:szCs w:val="20"/>
        </w:rPr>
        <w:t>n</w:t>
      </w:r>
      <w:r>
        <w:rPr>
          <w:rFonts w:ascii="Times New Roman" w:eastAsia="Times New Roman" w:hAnsi="Times New Roman" w:cs="Times New Roman"/>
          <w:color w:val="000000"/>
          <w:sz w:val="20"/>
          <w:szCs w:val="20"/>
        </w:rPr>
        <w:t xml:space="preserve">ormalization, </w:t>
      </w:r>
      <w:proofErr w:type="spellStart"/>
      <w:r>
        <w:rPr>
          <w:rFonts w:ascii="Times New Roman" w:eastAsia="Times New Roman" w:hAnsi="Times New Roman" w:cs="Times New Roman"/>
          <w:color w:val="000000"/>
          <w:sz w:val="20"/>
          <w:szCs w:val="20"/>
        </w:rPr>
        <w:t>ReLU</w:t>
      </w:r>
      <w:proofErr w:type="spellEnd"/>
      <w:r>
        <w:rPr>
          <w:rFonts w:ascii="Times New Roman" w:eastAsia="Times New Roman" w:hAnsi="Times New Roman" w:cs="Times New Roman"/>
          <w:color w:val="000000"/>
          <w:sz w:val="20"/>
          <w:szCs w:val="20"/>
        </w:rPr>
        <w:t xml:space="preserve"> activation, and a 3 X 3 </w:t>
      </w:r>
      <w:r>
        <w:rPr>
          <w:rFonts w:ascii="Times New Roman" w:eastAsia="Times New Roman" w:hAnsi="Times New Roman" w:cs="Times New Roman"/>
          <w:sz w:val="20"/>
          <w:szCs w:val="20"/>
        </w:rPr>
        <w:t>m</w:t>
      </w:r>
      <w:r>
        <w:rPr>
          <w:rFonts w:ascii="Times New Roman" w:eastAsia="Times New Roman" w:hAnsi="Times New Roman" w:cs="Times New Roman"/>
          <w:color w:val="000000"/>
          <w:sz w:val="20"/>
          <w:szCs w:val="20"/>
        </w:rPr>
        <w:t xml:space="preserve">ax </w:t>
      </w:r>
      <w:r>
        <w:rPr>
          <w:rFonts w:ascii="Times New Roman" w:eastAsia="Times New Roman" w:hAnsi="Times New Roman" w:cs="Times New Roman"/>
          <w:sz w:val="20"/>
          <w:szCs w:val="20"/>
        </w:rPr>
        <w:t>p</w:t>
      </w:r>
      <w:r>
        <w:rPr>
          <w:rFonts w:ascii="Times New Roman" w:eastAsia="Times New Roman" w:hAnsi="Times New Roman" w:cs="Times New Roman"/>
          <w:color w:val="000000"/>
          <w:sz w:val="20"/>
          <w:szCs w:val="20"/>
        </w:rPr>
        <w:t>ooling layer (stride 2). This is followed by a sequence of eight residual blocks</w:t>
      </w:r>
      <w:r>
        <w:rPr>
          <w:rFonts w:ascii="Times New Roman" w:eastAsia="Times New Roman" w:hAnsi="Times New Roman" w:cs="Times New Roman"/>
          <w:sz w:val="20"/>
          <w:szCs w:val="20"/>
        </w:rPr>
        <w:t xml:space="preserve"> with</w:t>
      </w:r>
      <w:r>
        <w:rPr>
          <w:rFonts w:ascii="Times New Roman" w:eastAsia="Times New Roman" w:hAnsi="Times New Roman" w:cs="Times New Roman"/>
          <w:color w:val="000000"/>
          <w:sz w:val="20"/>
          <w:szCs w:val="20"/>
        </w:rPr>
        <w:t xml:space="preserve"> skip connections to mitigate the vanishing gradient problem. These blocks progressively increase the </w:t>
      </w:r>
      <w:r>
        <w:rPr>
          <w:rFonts w:ascii="Times New Roman" w:eastAsia="Times New Roman" w:hAnsi="Times New Roman" w:cs="Times New Roman"/>
          <w:sz w:val="20"/>
          <w:szCs w:val="20"/>
        </w:rPr>
        <w:t>number</w:t>
      </w:r>
      <w:r>
        <w:rPr>
          <w:rFonts w:ascii="Times New Roman" w:eastAsia="Times New Roman" w:hAnsi="Times New Roman" w:cs="Times New Roman"/>
          <w:color w:val="000000"/>
          <w:sz w:val="20"/>
          <w:szCs w:val="20"/>
        </w:rPr>
        <w:t xml:space="preserve"> of feature maps, </w:t>
      </w:r>
      <w:r>
        <w:rPr>
          <w:rFonts w:ascii="Times New Roman" w:eastAsia="Times New Roman" w:hAnsi="Times New Roman" w:cs="Times New Roman"/>
          <w:sz w:val="20"/>
          <w:szCs w:val="20"/>
        </w:rPr>
        <w:t>organized</w:t>
      </w:r>
      <w:r>
        <w:rPr>
          <w:rFonts w:ascii="Times New Roman" w:eastAsia="Times New Roman" w:hAnsi="Times New Roman" w:cs="Times New Roman"/>
          <w:color w:val="000000"/>
          <w:sz w:val="20"/>
          <w:szCs w:val="20"/>
        </w:rPr>
        <w:t xml:space="preserve"> in pairs</w:t>
      </w:r>
      <w:r>
        <w:rPr>
          <w:rFonts w:ascii="Times New Roman" w:eastAsia="Times New Roman" w:hAnsi="Times New Roman" w:cs="Times New Roman"/>
          <w:sz w:val="20"/>
          <w:szCs w:val="20"/>
        </w:rPr>
        <w:t xml:space="preserve"> with</w:t>
      </w:r>
      <w:r>
        <w:rPr>
          <w:rFonts w:ascii="Times New Roman" w:eastAsia="Times New Roman" w:hAnsi="Times New Roman" w:cs="Times New Roman"/>
          <w:color w:val="000000"/>
          <w:sz w:val="20"/>
          <w:szCs w:val="20"/>
        </w:rPr>
        <w:t xml:space="preserve"> 64, 128, 256, and 512 filters. A </w:t>
      </w:r>
      <w:proofErr w:type="gramStart"/>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tride  of</w:t>
      </w:r>
      <w:proofErr w:type="gramEnd"/>
      <w:r>
        <w:rPr>
          <w:rFonts w:ascii="Times New Roman" w:eastAsia="Times New Roman" w:hAnsi="Times New Roman" w:cs="Times New Roman"/>
          <w:color w:val="000000"/>
          <w:sz w:val="20"/>
          <w:szCs w:val="20"/>
        </w:rPr>
        <w:t xml:space="preserve"> 2 is applied </w:t>
      </w:r>
      <w:r>
        <w:rPr>
          <w:rFonts w:ascii="Times New Roman" w:eastAsia="Times New Roman" w:hAnsi="Times New Roman" w:cs="Times New Roman"/>
          <w:sz w:val="20"/>
          <w:szCs w:val="20"/>
        </w:rPr>
        <w:t>in</w:t>
      </w:r>
      <w:r>
        <w:rPr>
          <w:rFonts w:ascii="Times New Roman" w:eastAsia="Times New Roman" w:hAnsi="Times New Roman" w:cs="Times New Roman"/>
          <w:color w:val="000000"/>
          <w:sz w:val="20"/>
          <w:szCs w:val="20"/>
        </w:rPr>
        <w:t xml:space="preserve"> the first block of each new filter group to reduce spatial dimensions while capturing finer textural features.</w:t>
      </w:r>
    </w:p>
    <w:p w14:paraId="482ACC3E"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Following the convolutional backbone, a Global Max Pooling 2D layer is applied to</w:t>
      </w:r>
      <w:r>
        <w:rPr>
          <w:rFonts w:ascii="Times New Roman" w:eastAsia="Times New Roman" w:hAnsi="Times New Roman" w:cs="Times New Roman"/>
          <w:sz w:val="20"/>
          <w:szCs w:val="20"/>
        </w:rPr>
        <w:t xml:space="preserve"> collapse</w:t>
      </w:r>
      <w:r>
        <w:rPr>
          <w:rFonts w:ascii="Times New Roman" w:eastAsia="Times New Roman" w:hAnsi="Times New Roman" w:cs="Times New Roman"/>
          <w:color w:val="000000"/>
          <w:sz w:val="20"/>
          <w:szCs w:val="20"/>
        </w:rPr>
        <w:t xml:space="preserve"> the spatial dimensions, feeding into a fully connected </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ense layer with 256 neurons (</w:t>
      </w:r>
      <w:proofErr w:type="spellStart"/>
      <w:r>
        <w:rPr>
          <w:rFonts w:ascii="Times New Roman" w:eastAsia="Times New Roman" w:hAnsi="Times New Roman" w:cs="Times New Roman"/>
          <w:color w:val="000000"/>
          <w:sz w:val="20"/>
          <w:szCs w:val="20"/>
        </w:rPr>
        <w:t>ReLU</w:t>
      </w:r>
      <w:proofErr w:type="spellEnd"/>
      <w:r>
        <w:rPr>
          <w:rFonts w:ascii="Times New Roman" w:eastAsia="Times New Roman" w:hAnsi="Times New Roman" w:cs="Times New Roman"/>
          <w:color w:val="000000"/>
          <w:sz w:val="20"/>
          <w:szCs w:val="20"/>
        </w:rPr>
        <w:t xml:space="preserve"> activation) and a </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ropout rate of </w:t>
      </w:r>
      <w:r>
        <w:rPr>
          <w:rFonts w:ascii="Times New Roman" w:eastAsia="Times New Roman" w:hAnsi="Times New Roman" w:cs="Times New Roman"/>
          <w:color w:val="000000"/>
          <w:sz w:val="20"/>
          <w:szCs w:val="20"/>
        </w:rPr>
        <w:lastRenderedPageBreak/>
        <w:t xml:space="preserve">0.3. To address the multi-objective nature of the problem, a </w:t>
      </w:r>
      <w:r>
        <w:rPr>
          <w:rFonts w:ascii="Times New Roman" w:eastAsia="Times New Roman" w:hAnsi="Times New Roman" w:cs="Times New Roman"/>
          <w:sz w:val="20"/>
          <w:szCs w:val="20"/>
        </w:rPr>
        <w:t>h</w:t>
      </w:r>
      <w:r>
        <w:rPr>
          <w:rFonts w:ascii="Times New Roman" w:eastAsia="Times New Roman" w:hAnsi="Times New Roman" w:cs="Times New Roman"/>
          <w:color w:val="000000"/>
          <w:sz w:val="20"/>
          <w:szCs w:val="20"/>
        </w:rPr>
        <w:t xml:space="preserve">ybrid architecture was implemented, </w:t>
      </w:r>
      <w:r>
        <w:rPr>
          <w:rFonts w:ascii="Times New Roman" w:eastAsia="Times New Roman" w:hAnsi="Times New Roman" w:cs="Times New Roman"/>
          <w:sz w:val="20"/>
          <w:szCs w:val="20"/>
        </w:rPr>
        <w:t>branching</w:t>
      </w:r>
      <w:r>
        <w:rPr>
          <w:rFonts w:ascii="Times New Roman" w:eastAsia="Times New Roman" w:hAnsi="Times New Roman" w:cs="Times New Roman"/>
          <w:color w:val="000000"/>
          <w:sz w:val="20"/>
          <w:szCs w:val="20"/>
        </w:rPr>
        <w:t xml:space="preserve"> into two distinct output </w:t>
      </w:r>
      <w:r>
        <w:rPr>
          <w:rFonts w:ascii="Times New Roman" w:eastAsia="Times New Roman" w:hAnsi="Times New Roman" w:cs="Times New Roman"/>
          <w:sz w:val="20"/>
          <w:szCs w:val="20"/>
        </w:rPr>
        <w:t>heads</w:t>
      </w:r>
      <w:r>
        <w:rPr>
          <w:rFonts w:ascii="Times New Roman" w:eastAsia="Times New Roman" w:hAnsi="Times New Roman" w:cs="Times New Roman"/>
          <w:color w:val="000000"/>
          <w:sz w:val="20"/>
          <w:szCs w:val="20"/>
        </w:rPr>
        <w:t xml:space="preserve">. The regression branch consists of a </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ense layer with </w:t>
      </w:r>
      <w:r>
        <w:rPr>
          <w:rFonts w:ascii="Times New Roman" w:eastAsia="Times New Roman" w:hAnsi="Times New Roman" w:cs="Times New Roman"/>
          <w:sz w:val="20"/>
          <w:szCs w:val="20"/>
        </w:rPr>
        <w:t>three</w:t>
      </w:r>
      <w:r>
        <w:rPr>
          <w:rFonts w:ascii="Times New Roman" w:eastAsia="Times New Roman" w:hAnsi="Times New Roman" w:cs="Times New Roman"/>
          <w:color w:val="000000"/>
          <w:sz w:val="20"/>
          <w:szCs w:val="20"/>
        </w:rPr>
        <w:t xml:space="preserve"> neurons and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 xml:space="preserve">inear activation to predict continuous variables. </w:t>
      </w:r>
      <w:r>
        <w:rPr>
          <w:rFonts w:ascii="Times New Roman" w:eastAsia="Times New Roman" w:hAnsi="Times New Roman" w:cs="Times New Roman"/>
          <w:sz w:val="20"/>
          <w:szCs w:val="20"/>
        </w:rPr>
        <w:t>In parallel,</w:t>
      </w:r>
      <w:r>
        <w:rPr>
          <w:rFonts w:ascii="Times New Roman" w:eastAsia="Times New Roman" w:hAnsi="Times New Roman" w:cs="Times New Roman"/>
          <w:color w:val="000000"/>
          <w:sz w:val="20"/>
          <w:szCs w:val="20"/>
        </w:rPr>
        <w:t xml:space="preserve"> the classification branch employs a </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ense layer with </w:t>
      </w:r>
      <w:proofErr w:type="spellStart"/>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oftmax</w:t>
      </w:r>
      <w:proofErr w:type="spellEnd"/>
      <w:r>
        <w:rPr>
          <w:rFonts w:ascii="Times New Roman" w:eastAsia="Times New Roman" w:hAnsi="Times New Roman" w:cs="Times New Roman"/>
          <w:color w:val="000000"/>
          <w:sz w:val="20"/>
          <w:szCs w:val="20"/>
        </w:rPr>
        <w:t xml:space="preserve"> activation to output </w:t>
      </w:r>
      <w:r>
        <w:rPr>
          <w:rFonts w:ascii="Times New Roman" w:eastAsia="Times New Roman" w:hAnsi="Times New Roman" w:cs="Times New Roman"/>
          <w:sz w:val="20"/>
          <w:szCs w:val="20"/>
        </w:rPr>
        <w:t xml:space="preserve">class </w:t>
      </w:r>
      <w:r>
        <w:rPr>
          <w:rFonts w:ascii="Times New Roman" w:eastAsia="Times New Roman" w:hAnsi="Times New Roman" w:cs="Times New Roman"/>
          <w:color w:val="000000"/>
          <w:sz w:val="20"/>
          <w:szCs w:val="20"/>
        </w:rPr>
        <w:t xml:space="preserve">probabilities for the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un length variable.</w:t>
      </w:r>
    </w:p>
    <w:p w14:paraId="482ACC3F" w14:textId="44EBE500"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training process was configured for a maximum of 200 epochs to accommodate the depth of the </w:t>
      </w:r>
      <w:proofErr w:type="spellStart"/>
      <w:r>
        <w:rPr>
          <w:rFonts w:ascii="Times New Roman" w:eastAsia="Times New Roman" w:hAnsi="Times New Roman" w:cs="Times New Roman"/>
          <w:color w:val="000000"/>
          <w:sz w:val="20"/>
          <w:szCs w:val="20"/>
        </w:rPr>
        <w:t>ResNet</w:t>
      </w:r>
      <w:proofErr w:type="spellEnd"/>
      <w:r>
        <w:rPr>
          <w:rFonts w:ascii="Times New Roman" w:eastAsia="Times New Roman" w:hAnsi="Times New Roman" w:cs="Times New Roman"/>
          <w:color w:val="000000"/>
          <w:sz w:val="20"/>
          <w:szCs w:val="20"/>
        </w:rPr>
        <w:t xml:space="preserve">. To ensure optimal convergence and prevent overfitting, a robust callback strategy was implemented. This included </w:t>
      </w:r>
      <w:r>
        <w:rPr>
          <w:rFonts w:ascii="Times New Roman" w:eastAsia="Times New Roman" w:hAnsi="Times New Roman" w:cs="Times New Roman"/>
          <w:sz w:val="20"/>
          <w:szCs w:val="20"/>
        </w:rPr>
        <w:t>e</w:t>
      </w:r>
      <w:r>
        <w:rPr>
          <w:rFonts w:ascii="Times New Roman" w:eastAsia="Times New Roman" w:hAnsi="Times New Roman" w:cs="Times New Roman"/>
          <w:color w:val="000000"/>
          <w:sz w:val="20"/>
          <w:szCs w:val="20"/>
        </w:rPr>
        <w:t xml:space="preserve">arly </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topping, configured to halt training after 25 epochs</w:t>
      </w:r>
      <w:r w:rsidR="00147CB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without improvement in validation loss (restoring the best weights); </w:t>
      </w:r>
      <w:proofErr w:type="spellStart"/>
      <w:r>
        <w:rPr>
          <w:rFonts w:ascii="Times New Roman" w:eastAsia="Times New Roman" w:hAnsi="Times New Roman" w:cs="Times New Roman"/>
          <w:sz w:val="20"/>
          <w:szCs w:val="20"/>
        </w:rPr>
        <w:t>ReduceLROnPlateau</w:t>
      </w:r>
      <w:proofErr w:type="spellEnd"/>
      <w:r>
        <w:rPr>
          <w:rFonts w:ascii="Times New Roman" w:eastAsia="Times New Roman" w:hAnsi="Times New Roman" w:cs="Times New Roman"/>
          <w:sz w:val="20"/>
          <w:szCs w:val="20"/>
        </w:rPr>
        <w:t xml:space="preserve">, which halves the learning rate after 10 epochs of stagnation (down to a minimum of 1e-6); and </w:t>
      </w:r>
      <w:proofErr w:type="spellStart"/>
      <w:r>
        <w:rPr>
          <w:rFonts w:ascii="Times New Roman" w:eastAsia="Times New Roman" w:hAnsi="Times New Roman" w:cs="Times New Roman"/>
          <w:sz w:val="20"/>
          <w:szCs w:val="20"/>
        </w:rPr>
        <w:t>ModelCheckpoint</w:t>
      </w:r>
      <w:proofErr w:type="spellEnd"/>
      <w:r>
        <w:rPr>
          <w:rFonts w:ascii="Times New Roman" w:eastAsia="Times New Roman" w:hAnsi="Times New Roman" w:cs="Times New Roman"/>
          <w:sz w:val="20"/>
          <w:szCs w:val="20"/>
        </w:rPr>
        <w:t xml:space="preserve">, which continuously saves the best-performing model based on validation loss. </w:t>
      </w:r>
    </w:p>
    <w:p w14:paraId="482ACC40"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 handle the dual outputs of the hybrid architecture, a composite loss function was applied during training. The regression branch was optimized using the Mean Squared Error (MSE), defined </w:t>
      </w:r>
      <w:r>
        <w:rPr>
          <w:rFonts w:ascii="Times New Roman" w:eastAsia="Times New Roman" w:hAnsi="Times New Roman" w:cs="Times New Roman"/>
          <w:sz w:val="20"/>
          <w:szCs w:val="20"/>
        </w:rPr>
        <w:t>by</w:t>
      </w:r>
      <w:r>
        <w:rPr>
          <w:rFonts w:ascii="Times New Roman" w:eastAsia="Times New Roman" w:hAnsi="Times New Roman" w:cs="Times New Roman"/>
          <w:color w:val="000000"/>
          <w:sz w:val="20"/>
          <w:szCs w:val="20"/>
        </w:rPr>
        <w:t xml:space="preserve"> Equation 2:</w:t>
      </w:r>
    </w:p>
    <w:p w14:paraId="482ACC41" w14:textId="77777777" w:rsidR="002D3AC2" w:rsidRDefault="002D3AC2">
      <w:pPr>
        <w:pBdr>
          <w:top w:val="nil"/>
          <w:left w:val="nil"/>
          <w:bottom w:val="nil"/>
          <w:right w:val="nil"/>
          <w:between w:val="nil"/>
        </w:pBdr>
        <w:tabs>
          <w:tab w:val="left" w:pos="240"/>
        </w:tabs>
        <w:spacing w:after="0" w:line="240" w:lineRule="auto"/>
        <w:ind w:firstLine="567"/>
        <w:jc w:val="both"/>
        <w:rPr>
          <w:rFonts w:ascii="Cambria Math" w:eastAsia="Cambria Math" w:hAnsi="Cambria Math" w:cs="Cambria Math"/>
          <w:color w:val="000000"/>
          <w:sz w:val="20"/>
          <w:szCs w:val="20"/>
        </w:rPr>
      </w:pPr>
    </w:p>
    <w:p w14:paraId="482ACC42" w14:textId="0332E39F" w:rsidR="002D3AC2" w:rsidRDefault="002800B1">
      <w:pPr>
        <w:jc w:val="center"/>
        <w:rPr>
          <w:rFonts w:ascii="Cambria Math" w:eastAsia="Cambria Math" w:hAnsi="Cambria Math" w:cs="Cambria Math"/>
          <w:color w:val="000000"/>
          <w:sz w:val="20"/>
          <w:szCs w:val="20"/>
        </w:rPr>
      </w:pPr>
      <m:oMathPara>
        <m:oMath>
          <m:r>
            <w:rPr>
              <w:rFonts w:ascii="Cambria Math" w:eastAsia="Cambria Math" w:hAnsi="Cambria Math" w:cs="Cambria Math"/>
              <w:color w:val="000000"/>
              <w:sz w:val="20"/>
              <w:szCs w:val="20"/>
            </w:rPr>
            <m:t>MSE=</m:t>
          </m:r>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1</m:t>
              </m:r>
            </m:num>
            <m:den>
              <m:r>
                <w:rPr>
                  <w:rFonts w:ascii="Cambria Math" w:eastAsia="Cambria Math" w:hAnsi="Cambria Math" w:cs="Cambria Math"/>
                  <w:color w:val="000000"/>
                  <w:sz w:val="20"/>
                  <w:szCs w:val="20"/>
                </w:rPr>
                <m:t>n</m:t>
              </m:r>
            </m:den>
          </m:f>
          <m:nary>
            <m:naryPr>
              <m:chr m:val="∑"/>
              <m:ctrlPr>
                <w:rPr>
                  <w:rFonts w:ascii="Cambria Math" w:eastAsia="Cambria Math" w:hAnsi="Cambria Math" w:cs="Cambria Math"/>
                  <w:color w:val="000000"/>
                  <w:sz w:val="20"/>
                  <w:szCs w:val="20"/>
                </w:rPr>
              </m:ctrlPr>
            </m:naryPr>
            <m:sub>
              <m:r>
                <w:rPr>
                  <w:rFonts w:ascii="Cambria Math" w:eastAsia="Cambria Math" w:hAnsi="Cambria Math" w:cs="Cambria Math"/>
                  <w:color w:val="000000"/>
                  <w:sz w:val="20"/>
                  <w:szCs w:val="20"/>
                </w:rPr>
                <m:t>i=1</m:t>
              </m:r>
            </m:sub>
            <m:sup>
              <m:r>
                <w:rPr>
                  <w:rFonts w:ascii="Cambria Math" w:eastAsia="Cambria Math" w:hAnsi="Cambria Math" w:cs="Cambria Math"/>
                  <w:color w:val="000000"/>
                  <w:sz w:val="20"/>
                  <w:szCs w:val="20"/>
                </w:rPr>
                <m:t>n</m:t>
              </m:r>
            </m:sup>
            <m:e>
              <m:sSup>
                <m:sSupPr>
                  <m:ctrlPr>
                    <w:rPr>
                      <w:rFonts w:ascii="Cambria Math" w:eastAsia="Cambria Math" w:hAnsi="Cambria Math" w:cs="Cambria Math"/>
                      <w:color w:val="000000"/>
                      <w:sz w:val="20"/>
                      <w:szCs w:val="20"/>
                    </w:rPr>
                  </m:ctrlPr>
                </m:sSupPr>
                <m:e>
                  <m:d>
                    <m:dPr>
                      <m:ctrlPr>
                        <w:rPr>
                          <w:rFonts w:ascii="Cambria Math" w:eastAsia="Cambria Math" w:hAnsi="Cambria Math" w:cs="Cambria Math"/>
                          <w:color w:val="000000"/>
                          <w:sz w:val="20"/>
                          <w:szCs w:val="20"/>
                        </w:rPr>
                      </m:ctrlPr>
                    </m:d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r>
                        <w:rPr>
                          <w:rFonts w:ascii="Cambria Math" w:eastAsia="Cambria Math" w:hAnsi="Cambria Math" w:cs="Cambria Math"/>
                          <w:color w:val="000000"/>
                          <w:sz w:val="20"/>
                          <w:szCs w:val="20"/>
                        </w:rPr>
                        <m:t>-</m:t>
                      </m:r>
                      <m:acc>
                        <m:accPr>
                          <m:ctrlPr>
                            <w:rPr>
                              <w:rFonts w:ascii="Cambria Math" w:eastAsia="Cambria Math" w:hAnsi="Cambria Math" w:cs="Cambria Math"/>
                              <w:color w:val="000000"/>
                              <w:sz w:val="20"/>
                              <w:szCs w:val="20"/>
                            </w:rPr>
                          </m:ctrlPr>
                        </m:acc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e>
                      </m:acc>
                    </m:e>
                  </m:d>
                </m:e>
                <m:sup>
                  <m:r>
                    <w:rPr>
                      <w:rFonts w:ascii="Cambria Math" w:eastAsia="Cambria Math" w:hAnsi="Cambria Math" w:cs="Cambria Math"/>
                      <w:color w:val="000000"/>
                      <w:sz w:val="20"/>
                      <w:szCs w:val="20"/>
                    </w:rPr>
                    <m:t>2</m:t>
                  </m:r>
                </m:sup>
              </m:sSup>
            </m:e>
          </m:nary>
          <m:r>
            <w:rPr>
              <w:rFonts w:ascii="Cambria Math" w:eastAsia="Cambria Math" w:hAnsi="Cambria Math" w:cs="Cambria Math"/>
              <w:color w:val="000000"/>
              <w:sz w:val="20"/>
              <w:szCs w:val="20"/>
            </w:rPr>
            <m:t xml:space="preserve">   (2)</m:t>
          </m:r>
        </m:oMath>
      </m:oMathPara>
    </w:p>
    <w:p w14:paraId="482ACC43" w14:textId="77777777" w:rsidR="002D3AC2" w:rsidRDefault="002D3AC2">
      <w:pPr>
        <w:pBdr>
          <w:top w:val="nil"/>
          <w:left w:val="nil"/>
          <w:bottom w:val="nil"/>
          <w:right w:val="nil"/>
          <w:between w:val="nil"/>
        </w:pBdr>
        <w:tabs>
          <w:tab w:val="left" w:pos="240"/>
        </w:tabs>
        <w:spacing w:after="0"/>
        <w:ind w:left="720" w:firstLine="566"/>
        <w:jc w:val="both"/>
        <w:rPr>
          <w:rFonts w:ascii="Cambria Math" w:eastAsia="Cambria Math" w:hAnsi="Cambria Math" w:cs="Cambria Math"/>
          <w:color w:val="000000"/>
          <w:sz w:val="20"/>
          <w:szCs w:val="20"/>
        </w:rPr>
      </w:pPr>
    </w:p>
    <w:p w14:paraId="482ACC44"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Simultaneously, the classification branch was optimized using Categorical Cross-Entropy </w:t>
      </w:r>
      <m:oMath>
        <m:d>
          <m:dPr>
            <m:ctrlPr>
              <w:rPr>
                <w:rFonts w:ascii="Cambria Math" w:hAnsi="Cambria Math"/>
              </w:rPr>
            </m:ctrlPr>
          </m:d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L</m:t>
                </m:r>
              </m:e>
              <m:sub>
                <m:r>
                  <w:rPr>
                    <w:rFonts w:ascii="Cambria Math" w:eastAsia="Cambria Math" w:hAnsi="Cambria Math" w:cs="Cambria Math"/>
                    <w:color w:val="000000"/>
                    <w:sz w:val="20"/>
                    <w:szCs w:val="20"/>
                  </w:rPr>
                  <m:t>CCE</m:t>
                </m:r>
              </m:sub>
            </m:sSub>
          </m:e>
        </m:d>
      </m:oMath>
      <w:r>
        <w:rPr>
          <w:rFonts w:ascii="Times New Roman" w:eastAsia="Times New Roman" w:hAnsi="Times New Roman" w:cs="Times New Roman"/>
          <w:color w:val="000000"/>
          <w:sz w:val="20"/>
          <w:szCs w:val="20"/>
        </w:rPr>
        <w:t xml:space="preserve"> with a label smoothing factor of alpha = 0.1 to prevent overconfidence in predictions. For a problem with </w:t>
      </w:r>
      <w:r>
        <w:rPr>
          <w:rFonts w:ascii="Times New Roman" w:eastAsia="Times New Roman" w:hAnsi="Times New Roman" w:cs="Times New Roman"/>
          <w:i/>
          <w:iCs/>
          <w:color w:val="000000"/>
          <w:sz w:val="20"/>
          <w:szCs w:val="20"/>
        </w:rPr>
        <w:t>K</w:t>
      </w:r>
      <w:r>
        <w:rPr>
          <w:rFonts w:ascii="Times New Roman" w:eastAsia="Times New Roman" w:hAnsi="Times New Roman" w:cs="Times New Roman"/>
          <w:color w:val="000000"/>
          <w:sz w:val="20"/>
          <w:szCs w:val="20"/>
        </w:rPr>
        <w:t xml:space="preserve"> classes, the smoothed target probability </w:t>
      </w:r>
      <m:oMath>
        <m:sSubSup>
          <m:sSubSupPr>
            <m:ctrlPr>
              <w:rPr>
                <w:rFonts w:ascii="Cambria Math" w:eastAsia="Cambria Math" w:hAnsi="Cambria Math" w:cs="Cambria Math"/>
                <w:color w:val="000000"/>
                <w:sz w:val="20"/>
                <w:szCs w:val="20"/>
              </w:rPr>
            </m:ctrlPr>
          </m:sSubSup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i,c</m:t>
            </m:r>
          </m:sub>
          <m:sup>
            <m:r>
              <w:rPr>
                <w:rFonts w:ascii="Cambria Math" w:eastAsia="Cambria Math" w:hAnsi="Cambria Math" w:cs="Cambria Math"/>
                <w:color w:val="000000"/>
                <w:sz w:val="20"/>
                <w:szCs w:val="20"/>
              </w:rPr>
              <m:t>LS</m:t>
            </m:r>
          </m:sup>
        </m:sSubSup>
      </m:oMath>
      <w:r>
        <w:rPr>
          <w:rFonts w:ascii="Times New Roman" w:eastAsia="Times New Roman" w:hAnsi="Times New Roman" w:cs="Times New Roman"/>
          <w:color w:val="000000"/>
          <w:sz w:val="20"/>
          <w:szCs w:val="20"/>
        </w:rPr>
        <w:t xml:space="preserve"> and the loss are defined </w:t>
      </w:r>
      <w:r>
        <w:rPr>
          <w:rFonts w:ascii="Times New Roman" w:eastAsia="Times New Roman" w:hAnsi="Times New Roman" w:cs="Times New Roman"/>
          <w:sz w:val="20"/>
          <w:szCs w:val="20"/>
        </w:rPr>
        <w:t>by</w:t>
      </w:r>
      <w:r>
        <w:rPr>
          <w:rFonts w:ascii="Times New Roman" w:eastAsia="Times New Roman" w:hAnsi="Times New Roman" w:cs="Times New Roman"/>
          <w:color w:val="000000"/>
          <w:sz w:val="20"/>
          <w:szCs w:val="20"/>
        </w:rPr>
        <w:t xml:space="preserve"> Equations 3 and 4:</w:t>
      </w:r>
    </w:p>
    <w:p w14:paraId="482ACC45" w14:textId="77777777" w:rsidR="002D3AC2" w:rsidRDefault="002D3AC2">
      <w:pPr>
        <w:pBdr>
          <w:top w:val="nil"/>
          <w:left w:val="nil"/>
          <w:bottom w:val="nil"/>
          <w:right w:val="nil"/>
          <w:between w:val="nil"/>
        </w:pBdr>
        <w:tabs>
          <w:tab w:val="left" w:pos="240"/>
        </w:tabs>
        <w:ind w:firstLine="567"/>
        <w:jc w:val="both"/>
        <w:rPr>
          <w:rFonts w:ascii="Times New Roman" w:eastAsia="Times New Roman" w:hAnsi="Times New Roman" w:cs="Times New Roman"/>
          <w:color w:val="000000"/>
          <w:sz w:val="20"/>
          <w:szCs w:val="20"/>
        </w:rPr>
      </w:pPr>
    </w:p>
    <w:p w14:paraId="482ACC46" w14:textId="77777777" w:rsidR="002D3AC2" w:rsidRDefault="00000000">
      <w:pPr>
        <w:jc w:val="center"/>
        <w:rPr>
          <w:rFonts w:ascii="Cambria Math" w:eastAsia="Cambria Math" w:hAnsi="Cambria Math" w:cs="Cambria Math"/>
          <w:color w:val="000000"/>
          <w:sz w:val="20"/>
          <w:szCs w:val="20"/>
        </w:rPr>
      </w:pPr>
      <m:oMathPara>
        <m:oMath>
          <m:sSubSup>
            <m:sSubSupPr>
              <m:ctrlPr>
                <w:rPr>
                  <w:rFonts w:ascii="Cambria Math" w:eastAsia="Cambria Math" w:hAnsi="Cambria Math" w:cs="Cambria Math"/>
                  <w:color w:val="000000"/>
                  <w:sz w:val="20"/>
                  <w:szCs w:val="20"/>
                </w:rPr>
              </m:ctrlPr>
            </m:sSubSup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i,c</m:t>
              </m:r>
            </m:sub>
            <m:sup>
              <m:r>
                <w:rPr>
                  <w:rFonts w:ascii="Cambria Math" w:eastAsia="Cambria Math" w:hAnsi="Cambria Math" w:cs="Cambria Math"/>
                  <w:color w:val="000000"/>
                  <w:sz w:val="20"/>
                  <w:szCs w:val="20"/>
                </w:rPr>
                <m:t>LS</m:t>
              </m:r>
            </m:sup>
          </m:sSubSup>
          <m:r>
            <w:rPr>
              <w:rFonts w:ascii="Cambria Math" w:eastAsia="Cambria Math" w:hAnsi="Cambria Math" w:cs="Cambria Math"/>
              <w:color w:val="000000"/>
              <w:sz w:val="20"/>
              <w:szCs w:val="20"/>
            </w:rPr>
            <m:t>=</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i,c</m:t>
              </m:r>
            </m:sub>
          </m:sSub>
          <m:d>
            <m:dPr>
              <m:ctrlPr>
                <w:rPr>
                  <w:rFonts w:ascii="Cambria Math" w:eastAsia="Cambria Math" w:hAnsi="Cambria Math" w:cs="Cambria Math"/>
                  <w:color w:val="000000"/>
                  <w:sz w:val="20"/>
                  <w:szCs w:val="20"/>
                </w:rPr>
              </m:ctrlPr>
            </m:dPr>
            <m:e>
              <m:r>
                <w:rPr>
                  <w:rFonts w:ascii="Cambria Math" w:eastAsia="Cambria Math" w:hAnsi="Cambria Math" w:cs="Cambria Math"/>
                  <w:color w:val="000000"/>
                  <w:sz w:val="20"/>
                  <w:szCs w:val="20"/>
                </w:rPr>
                <m:t>1-α</m:t>
              </m:r>
            </m:e>
          </m:d>
          <m:r>
            <w:rPr>
              <w:rFonts w:ascii="Cambria Math" w:eastAsia="Cambria Math" w:hAnsi="Cambria Math" w:cs="Cambria Math"/>
              <w:color w:val="000000"/>
              <w:sz w:val="20"/>
              <w:szCs w:val="20"/>
            </w:rPr>
            <m:t>+</m:t>
          </m:r>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α</m:t>
              </m:r>
            </m:num>
            <m:den>
              <m:r>
                <w:rPr>
                  <w:rFonts w:ascii="Cambria Math" w:eastAsia="Cambria Math" w:hAnsi="Cambria Math" w:cs="Cambria Math"/>
                  <w:color w:val="000000"/>
                  <w:sz w:val="20"/>
                  <w:szCs w:val="20"/>
                </w:rPr>
                <m:t>K</m:t>
              </m:r>
            </m:den>
          </m:f>
          <m:r>
            <w:rPr>
              <w:rFonts w:ascii="Cambria Math" w:eastAsia="Cambria Math" w:hAnsi="Cambria Math" w:cs="Cambria Math"/>
              <w:color w:val="000000"/>
              <w:sz w:val="20"/>
              <w:szCs w:val="20"/>
            </w:rPr>
            <m:t xml:space="preserve">       (3)</m:t>
          </m:r>
        </m:oMath>
      </m:oMathPara>
    </w:p>
    <w:p w14:paraId="482ACC47" w14:textId="0D541C57" w:rsidR="002D3AC2" w:rsidRDefault="00000000">
      <w:pPr>
        <w:jc w:val="center"/>
        <w:rPr>
          <w:rFonts w:ascii="Cambria Math" w:eastAsia="Cambria Math" w:hAnsi="Cambria Math" w:cs="Cambria Math"/>
          <w:color w:val="000000"/>
          <w:sz w:val="20"/>
          <w:szCs w:val="20"/>
        </w:rPr>
      </w:pPr>
      <m:oMathPara>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L</m:t>
              </m:r>
            </m:e>
            <m:sub>
              <m:r>
                <w:rPr>
                  <w:rFonts w:ascii="Cambria Math" w:eastAsia="Cambria Math" w:hAnsi="Cambria Math" w:cs="Cambria Math"/>
                  <w:color w:val="000000"/>
                  <w:sz w:val="20"/>
                  <w:szCs w:val="20"/>
                </w:rPr>
                <m:t>CCE</m:t>
              </m:r>
            </m:sub>
          </m:sSub>
          <m:r>
            <w:rPr>
              <w:rFonts w:ascii="Cambria Math" w:eastAsia="Cambria Math" w:hAnsi="Cambria Math" w:cs="Cambria Math"/>
              <w:color w:val="000000"/>
              <w:sz w:val="20"/>
              <w:szCs w:val="20"/>
            </w:rPr>
            <m:t>=-</m:t>
          </m:r>
          <m:nary>
            <m:naryPr>
              <m:chr m:val="∑"/>
              <m:ctrlPr>
                <w:rPr>
                  <w:rFonts w:ascii="Cambria Math" w:eastAsia="Cambria Math" w:hAnsi="Cambria Math" w:cs="Cambria Math"/>
                  <w:color w:val="000000"/>
                  <w:sz w:val="20"/>
                  <w:szCs w:val="20"/>
                </w:rPr>
              </m:ctrlPr>
            </m:naryPr>
            <m:sub>
              <m:r>
                <w:rPr>
                  <w:rFonts w:ascii="Cambria Math" w:eastAsia="Cambria Math" w:hAnsi="Cambria Math" w:cs="Cambria Math"/>
                  <w:color w:val="000000"/>
                  <w:sz w:val="20"/>
                  <w:szCs w:val="20"/>
                </w:rPr>
                <m:t>c=1</m:t>
              </m:r>
            </m:sub>
            <m:sup>
              <m:r>
                <w:rPr>
                  <w:rFonts w:ascii="Cambria Math" w:eastAsia="Cambria Math" w:hAnsi="Cambria Math" w:cs="Cambria Math"/>
                  <w:color w:val="000000"/>
                  <w:sz w:val="20"/>
                  <w:szCs w:val="20"/>
                </w:rPr>
                <m:t>K</m:t>
              </m:r>
            </m:sup>
            <m:e>
              <m:sSubSup>
                <m:sSubSupPr>
                  <m:ctrlPr>
                    <w:rPr>
                      <w:rFonts w:ascii="Cambria Math" w:eastAsia="Cambria Math" w:hAnsi="Cambria Math" w:cs="Cambria Math"/>
                      <w:color w:val="000000"/>
                      <w:sz w:val="20"/>
                      <w:szCs w:val="20"/>
                    </w:rPr>
                  </m:ctrlPr>
                </m:sSubSup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i,c</m:t>
                  </m:r>
                </m:sub>
                <m:sup>
                  <m:r>
                    <w:rPr>
                      <w:rFonts w:ascii="Cambria Math" w:eastAsia="Cambria Math" w:hAnsi="Cambria Math" w:cs="Cambria Math"/>
                      <w:color w:val="000000"/>
                      <w:sz w:val="20"/>
                      <w:szCs w:val="20"/>
                    </w:rPr>
                    <m:t>LS</m:t>
                  </m:r>
                </m:sup>
              </m:sSubSup>
              <m:box>
                <m:boxPr>
                  <m:opEmu m:val="1"/>
                  <m:ctrlPr>
                    <w:rPr>
                      <w:rFonts w:ascii="Cambria Math" w:eastAsia="Cambria Math" w:hAnsi="Cambria Math" w:cs="Cambria Math"/>
                      <w:color w:val="000000"/>
                      <w:sz w:val="20"/>
                      <w:szCs w:val="20"/>
                    </w:rPr>
                  </m:ctrlPr>
                </m:boxPr>
                <m:e>
                  <m:r>
                    <w:rPr>
                      <w:rFonts w:ascii="Cambria Math" w:eastAsia="Cambria Math" w:hAnsi="Cambria Math" w:cs="Cambria Math"/>
                      <w:color w:val="000000"/>
                      <w:sz w:val="20"/>
                      <w:szCs w:val="20"/>
                    </w:rPr>
                    <m:t>log</m:t>
                  </m:r>
                </m:e>
              </m:box>
              <m:d>
                <m:dPr>
                  <m:ctrlPr>
                    <w:rPr>
                      <w:rFonts w:ascii="Cambria Math" w:hAnsi="Cambria Math"/>
                    </w:rPr>
                  </m:ctrlPr>
                </m:d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i,c</m:t>
                      </m:r>
                    </m:sub>
                  </m:sSub>
                </m:e>
              </m:d>
              <m:r>
                <w:rPr>
                  <w:rFonts w:ascii="Cambria Math" w:hAnsi="Cambria Math"/>
                </w:rPr>
                <m:t xml:space="preserve"> </m:t>
              </m:r>
            </m:e>
          </m:nary>
          <m:r>
            <w:rPr>
              <w:rFonts w:ascii="Cambria Math" w:hAnsi="Cambria Math"/>
            </w:rPr>
            <m:t xml:space="preserve"> </m:t>
          </m:r>
          <m:r>
            <w:rPr>
              <w:rFonts w:ascii="Cambria Math" w:eastAsia="Cambria Math" w:hAnsi="Cambria Math" w:cs="Cambria Math"/>
              <w:color w:val="000000"/>
              <w:sz w:val="20"/>
              <w:szCs w:val="20"/>
            </w:rPr>
            <m:t xml:space="preserve">  (4)</m:t>
          </m:r>
        </m:oMath>
      </m:oMathPara>
    </w:p>
    <w:p w14:paraId="482ACC48" w14:textId="77777777" w:rsidR="002D3AC2" w:rsidRDefault="002D3AC2">
      <w:pPr>
        <w:pBdr>
          <w:top w:val="nil"/>
          <w:left w:val="nil"/>
          <w:bottom w:val="nil"/>
          <w:right w:val="nil"/>
          <w:between w:val="nil"/>
        </w:pBdr>
        <w:tabs>
          <w:tab w:val="left" w:pos="240"/>
        </w:tabs>
        <w:spacing w:after="0"/>
        <w:ind w:left="720" w:firstLine="566"/>
        <w:jc w:val="both"/>
        <w:rPr>
          <w:rFonts w:ascii="Times New Roman" w:eastAsia="Times New Roman" w:hAnsi="Times New Roman" w:cs="Times New Roman"/>
          <w:color w:val="000000"/>
          <w:sz w:val="20"/>
          <w:szCs w:val="20"/>
        </w:rPr>
      </w:pPr>
    </w:p>
    <w:p w14:paraId="482ACC49" w14:textId="77777777" w:rsidR="002D3AC2" w:rsidRDefault="002800B1">
      <w:pPr>
        <w:pBdr>
          <w:top w:val="nil"/>
          <w:left w:val="nil"/>
          <w:bottom w:val="nil"/>
          <w:right w:val="nil"/>
          <w:between w:val="nil"/>
        </w:pBdr>
        <w:tabs>
          <w:tab w:val="left" w:pos="24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w</w:t>
      </w:r>
      <w:r>
        <w:rPr>
          <w:rFonts w:ascii="Times New Roman" w:eastAsia="Times New Roman" w:hAnsi="Times New Roman" w:cs="Times New Roman"/>
          <w:color w:val="000000"/>
          <w:sz w:val="20"/>
          <w:szCs w:val="20"/>
        </w:rPr>
        <w:t xml:space="preserve">here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i,c</m:t>
            </m:r>
          </m:sub>
        </m:sSub>
      </m:oMath>
      <w:r>
        <w:rPr>
          <w:rFonts w:ascii="Times New Roman" w:eastAsia="Times New Roman" w:hAnsi="Times New Roman" w:cs="Times New Roman"/>
          <w:color w:val="000000"/>
          <w:sz w:val="20"/>
          <w:szCs w:val="20"/>
        </w:rPr>
        <w:t xml:space="preserve"> is the predicted Softmax probability for class </w:t>
      </w:r>
      <w:r>
        <w:rPr>
          <w:rFonts w:ascii="Times New Roman" w:eastAsia="Times New Roman" w:hAnsi="Times New Roman" w:cs="Times New Roman"/>
          <w:i/>
          <w:iCs/>
          <w:color w:val="000000"/>
          <w:sz w:val="20"/>
          <w:szCs w:val="20"/>
        </w:rPr>
        <w:t>c</w:t>
      </w:r>
      <w:r>
        <w:rPr>
          <w:rFonts w:ascii="Times New Roman" w:eastAsia="Times New Roman" w:hAnsi="Times New Roman" w:cs="Times New Roman"/>
          <w:color w:val="000000"/>
          <w:sz w:val="20"/>
          <w:szCs w:val="20"/>
        </w:rPr>
        <w:t xml:space="preserve">. To balance the gradients during backpropagation, loss weights of </w:t>
      </w:r>
      <m:oMath>
        <m:sSub>
          <m:sSubPr>
            <m:ctrlPr>
              <w:rPr>
                <w:rFonts w:ascii="Cambria Math" w:eastAsia="Cambria Math" w:hAnsi="Cambria Math" w:cs="Cambria Math"/>
                <w:color w:val="000000"/>
                <w:sz w:val="20"/>
                <w:szCs w:val="20"/>
              </w:rPr>
            </m:ctrlPr>
          </m:sSubPr>
          <m:e>
            <m:r>
              <w:rPr>
                <w:rFonts w:ascii="Cambria Math" w:hAnsi="Cambria Math"/>
              </w:rPr>
              <m:t>λ</m:t>
            </m:r>
          </m:e>
          <m:sub>
            <m:r>
              <w:rPr>
                <w:rFonts w:ascii="Cambria Math" w:eastAsia="Cambria Math" w:hAnsi="Cambria Math" w:cs="Cambria Math"/>
                <w:color w:val="000000"/>
                <w:sz w:val="20"/>
                <w:szCs w:val="20"/>
              </w:rPr>
              <m:t>reg</m:t>
            </m:r>
          </m:sub>
        </m:sSub>
        <m:r>
          <w:rPr>
            <w:rFonts w:ascii="Cambria Math" w:eastAsia="Cambria Math" w:hAnsi="Cambria Math" w:cs="Cambria Math"/>
            <w:color w:val="000000"/>
            <w:sz w:val="20"/>
            <w:szCs w:val="20"/>
          </w:rPr>
          <m:t xml:space="preserve">=and </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λ</m:t>
            </m:r>
          </m:e>
          <m:sub>
            <m:r>
              <w:rPr>
                <w:rFonts w:ascii="Cambria Math" w:eastAsia="Cambria Math" w:hAnsi="Cambria Math" w:cs="Cambria Math"/>
                <w:color w:val="000000"/>
                <w:sz w:val="20"/>
                <w:szCs w:val="20"/>
              </w:rPr>
              <m:t>cls</m:t>
            </m:r>
          </m:sub>
        </m:sSub>
        <m:r>
          <w:rPr>
            <w:rFonts w:ascii="Cambria Math" w:eastAsia="Cambria Math" w:hAnsi="Cambria Math" w:cs="Cambria Math"/>
            <w:color w:val="000000"/>
            <w:sz w:val="20"/>
            <w:szCs w:val="20"/>
          </w:rPr>
          <m:t>=5.</m:t>
        </m:r>
      </m:oMath>
      <w:r>
        <w:rPr>
          <w:rFonts w:ascii="Times New Roman" w:eastAsia="Times New Roman" w:hAnsi="Times New Roman" w:cs="Times New Roman"/>
          <w:color w:val="000000"/>
          <w:sz w:val="20"/>
          <w:szCs w:val="20"/>
        </w:rPr>
        <w:t xml:space="preserve">  were assigned to the regression and classification outputs, respectively, resulting in the total loss function: </w:t>
      </w:r>
    </w:p>
    <w:p w14:paraId="482ACC4A"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4B" w14:textId="77777777" w:rsidR="002D3AC2" w:rsidRDefault="00000000">
      <w:pPr>
        <w:jc w:val="center"/>
        <w:rPr>
          <w:rFonts w:ascii="Cambria Math" w:eastAsia="Cambria Math" w:hAnsi="Cambria Math" w:cs="Cambria Math"/>
          <w:color w:val="000000"/>
          <w:sz w:val="20"/>
          <w:szCs w:val="20"/>
        </w:rPr>
      </w:pPr>
      <m:oMathPara>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L</m:t>
              </m:r>
            </m:e>
            <m:sub>
              <m:r>
                <w:rPr>
                  <w:rFonts w:ascii="Cambria Math" w:eastAsia="Cambria Math" w:hAnsi="Cambria Math" w:cs="Cambria Math"/>
                  <w:color w:val="000000"/>
                  <w:sz w:val="20"/>
                  <w:szCs w:val="20"/>
                </w:rPr>
                <m:t>Total</m:t>
              </m:r>
            </m:sub>
          </m:sSub>
          <m:r>
            <w:rPr>
              <w:rFonts w:ascii="Cambria Math" w:eastAsia="Cambria Math" w:hAnsi="Cambria Math" w:cs="Cambria Math"/>
              <w:color w:val="000000"/>
              <w:sz w:val="20"/>
              <w:szCs w:val="20"/>
            </w:rPr>
            <m:t>=</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λ</m:t>
              </m:r>
            </m:e>
            <m:sub>
              <m:r>
                <w:rPr>
                  <w:rFonts w:ascii="Cambria Math" w:eastAsia="Cambria Math" w:hAnsi="Cambria Math" w:cs="Cambria Math"/>
                  <w:color w:val="000000"/>
                  <w:sz w:val="20"/>
                  <w:szCs w:val="20"/>
                </w:rPr>
                <m:t>reg</m:t>
              </m:r>
            </m:sub>
          </m:sSub>
          <m:r>
            <w:rPr>
              <w:rFonts w:ascii="Cambria Math" w:eastAsia="Cambria Math" w:hAnsi="Cambria Math" w:cs="Cambria Math"/>
              <w:color w:val="000000"/>
              <w:sz w:val="20"/>
              <w:szCs w:val="20"/>
            </w:rPr>
            <m:t>MSE+</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λ</m:t>
              </m:r>
            </m:e>
            <m:sub>
              <m:r>
                <w:rPr>
                  <w:rFonts w:ascii="Cambria Math" w:eastAsia="Cambria Math" w:hAnsi="Cambria Math" w:cs="Cambria Math"/>
                  <w:color w:val="000000"/>
                  <w:sz w:val="20"/>
                  <w:szCs w:val="20"/>
                </w:rPr>
                <m:t>cls</m:t>
              </m:r>
            </m:sub>
          </m:sSub>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L</m:t>
              </m:r>
            </m:e>
            <m:sub>
              <m:r>
                <w:rPr>
                  <w:rFonts w:ascii="Cambria Math" w:eastAsia="Cambria Math" w:hAnsi="Cambria Math" w:cs="Cambria Math"/>
                  <w:color w:val="000000"/>
                  <w:sz w:val="20"/>
                  <w:szCs w:val="20"/>
                </w:rPr>
                <m:t>CCE</m:t>
              </m:r>
            </m:sub>
          </m:sSub>
          <m:r>
            <w:rPr>
              <w:rFonts w:ascii="Cambria Math" w:eastAsia="Cambria Math" w:hAnsi="Cambria Math" w:cs="Cambria Math"/>
              <w:color w:val="000000"/>
              <w:sz w:val="20"/>
              <w:szCs w:val="20"/>
            </w:rPr>
            <m:t xml:space="preserve"> (5)</m:t>
          </m:r>
        </m:oMath>
      </m:oMathPara>
    </w:p>
    <w:p w14:paraId="482ACC4C"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4D"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Mathematical Expectation for Continuous Estimation </w:t>
      </w:r>
      <w:proofErr w:type="gramStart"/>
      <w:r>
        <w:rPr>
          <w:rFonts w:ascii="Times New Roman" w:eastAsia="Times New Roman" w:hAnsi="Times New Roman" w:cs="Times New Roman"/>
          <w:color w:val="000000"/>
          <w:sz w:val="20"/>
          <w:szCs w:val="20"/>
        </w:rPr>
        <w:t>on</w:t>
      </w:r>
      <w:proofErr w:type="gramEnd"/>
      <w:r>
        <w:rPr>
          <w:rFonts w:ascii="Times New Roman" w:eastAsia="Times New Roman" w:hAnsi="Times New Roman" w:cs="Times New Roman"/>
          <w:color w:val="000000"/>
          <w:sz w:val="20"/>
          <w:szCs w:val="20"/>
        </w:rPr>
        <w:t xml:space="preserve"> the context of polymerization reactor operation, the Run Length must ultimately be output as a continuous variable to effectively inform process control decisions and operational planning. While treating this variable categorically helped overcome specific data distribution challenges during training, a discrete class output is insufficient for practical engineering application.</w:t>
      </w:r>
    </w:p>
    <w:p w14:paraId="482ACC4E"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 bridge this gap and evaluate the categorical predictions using continuous metrics, a mathematical expectation approach was introduced. Instead of simply selecting the class with the highest probability via an argmax function, the final continuous estimation </w:t>
      </w:r>
      <m:oMath>
        <m:d>
          <m:dPr>
            <m:ctrlPr>
              <w:rPr>
                <w:rFonts w:ascii="Cambria Math" w:hAnsi="Cambria Math"/>
              </w:rPr>
            </m:ctrlPr>
          </m:dPr>
          <m:e>
            <m:acc>
              <m:accPr>
                <m:ctrlPr>
                  <w:rPr>
                    <w:rFonts w:ascii="Cambria Math" w:hAnsi="Cambria Math"/>
                  </w:rPr>
                </m:ctrlPr>
              </m:acc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exp</m:t>
                    </m:r>
                  </m:sub>
                </m:sSub>
              </m:e>
            </m:acc>
          </m:e>
        </m:d>
      </m:oMath>
      <w:r>
        <w:rPr>
          <w:rFonts w:ascii="Times New Roman" w:eastAsia="Times New Roman" w:hAnsi="Times New Roman" w:cs="Times New Roman"/>
          <w:color w:val="000000"/>
          <w:sz w:val="20"/>
          <w:szCs w:val="20"/>
        </w:rPr>
        <w:t xml:space="preserve"> was calculated as the weighted sum of the Softmax output probabilities </w:t>
      </w:r>
      <m:oMath>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 xml:space="preserve">c </m:t>
            </m:r>
          </m:sub>
        </m:sSub>
      </m:oMath>
      <w:r>
        <w:rPr>
          <w:rFonts w:ascii="Times New Roman" w:eastAsia="Times New Roman" w:hAnsi="Times New Roman" w:cs="Times New Roman"/>
          <w:color w:val="000000"/>
          <w:sz w:val="20"/>
          <w:szCs w:val="20"/>
        </w:rPr>
        <w:t xml:space="preserve">and their respective predefined class centers or bins </w:t>
      </w:r>
      <m:oMath>
        <m:d>
          <m:dPr>
            <m:ctrlPr>
              <w:rPr>
                <w:rFonts w:ascii="Cambria Math" w:hAnsi="Cambria Math"/>
              </w:rPr>
            </m:ctrlPr>
          </m:d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V</m:t>
                </m:r>
              </m:e>
              <m:sub>
                <m:r>
                  <w:rPr>
                    <w:rFonts w:ascii="Cambria Math" w:eastAsia="Cambria Math" w:hAnsi="Cambria Math" w:cs="Cambria Math"/>
                    <w:color w:val="000000"/>
                    <w:sz w:val="20"/>
                    <w:szCs w:val="20"/>
                  </w:rPr>
                  <m:t>c</m:t>
                </m:r>
              </m:sub>
            </m:sSub>
          </m:e>
        </m:d>
        <m:r>
          <w:rPr>
            <w:rFonts w:ascii="Cambria Math" w:eastAsia="Cambria Math" w:hAnsi="Cambria Math" w:cs="Cambria Math"/>
            <w:color w:val="000000"/>
            <w:sz w:val="20"/>
            <w:szCs w:val="20"/>
          </w:rPr>
          <m:t>:</m:t>
        </m:r>
      </m:oMath>
    </w:p>
    <w:p w14:paraId="482ACC4F" w14:textId="35A30879" w:rsidR="002D3AC2" w:rsidRDefault="002800B1">
      <w:pPr>
        <w:jc w:val="center"/>
        <w:rPr>
          <w:rFonts w:ascii="Cambria Math" w:eastAsia="Cambria Math" w:hAnsi="Cambria Math" w:cs="Cambria Math"/>
          <w:color w:val="000000"/>
          <w:sz w:val="20"/>
          <w:szCs w:val="20"/>
        </w:rPr>
      </w:pPr>
      <m:oMathPara>
        <m:oMath>
          <m:r>
            <w:rPr>
              <w:rFonts w:ascii="Cambria Math" w:eastAsia="Cambria Math" w:hAnsi="Cambria Math" w:cs="Cambria Math"/>
              <w:color w:val="000000"/>
              <w:sz w:val="20"/>
              <w:szCs w:val="20"/>
            </w:rPr>
            <m:t>E</m:t>
          </m:r>
          <m:d>
            <m:dPr>
              <m:begChr m:val="["/>
              <m:endChr m:val="]"/>
              <m:ctrlPr>
                <w:rPr>
                  <w:rFonts w:ascii="Cambria Math" w:eastAsia="Cambria Math" w:hAnsi="Cambria Math" w:cs="Cambria Math"/>
                  <w:color w:val="000000"/>
                  <w:sz w:val="20"/>
                  <w:szCs w:val="20"/>
                </w:rPr>
              </m:ctrlPr>
            </m:dPr>
            <m:e>
              <m:acc>
                <m:accPr>
                  <m:ctrlPr>
                    <w:rPr>
                      <w:rFonts w:ascii="Cambria Math" w:eastAsia="Cambria Math" w:hAnsi="Cambria Math" w:cs="Cambria Math"/>
                      <w:color w:val="000000"/>
                      <w:sz w:val="20"/>
                      <w:szCs w:val="20"/>
                    </w:rPr>
                  </m:ctrlPr>
                </m:acc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exp</m:t>
                      </m:r>
                    </m:sub>
                  </m:sSub>
                </m:e>
              </m:acc>
            </m:e>
          </m:d>
          <m:r>
            <w:rPr>
              <w:rFonts w:ascii="Cambria Math" w:eastAsia="Cambria Math" w:hAnsi="Cambria Math" w:cs="Cambria Math"/>
              <w:color w:val="000000"/>
              <w:sz w:val="20"/>
              <w:szCs w:val="20"/>
            </w:rPr>
            <m:t>=</m:t>
          </m:r>
          <m:nary>
            <m:naryPr>
              <m:chr m:val="∑"/>
              <m:ctrlPr>
                <w:rPr>
                  <w:rFonts w:ascii="Cambria Math" w:eastAsia="Cambria Math" w:hAnsi="Cambria Math" w:cs="Cambria Math"/>
                  <w:color w:val="000000"/>
                  <w:sz w:val="20"/>
                  <w:szCs w:val="20"/>
                </w:rPr>
              </m:ctrlPr>
            </m:naryPr>
            <m:sub>
              <m:r>
                <w:rPr>
                  <w:rFonts w:ascii="Cambria Math" w:eastAsia="Cambria Math" w:hAnsi="Cambria Math" w:cs="Cambria Math"/>
                  <w:color w:val="000000"/>
                  <w:sz w:val="20"/>
                  <w:szCs w:val="20"/>
                </w:rPr>
                <m:t>c=1</m:t>
              </m:r>
            </m:sub>
            <m:sup>
              <m:r>
                <w:rPr>
                  <w:rFonts w:ascii="Cambria Math" w:eastAsia="Cambria Math" w:hAnsi="Cambria Math" w:cs="Cambria Math"/>
                  <w:color w:val="000000"/>
                  <w:sz w:val="20"/>
                  <w:szCs w:val="20"/>
                </w:rPr>
                <m:t>K</m:t>
              </m:r>
            </m:sup>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p</m:t>
                  </m:r>
                </m:e>
                <m:sub>
                  <m:r>
                    <w:rPr>
                      <w:rFonts w:ascii="Cambria Math" w:eastAsia="Cambria Math" w:hAnsi="Cambria Math" w:cs="Cambria Math"/>
                      <w:color w:val="000000"/>
                      <w:sz w:val="20"/>
                      <w:szCs w:val="20"/>
                    </w:rPr>
                    <m:t>c</m:t>
                  </m:r>
                </m:sub>
              </m:sSub>
              <m:r>
                <w:rPr>
                  <w:rFonts w:ascii="Cambria Math" w:eastAsia="Cambria Math" w:hAnsi="Cambria Math" w:cs="Cambria Math"/>
                  <w:color w:val="000000"/>
                  <w:sz w:val="20"/>
                  <w:szCs w:val="20"/>
                </w:rPr>
                <m:t>⋅</m:t>
              </m:r>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V</m:t>
                  </m:r>
                </m:e>
                <m:sub>
                  <m:r>
                    <w:rPr>
                      <w:rFonts w:ascii="Cambria Math" w:eastAsia="Cambria Math" w:hAnsi="Cambria Math" w:cs="Cambria Math"/>
                      <w:color w:val="000000"/>
                      <w:sz w:val="20"/>
                      <w:szCs w:val="20"/>
                    </w:rPr>
                    <m:t>c</m:t>
                  </m:r>
                </m:sub>
              </m:sSub>
              <m:r>
                <w:rPr>
                  <w:rFonts w:ascii="Cambria Math" w:eastAsia="Cambria Math" w:hAnsi="Cambria Math" w:cs="Cambria Math"/>
                  <w:color w:val="000000"/>
                  <w:sz w:val="20"/>
                  <w:szCs w:val="20"/>
                </w:rPr>
                <m:t xml:space="preserve"> </m:t>
              </m:r>
            </m:e>
          </m:nary>
          <m:r>
            <w:rPr>
              <w:rFonts w:ascii="Cambria Math" w:eastAsia="Cambria Math" w:hAnsi="Cambria Math" w:cs="Cambria Math"/>
              <w:color w:val="000000"/>
              <w:sz w:val="20"/>
              <w:szCs w:val="20"/>
            </w:rPr>
            <m:t xml:space="preserve"> (6)</m:t>
          </m:r>
        </m:oMath>
      </m:oMathPara>
    </w:p>
    <w:p w14:paraId="482ACC50"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This methodology allows for a smooth, continuous mapping of the discrete classification output, capturing the probabilistic distribution of the predictions and providing a realistic numerical value for the reaction timeframe. </w:t>
      </w:r>
    </w:p>
    <w:p w14:paraId="482ACC51"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Consequently, the performance of the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 xml:space="preserve">ength variable could be evaluated alongside the regression variables using the </w:t>
      </w:r>
      <w:r>
        <w:rPr>
          <w:rFonts w:ascii="Times New Roman" w:eastAsia="Times New Roman" w:hAnsi="Times New Roman" w:cs="Times New Roman"/>
          <w:sz w:val="20"/>
          <w:szCs w:val="20"/>
        </w:rPr>
        <w:t>c</w:t>
      </w:r>
      <w:r>
        <w:rPr>
          <w:rFonts w:ascii="Times New Roman" w:eastAsia="Times New Roman" w:hAnsi="Times New Roman" w:cs="Times New Roman"/>
          <w:color w:val="000000"/>
          <w:sz w:val="20"/>
          <w:szCs w:val="20"/>
        </w:rPr>
        <w:t xml:space="preserve">oefficient of </w:t>
      </w:r>
      <w:r>
        <w:rPr>
          <w:rFonts w:ascii="Times New Roman" w:eastAsia="Times New Roman" w:hAnsi="Times New Roman" w:cs="Times New Roman"/>
          <w:sz w:val="20"/>
          <w:szCs w:val="20"/>
        </w:rPr>
        <w:t>d</w:t>
      </w:r>
      <w:r>
        <w:rPr>
          <w:rFonts w:ascii="Times New Roman" w:eastAsia="Times New Roman" w:hAnsi="Times New Roman" w:cs="Times New Roman"/>
          <w:color w:val="000000"/>
          <w:sz w:val="20"/>
          <w:szCs w:val="20"/>
        </w:rPr>
        <w:t xml:space="preserve">etermination </w:t>
      </w:r>
      <m:oMath>
        <m:d>
          <m:dPr>
            <m:ctrlPr>
              <w:rPr>
                <w:rFonts w:ascii="Cambria Math" w:hAnsi="Cambria Math"/>
              </w:rPr>
            </m:ctrlPr>
          </m:dPr>
          <m:e>
            <m:sSup>
              <m:sSupPr>
                <m:ctrlPr>
                  <w:rPr>
                    <w:rFonts w:ascii="Cambria Math" w:eastAsia="Cambria Math" w:hAnsi="Cambria Math" w:cs="Cambria Math"/>
                    <w:color w:val="000000"/>
                    <w:sz w:val="20"/>
                    <w:szCs w:val="20"/>
                  </w:rPr>
                </m:ctrlPr>
              </m:sSupPr>
              <m:e>
                <m:r>
                  <w:rPr>
                    <w:rFonts w:ascii="Cambria Math" w:eastAsia="Cambria Math" w:hAnsi="Cambria Math" w:cs="Cambria Math"/>
                    <w:color w:val="000000"/>
                    <w:sz w:val="20"/>
                    <w:szCs w:val="20"/>
                  </w:rPr>
                  <m:t>R</m:t>
                </m:r>
              </m:e>
              <m:sup>
                <m:r>
                  <w:rPr>
                    <w:rFonts w:ascii="Cambria Math" w:eastAsia="Cambria Math" w:hAnsi="Cambria Math" w:cs="Cambria Math"/>
                    <w:color w:val="000000"/>
                    <w:sz w:val="20"/>
                    <w:szCs w:val="20"/>
                  </w:rPr>
                  <m:t>2</m:t>
                </m:r>
              </m:sup>
            </m:sSup>
          </m:e>
        </m:d>
        <m:r>
          <w:rPr>
            <w:rFonts w:ascii="Cambria Math" w:eastAsia="Cambria Math" w:hAnsi="Cambria Math" w:cs="Cambria Math"/>
            <w:color w:val="000000"/>
            <w:sz w:val="20"/>
            <w:szCs w:val="20"/>
          </w:rPr>
          <m:t xml:space="preserve"> </m:t>
        </m:r>
      </m:oMath>
      <w:r>
        <w:rPr>
          <w:rFonts w:ascii="Times New Roman" w:eastAsia="Times New Roman" w:hAnsi="Times New Roman" w:cs="Times New Roman"/>
          <w:color w:val="000000"/>
          <w:sz w:val="20"/>
          <w:szCs w:val="20"/>
        </w:rPr>
        <w:t>and the Mean Absolute Percentage Error (MAPE):</w:t>
      </w:r>
    </w:p>
    <w:p w14:paraId="482ACC52"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53" w14:textId="1E7EE6CF" w:rsidR="002D3AC2" w:rsidRDefault="00000000">
      <w:pPr>
        <w:jc w:val="center"/>
        <w:rPr>
          <w:rFonts w:ascii="Cambria Math" w:eastAsia="Cambria Math" w:hAnsi="Cambria Math" w:cs="Cambria Math"/>
          <w:color w:val="000000"/>
          <w:sz w:val="20"/>
          <w:szCs w:val="20"/>
        </w:rPr>
      </w:pPr>
      <m:oMathPara>
        <m:oMath>
          <m:sSup>
            <m:sSupPr>
              <m:ctrlPr>
                <w:rPr>
                  <w:rFonts w:ascii="Cambria Math" w:eastAsia="Cambria Math" w:hAnsi="Cambria Math" w:cs="Cambria Math"/>
                  <w:color w:val="000000"/>
                  <w:sz w:val="20"/>
                  <w:szCs w:val="20"/>
                </w:rPr>
              </m:ctrlPr>
            </m:sSupPr>
            <m:e>
              <m:r>
                <w:rPr>
                  <w:rFonts w:ascii="Cambria Math" w:eastAsia="Cambria Math" w:hAnsi="Cambria Math" w:cs="Cambria Math"/>
                  <w:color w:val="000000"/>
                  <w:sz w:val="20"/>
                  <w:szCs w:val="20"/>
                </w:rPr>
                <m:t>R</m:t>
              </m:r>
            </m:e>
            <m:sup>
              <m:r>
                <w:rPr>
                  <w:rFonts w:ascii="Cambria Math" w:eastAsia="Cambria Math" w:hAnsi="Cambria Math" w:cs="Cambria Math"/>
                  <w:color w:val="000000"/>
                  <w:sz w:val="20"/>
                  <w:szCs w:val="20"/>
                </w:rPr>
                <m:t>2</m:t>
              </m:r>
            </m:sup>
          </m:sSup>
          <m:r>
            <w:rPr>
              <w:rFonts w:ascii="Cambria Math" w:eastAsia="Cambria Math" w:hAnsi="Cambria Math" w:cs="Cambria Math"/>
              <w:color w:val="000000"/>
              <w:sz w:val="20"/>
              <w:szCs w:val="20"/>
            </w:rPr>
            <m:t>=1-</m:t>
          </m:r>
          <m:f>
            <m:fPr>
              <m:ctrlPr>
                <w:rPr>
                  <w:rFonts w:ascii="Cambria Math" w:eastAsia="Cambria Math" w:hAnsi="Cambria Math" w:cs="Cambria Math"/>
                  <w:color w:val="000000"/>
                  <w:sz w:val="20"/>
                  <w:szCs w:val="20"/>
                </w:rPr>
              </m:ctrlPr>
            </m:fPr>
            <m:num>
              <m:nary>
                <m:naryPr>
                  <m:chr m:val="∑"/>
                  <m:ctrlPr>
                    <w:rPr>
                      <w:rFonts w:ascii="Cambria Math" w:eastAsia="Cambria Math" w:hAnsi="Cambria Math" w:cs="Cambria Math"/>
                      <w:color w:val="000000"/>
                      <w:sz w:val="20"/>
                      <w:szCs w:val="20"/>
                    </w:rPr>
                  </m:ctrlPr>
                </m:naryPr>
                <m:sub>
                  <m:r>
                    <w:rPr>
                      <w:rFonts w:ascii="Cambria Math" w:eastAsia="Cambria Math" w:hAnsi="Cambria Math" w:cs="Cambria Math"/>
                      <w:color w:val="000000"/>
                      <w:sz w:val="20"/>
                      <w:szCs w:val="20"/>
                    </w:rPr>
                    <m:t>i=1</m:t>
                  </m:r>
                </m:sub>
                <m:sup>
                  <m:r>
                    <w:rPr>
                      <w:rFonts w:ascii="Cambria Math" w:eastAsia="Cambria Math" w:hAnsi="Cambria Math" w:cs="Cambria Math"/>
                      <w:color w:val="000000"/>
                      <w:sz w:val="20"/>
                      <w:szCs w:val="20"/>
                    </w:rPr>
                    <m:t>n</m:t>
                  </m:r>
                </m:sup>
                <m:e>
                  <m:sSup>
                    <m:sSupPr>
                      <m:ctrlPr>
                        <w:rPr>
                          <w:rFonts w:ascii="Cambria Math" w:eastAsia="Cambria Math" w:hAnsi="Cambria Math" w:cs="Cambria Math"/>
                          <w:color w:val="000000"/>
                          <w:sz w:val="20"/>
                          <w:szCs w:val="20"/>
                        </w:rPr>
                      </m:ctrlPr>
                    </m:sSupPr>
                    <m:e>
                      <m:d>
                        <m:dPr>
                          <m:ctrlPr>
                            <w:rPr>
                              <w:rFonts w:ascii="Cambria Math" w:eastAsia="Cambria Math" w:hAnsi="Cambria Math" w:cs="Cambria Math"/>
                              <w:color w:val="000000"/>
                              <w:sz w:val="20"/>
                              <w:szCs w:val="20"/>
                            </w:rPr>
                          </m:ctrlPr>
                        </m:d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r>
                            <w:rPr>
                              <w:rFonts w:ascii="Cambria Math" w:eastAsia="Cambria Math" w:hAnsi="Cambria Math" w:cs="Cambria Math"/>
                              <w:color w:val="000000"/>
                              <w:sz w:val="20"/>
                              <w:szCs w:val="20"/>
                            </w:rPr>
                            <m:t>-</m:t>
                          </m:r>
                          <m:acc>
                            <m:accPr>
                              <m:ctrlPr>
                                <w:rPr>
                                  <w:rFonts w:ascii="Cambria Math" w:eastAsia="Cambria Math" w:hAnsi="Cambria Math" w:cs="Cambria Math"/>
                                  <w:color w:val="000000"/>
                                  <w:sz w:val="20"/>
                                  <w:szCs w:val="20"/>
                                </w:rPr>
                              </m:ctrlPr>
                            </m:acc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e>
                          </m:acc>
                        </m:e>
                      </m:d>
                    </m:e>
                    <m:sup>
                      <m:r>
                        <w:rPr>
                          <w:rFonts w:ascii="Cambria Math" w:eastAsia="Cambria Math" w:hAnsi="Cambria Math" w:cs="Cambria Math"/>
                          <w:color w:val="000000"/>
                          <w:sz w:val="20"/>
                          <w:szCs w:val="20"/>
                        </w:rPr>
                        <m:t>2</m:t>
                      </m:r>
                    </m:sup>
                  </m:sSup>
                </m:e>
              </m:nary>
            </m:num>
            <m:den>
              <m:nary>
                <m:naryPr>
                  <m:chr m:val="∑"/>
                  <m:ctrlPr>
                    <w:rPr>
                      <w:rFonts w:ascii="Cambria Math" w:eastAsia="Cambria Math" w:hAnsi="Cambria Math" w:cs="Cambria Math"/>
                      <w:color w:val="000000"/>
                      <w:sz w:val="20"/>
                      <w:szCs w:val="20"/>
                    </w:rPr>
                  </m:ctrlPr>
                </m:naryPr>
                <m:sub>
                  <m:r>
                    <w:rPr>
                      <w:rFonts w:ascii="Cambria Math" w:eastAsia="Cambria Math" w:hAnsi="Cambria Math" w:cs="Cambria Math"/>
                      <w:color w:val="000000"/>
                      <w:sz w:val="20"/>
                      <w:szCs w:val="20"/>
                    </w:rPr>
                    <m:t>i=1</m:t>
                  </m:r>
                </m:sub>
                <m:sup>
                  <m:r>
                    <w:rPr>
                      <w:rFonts w:ascii="Cambria Math" w:eastAsia="Cambria Math" w:hAnsi="Cambria Math" w:cs="Cambria Math"/>
                      <w:color w:val="000000"/>
                      <w:sz w:val="20"/>
                      <w:szCs w:val="20"/>
                    </w:rPr>
                    <m:t>n</m:t>
                  </m:r>
                </m:sup>
                <m:e>
                  <m:sSup>
                    <m:sSupPr>
                      <m:ctrlPr>
                        <w:rPr>
                          <w:rFonts w:ascii="Cambria Math" w:eastAsia="Cambria Math" w:hAnsi="Cambria Math" w:cs="Cambria Math"/>
                          <w:color w:val="000000"/>
                          <w:sz w:val="20"/>
                          <w:szCs w:val="20"/>
                        </w:rPr>
                      </m:ctrlPr>
                    </m:sSupPr>
                    <m:e>
                      <m:d>
                        <m:dPr>
                          <m:ctrlPr>
                            <w:rPr>
                              <w:rFonts w:ascii="Cambria Math" w:eastAsia="Cambria Math" w:hAnsi="Cambria Math" w:cs="Cambria Math"/>
                              <w:color w:val="000000"/>
                              <w:sz w:val="20"/>
                              <w:szCs w:val="20"/>
                            </w:rPr>
                          </m:ctrlPr>
                        </m:d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r>
                            <w:rPr>
                              <w:rFonts w:ascii="Cambria Math" w:eastAsia="Cambria Math" w:hAnsi="Cambria Math" w:cs="Cambria Math"/>
                              <w:color w:val="000000"/>
                              <w:sz w:val="20"/>
                              <w:szCs w:val="20"/>
                            </w:rPr>
                            <m:t>-</m:t>
                          </m:r>
                          <m:bar>
                            <m:barPr>
                              <m:ctrlPr>
                                <w:rPr>
                                  <w:rFonts w:ascii="Cambria Math" w:eastAsia="Cambria Math" w:hAnsi="Cambria Math" w:cs="Cambria Math"/>
                                  <w:color w:val="000000"/>
                                  <w:sz w:val="20"/>
                                  <w:szCs w:val="20"/>
                                </w:rPr>
                              </m:ctrlPr>
                            </m:barPr>
                            <m:e>
                              <m:r>
                                <w:rPr>
                                  <w:rFonts w:ascii="Cambria Math" w:eastAsia="Cambria Math" w:hAnsi="Cambria Math" w:cs="Cambria Math"/>
                                  <w:color w:val="000000"/>
                                  <w:sz w:val="20"/>
                                  <w:szCs w:val="20"/>
                                </w:rPr>
                                <m:t>y</m:t>
                              </m:r>
                            </m:e>
                          </m:bar>
                        </m:e>
                      </m:d>
                    </m:e>
                    <m:sup>
                      <m:r>
                        <w:rPr>
                          <w:rFonts w:ascii="Cambria Math" w:eastAsia="Cambria Math" w:hAnsi="Cambria Math" w:cs="Cambria Math"/>
                          <w:color w:val="000000"/>
                          <w:sz w:val="20"/>
                          <w:szCs w:val="20"/>
                        </w:rPr>
                        <m:t>2</m:t>
                      </m:r>
                    </m:sup>
                  </m:sSup>
                </m:e>
              </m:nary>
            </m:den>
          </m:f>
          <m:r>
            <w:rPr>
              <w:rFonts w:ascii="Cambria Math" w:eastAsia="Cambria Math" w:hAnsi="Cambria Math" w:cs="Cambria Math"/>
              <w:color w:val="000000"/>
              <w:sz w:val="20"/>
              <w:szCs w:val="20"/>
            </w:rPr>
            <m:t xml:space="preserve">  (7)</m:t>
          </m:r>
        </m:oMath>
      </m:oMathPara>
    </w:p>
    <w:p w14:paraId="482ACC54"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55" w14:textId="1EF188BF" w:rsidR="002D3AC2" w:rsidRDefault="002800B1">
      <w:pPr>
        <w:jc w:val="center"/>
        <w:rPr>
          <w:rFonts w:ascii="Times New Roman" w:eastAsia="Times New Roman" w:hAnsi="Times New Roman" w:cs="Times New Roman"/>
          <w:color w:val="000000"/>
          <w:sz w:val="20"/>
          <w:szCs w:val="20"/>
        </w:rPr>
      </w:pPr>
      <m:oMathPara>
        <m:oMath>
          <m:r>
            <w:rPr>
              <w:rFonts w:ascii="Cambria Math" w:eastAsia="Cambria Math" w:hAnsi="Cambria Math" w:cs="Cambria Math"/>
              <w:color w:val="000000"/>
              <w:sz w:val="20"/>
              <w:szCs w:val="20"/>
            </w:rPr>
            <m:t>MAPE=</m:t>
          </m:r>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100%</m:t>
              </m:r>
            </m:num>
            <m:den>
              <m:r>
                <w:rPr>
                  <w:rFonts w:ascii="Cambria Math" w:eastAsia="Cambria Math" w:hAnsi="Cambria Math" w:cs="Cambria Math"/>
                  <w:color w:val="000000"/>
                  <w:sz w:val="20"/>
                  <w:szCs w:val="20"/>
                </w:rPr>
                <m:t>n</m:t>
              </m:r>
            </m:den>
          </m:f>
          <m:nary>
            <m:naryPr>
              <m:chr m:val="∑"/>
              <m:ctrlPr>
                <w:rPr>
                  <w:rFonts w:ascii="Cambria Math" w:eastAsia="Cambria Math" w:hAnsi="Cambria Math" w:cs="Cambria Math"/>
                  <w:color w:val="000000"/>
                  <w:sz w:val="20"/>
                  <w:szCs w:val="20"/>
                </w:rPr>
              </m:ctrlPr>
            </m:naryPr>
            <m:sub>
              <m:r>
                <w:rPr>
                  <w:rFonts w:ascii="Cambria Math" w:eastAsia="Cambria Math" w:hAnsi="Cambria Math" w:cs="Cambria Math"/>
                  <w:color w:val="000000"/>
                  <w:sz w:val="20"/>
                  <w:szCs w:val="20"/>
                </w:rPr>
                <m:t>i=1</m:t>
              </m:r>
            </m:sub>
            <m:sup>
              <m:r>
                <w:rPr>
                  <w:rFonts w:ascii="Cambria Math" w:eastAsia="Cambria Math" w:hAnsi="Cambria Math" w:cs="Cambria Math"/>
                  <w:color w:val="000000"/>
                  <w:sz w:val="20"/>
                  <w:szCs w:val="20"/>
                </w:rPr>
                <m:t>n</m:t>
              </m:r>
            </m:sup>
            <m:e>
              <m:d>
                <m:dPr>
                  <m:begChr m:val="|"/>
                  <m:endChr m:val="|"/>
                  <m:ctrlPr>
                    <w:rPr>
                      <w:rFonts w:ascii="Cambria Math" w:eastAsia="Cambria Math" w:hAnsi="Cambria Math" w:cs="Cambria Math"/>
                      <w:color w:val="000000"/>
                      <w:sz w:val="20"/>
                      <w:szCs w:val="20"/>
                    </w:rPr>
                  </m:ctrlPr>
                </m:dPr>
                <m:e>
                  <m:f>
                    <m:fPr>
                      <m:ctrlPr>
                        <w:rPr>
                          <w:rFonts w:ascii="Cambria Math" w:eastAsia="Cambria Math" w:hAnsi="Cambria Math" w:cs="Cambria Math"/>
                          <w:color w:val="000000"/>
                          <w:sz w:val="20"/>
                          <w:szCs w:val="20"/>
                        </w:rPr>
                      </m:ctrlPr>
                    </m:fPr>
                    <m:num>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r>
                        <w:rPr>
                          <w:rFonts w:ascii="Cambria Math" w:eastAsia="Cambria Math" w:hAnsi="Cambria Math" w:cs="Cambria Math"/>
                          <w:color w:val="000000"/>
                          <w:sz w:val="20"/>
                          <w:szCs w:val="20"/>
                        </w:rPr>
                        <m:t>-</m:t>
                      </m:r>
                      <m:acc>
                        <m:accPr>
                          <m:ctrlPr>
                            <w:rPr>
                              <w:rFonts w:ascii="Cambria Math" w:eastAsia="Cambria Math" w:hAnsi="Cambria Math" w:cs="Cambria Math"/>
                              <w:color w:val="000000"/>
                              <w:sz w:val="20"/>
                              <w:szCs w:val="20"/>
                            </w:rPr>
                          </m:ctrlPr>
                        </m:accPr>
                        <m:e>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e>
                      </m:acc>
                    </m:num>
                    <m:den>
                      <m:sSub>
                        <m:sSubPr>
                          <m:ctrlPr>
                            <w:rPr>
                              <w:rFonts w:ascii="Cambria Math" w:eastAsia="Cambria Math" w:hAnsi="Cambria Math" w:cs="Cambria Math"/>
                              <w:color w:val="000000"/>
                              <w:sz w:val="20"/>
                              <w:szCs w:val="20"/>
                            </w:rPr>
                          </m:ctrlPr>
                        </m:sSubPr>
                        <m:e>
                          <m:r>
                            <w:rPr>
                              <w:rFonts w:ascii="Cambria Math" w:eastAsia="Cambria Math" w:hAnsi="Cambria Math" w:cs="Cambria Math"/>
                              <w:color w:val="000000"/>
                              <w:sz w:val="20"/>
                              <w:szCs w:val="20"/>
                            </w:rPr>
                            <m:t>y</m:t>
                          </m:r>
                        </m:e>
                        <m:sub>
                          <m:r>
                            <w:rPr>
                              <w:rFonts w:ascii="Cambria Math" w:eastAsia="Cambria Math" w:hAnsi="Cambria Math" w:cs="Cambria Math"/>
                              <w:color w:val="000000"/>
                              <w:sz w:val="20"/>
                              <w:szCs w:val="20"/>
                            </w:rPr>
                            <m:t>i</m:t>
                          </m:r>
                        </m:sub>
                      </m:sSub>
                    </m:den>
                  </m:f>
                </m:e>
              </m:d>
            </m:e>
          </m:nary>
          <m:r>
            <w:rPr>
              <w:rFonts w:ascii="Cambria Math" w:eastAsia="Cambria Math" w:hAnsi="Cambria Math" w:cs="Cambria Math"/>
              <w:color w:val="000000"/>
              <w:sz w:val="20"/>
              <w:szCs w:val="20"/>
            </w:rPr>
            <m:t xml:space="preserve">  (8)</m:t>
          </m:r>
        </m:oMath>
      </m:oMathPara>
    </w:p>
    <w:p w14:paraId="482ACC56" w14:textId="77777777" w:rsidR="002D3AC2" w:rsidRDefault="002800B1">
      <w:pPr>
        <w:pBdr>
          <w:top w:val="nil"/>
          <w:left w:val="nil"/>
          <w:bottom w:val="nil"/>
          <w:right w:val="nil"/>
          <w:between w:val="nil"/>
        </w:pBdr>
        <w:tabs>
          <w:tab w:val="left" w:pos="240"/>
        </w:tabs>
        <w:spacing w:after="0" w:line="240" w:lineRule="auto"/>
        <w:ind w:firstLine="566"/>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ab/>
        <w:t xml:space="preserve">3. </w:t>
      </w:r>
      <w:r>
        <w:rPr>
          <w:rFonts w:ascii="Times New Roman" w:eastAsia="Times New Roman" w:hAnsi="Times New Roman" w:cs="Times New Roman"/>
          <w:b/>
          <w:bCs/>
          <w:color w:val="000000"/>
          <w:sz w:val="20"/>
          <w:szCs w:val="20"/>
        </w:rPr>
        <w:t>Results and Discussion</w:t>
      </w:r>
    </w:p>
    <w:p w14:paraId="482ACC57"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b/>
          <w:bCs/>
          <w:color w:val="000000"/>
          <w:sz w:val="20"/>
          <w:szCs w:val="20"/>
        </w:rPr>
      </w:pPr>
    </w:p>
    <w:p w14:paraId="482ACC58"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Figure 2 illustrates the data distribution following the augmentation process. It is evident that the augmented data did not fully span the entire domain of the test set. While the three continuous regression variables exhibit adequate distributional overlap between the training/validation and test splits, the Run Length (min) variable suffers from data scarcity in specific intervals. Notably, there is a lack of representative data in the 10–20 and 20–</w:t>
      </w:r>
      <w:proofErr w:type="gramStart"/>
      <w:r>
        <w:rPr>
          <w:rFonts w:ascii="Times New Roman" w:eastAsia="Times New Roman" w:hAnsi="Times New Roman" w:cs="Times New Roman"/>
          <w:color w:val="000000"/>
          <w:sz w:val="20"/>
          <w:szCs w:val="20"/>
        </w:rPr>
        <w:t>30 minute</w:t>
      </w:r>
      <w:proofErr w:type="gramEnd"/>
      <w:r>
        <w:rPr>
          <w:rFonts w:ascii="Times New Roman" w:eastAsia="Times New Roman" w:hAnsi="Times New Roman" w:cs="Times New Roman"/>
          <w:color w:val="000000"/>
          <w:sz w:val="20"/>
          <w:szCs w:val="20"/>
        </w:rPr>
        <w:t xml:space="preserve"> ranges. This distribution gap in the training set accounts for the comparatively lower predictive performance observed for this specific variable during testing.</w:t>
      </w:r>
    </w:p>
    <w:p w14:paraId="482ACC59"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color w:val="000000"/>
          <w:sz w:val="20"/>
          <w:szCs w:val="20"/>
        </w:rPr>
      </w:pPr>
    </w:p>
    <w:p w14:paraId="482ACC5A"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Figure 2</w:t>
      </w:r>
      <w:r>
        <w:rPr>
          <w:rFonts w:ascii="Times New Roman" w:eastAsia="Times New Roman" w:hAnsi="Times New Roman" w:cs="Times New Roman"/>
          <w:color w:val="000000"/>
          <w:sz w:val="20"/>
          <w:szCs w:val="20"/>
        </w:rPr>
        <w:t>: Data Distribution</w:t>
      </w:r>
    </w:p>
    <w:p w14:paraId="482ACC5B" w14:textId="6D4CE45B"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b/>
          <w:bCs/>
          <w:sz w:val="20"/>
          <w:szCs w:val="20"/>
        </w:rPr>
      </w:pPr>
    </w:p>
    <w:tbl>
      <w:tblPr>
        <w:tblStyle w:val="a1"/>
        <w:tblW w:w="9918" w:type="dxa"/>
        <w:tblInd w:w="-142" w:type="dxa"/>
        <w:tblLayout w:type="fixed"/>
        <w:tblLook w:val="0600" w:firstRow="0" w:lastRow="0" w:firstColumn="0" w:lastColumn="0" w:noHBand="1" w:noVBand="1"/>
      </w:tblPr>
      <w:tblGrid>
        <w:gridCol w:w="5099"/>
        <w:gridCol w:w="4819"/>
      </w:tblGrid>
      <w:tr w:rsidR="002D3AC2" w14:paraId="482ACC5E" w14:textId="77777777" w:rsidTr="00692143">
        <w:tc>
          <w:tcPr>
            <w:tcW w:w="5099" w:type="dxa"/>
            <w:tcMar>
              <w:top w:w="100" w:type="dxa"/>
              <w:left w:w="100" w:type="dxa"/>
              <w:bottom w:w="100" w:type="dxa"/>
              <w:right w:w="100" w:type="dxa"/>
            </w:tcMar>
            <w:vAlign w:val="center"/>
          </w:tcPr>
          <w:p w14:paraId="482ACC5C" w14:textId="7375DC1C" w:rsidR="002D3AC2" w:rsidRDefault="00583E19" w:rsidP="0072593E">
            <w:pPr>
              <w:tabs>
                <w:tab w:val="left" w:pos="240"/>
              </w:tabs>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inline distT="0" distB="0" distL="0" distR="0" wp14:anchorId="0B8A08E0" wp14:editId="111602C3">
                  <wp:extent cx="2752725" cy="2065020"/>
                  <wp:effectExtent l="0" t="0" r="9525" b="0"/>
                  <wp:docPr id="52029678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96781" name="Imagem 5202967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2725" cy="2065020"/>
                          </a:xfrm>
                          <a:prstGeom prst="rect">
                            <a:avLst/>
                          </a:prstGeom>
                        </pic:spPr>
                      </pic:pic>
                    </a:graphicData>
                  </a:graphic>
                </wp:inline>
              </w:drawing>
            </w:r>
          </w:p>
        </w:tc>
        <w:tc>
          <w:tcPr>
            <w:tcW w:w="4819" w:type="dxa"/>
            <w:tcMar>
              <w:top w:w="100" w:type="dxa"/>
              <w:left w:w="100" w:type="dxa"/>
              <w:bottom w:w="100" w:type="dxa"/>
              <w:right w:w="100" w:type="dxa"/>
            </w:tcMar>
            <w:vAlign w:val="center"/>
          </w:tcPr>
          <w:p w14:paraId="482ACC5D" w14:textId="6BA31279" w:rsidR="002D3AC2" w:rsidRDefault="00583E19" w:rsidP="0072593E">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w:drawing>
                <wp:inline distT="0" distB="0" distL="0" distR="0" wp14:anchorId="6A089DEC" wp14:editId="58069242">
                  <wp:extent cx="2754000" cy="2064706"/>
                  <wp:effectExtent l="0" t="0" r="8255" b="0"/>
                  <wp:docPr id="167094734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47348" name="Imagem 16709473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4000" cy="2064706"/>
                          </a:xfrm>
                          <a:prstGeom prst="rect">
                            <a:avLst/>
                          </a:prstGeom>
                        </pic:spPr>
                      </pic:pic>
                    </a:graphicData>
                  </a:graphic>
                </wp:inline>
              </w:drawing>
            </w:r>
          </w:p>
        </w:tc>
      </w:tr>
      <w:tr w:rsidR="002D3AC2" w14:paraId="482ACC61" w14:textId="77777777" w:rsidTr="00692143">
        <w:tc>
          <w:tcPr>
            <w:tcW w:w="5099" w:type="dxa"/>
            <w:tcMar>
              <w:top w:w="100" w:type="dxa"/>
              <w:left w:w="100" w:type="dxa"/>
              <w:bottom w:w="100" w:type="dxa"/>
              <w:right w:w="100" w:type="dxa"/>
            </w:tcMar>
            <w:vAlign w:val="center"/>
          </w:tcPr>
          <w:p w14:paraId="482ACC5F" w14:textId="77777777" w:rsidR="002D3AC2" w:rsidRDefault="002800B1" w:rsidP="0072593E">
            <w:pPr>
              <w:numPr>
                <w:ilvl w:val="0"/>
                <w:numId w:val="2"/>
              </w:numPr>
              <w:tabs>
                <w:tab w:val="left" w:pos="240"/>
              </w:tabs>
              <w:spacing w:after="0" w:line="240" w:lineRule="auto"/>
              <w:ind w:lef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Distribution of pressure (psi)</w:t>
            </w:r>
          </w:p>
        </w:tc>
        <w:tc>
          <w:tcPr>
            <w:tcW w:w="4819" w:type="dxa"/>
            <w:tcMar>
              <w:top w:w="100" w:type="dxa"/>
              <w:left w:w="100" w:type="dxa"/>
              <w:bottom w:w="100" w:type="dxa"/>
              <w:right w:w="100" w:type="dxa"/>
            </w:tcMar>
            <w:vAlign w:val="center"/>
          </w:tcPr>
          <w:p w14:paraId="482ACC60" w14:textId="77777777" w:rsidR="002D3AC2" w:rsidRDefault="002800B1" w:rsidP="0072593E">
            <w:pPr>
              <w:widowControl w:val="0"/>
              <w:numPr>
                <w:ilvl w:val="0"/>
                <w:numId w:val="2"/>
              </w:numPr>
              <w:pBdr>
                <w:top w:val="nil"/>
                <w:left w:val="nil"/>
                <w:bottom w:val="nil"/>
                <w:right w:val="nil"/>
                <w:between w:val="nil"/>
              </w:pBdr>
              <w:spacing w:after="0" w:line="240" w:lineRule="auto"/>
              <w:ind w:lef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Distribution of catalyst ratio</w:t>
            </w:r>
          </w:p>
        </w:tc>
      </w:tr>
      <w:tr w:rsidR="002D3AC2" w14:paraId="482ACC64" w14:textId="77777777" w:rsidTr="0072593E">
        <w:tc>
          <w:tcPr>
            <w:tcW w:w="5099" w:type="dxa"/>
            <w:tcMar>
              <w:top w:w="100" w:type="dxa"/>
              <w:left w:w="100" w:type="dxa"/>
              <w:bottom w:w="100" w:type="dxa"/>
              <w:right w:w="100" w:type="dxa"/>
            </w:tcMar>
            <w:vAlign w:val="center"/>
          </w:tcPr>
          <w:p w14:paraId="482ACC62" w14:textId="042D84E5" w:rsidR="002D3AC2" w:rsidRDefault="00ED2A75" w:rsidP="0072593E">
            <w:pPr>
              <w:tabs>
                <w:tab w:val="left" w:pos="2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15003C1" wp14:editId="61478D16">
                  <wp:extent cx="2754000" cy="2177248"/>
                  <wp:effectExtent l="0" t="0" r="8255" b="0"/>
                  <wp:docPr id="169700888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08888" name="Imagem 16970088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4000" cy="2177248"/>
                          </a:xfrm>
                          <a:prstGeom prst="rect">
                            <a:avLst/>
                          </a:prstGeom>
                        </pic:spPr>
                      </pic:pic>
                    </a:graphicData>
                  </a:graphic>
                </wp:inline>
              </w:drawing>
            </w:r>
          </w:p>
        </w:tc>
        <w:tc>
          <w:tcPr>
            <w:tcW w:w="4819" w:type="dxa"/>
            <w:tcMar>
              <w:top w:w="100" w:type="dxa"/>
              <w:left w:w="100" w:type="dxa"/>
              <w:bottom w:w="100" w:type="dxa"/>
              <w:right w:w="100" w:type="dxa"/>
            </w:tcMar>
            <w:vAlign w:val="center"/>
          </w:tcPr>
          <w:p w14:paraId="482ACC63" w14:textId="361FF099" w:rsidR="002D3AC2" w:rsidRDefault="00F91E90" w:rsidP="0072593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25DE345" wp14:editId="52720297">
                  <wp:extent cx="2933065" cy="2189480"/>
                  <wp:effectExtent l="0" t="0" r="635" b="1270"/>
                  <wp:docPr id="11655198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19834" name="Imagem 11655198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3065" cy="2189480"/>
                          </a:xfrm>
                          <a:prstGeom prst="rect">
                            <a:avLst/>
                          </a:prstGeom>
                        </pic:spPr>
                      </pic:pic>
                    </a:graphicData>
                  </a:graphic>
                </wp:inline>
              </w:drawing>
            </w:r>
          </w:p>
        </w:tc>
      </w:tr>
      <w:tr w:rsidR="002D3AC2" w14:paraId="482ACC67" w14:textId="77777777" w:rsidTr="00692143">
        <w:trPr>
          <w:trHeight w:val="424"/>
        </w:trPr>
        <w:tc>
          <w:tcPr>
            <w:tcW w:w="5099" w:type="dxa"/>
            <w:tcMar>
              <w:top w:w="100" w:type="dxa"/>
              <w:left w:w="100" w:type="dxa"/>
              <w:bottom w:w="100" w:type="dxa"/>
              <w:right w:w="100" w:type="dxa"/>
            </w:tcMar>
            <w:vAlign w:val="center"/>
          </w:tcPr>
          <w:p w14:paraId="482ACC65" w14:textId="77777777" w:rsidR="002D3AC2" w:rsidRDefault="002800B1" w:rsidP="0072593E">
            <w:pPr>
              <w:tabs>
                <w:tab w:val="left" w:pos="2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 Distribution of C8 preload</w:t>
            </w:r>
          </w:p>
        </w:tc>
        <w:tc>
          <w:tcPr>
            <w:tcW w:w="4819" w:type="dxa"/>
            <w:tcMar>
              <w:top w:w="100" w:type="dxa"/>
              <w:left w:w="100" w:type="dxa"/>
              <w:bottom w:w="100" w:type="dxa"/>
              <w:right w:w="100" w:type="dxa"/>
            </w:tcMar>
            <w:vAlign w:val="center"/>
          </w:tcPr>
          <w:p w14:paraId="482ACC66" w14:textId="5F509F72" w:rsidR="002D3AC2" w:rsidRDefault="002800B1" w:rsidP="0072593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 Distribution of Run </w:t>
            </w:r>
            <w:r w:rsidR="006805A6">
              <w:rPr>
                <w:rFonts w:ascii="Times New Roman" w:eastAsia="Times New Roman" w:hAnsi="Times New Roman" w:cs="Times New Roman"/>
                <w:sz w:val="20"/>
                <w:szCs w:val="20"/>
              </w:rPr>
              <w:t>L</w:t>
            </w:r>
            <w:r w:rsidR="006805A6" w:rsidRPr="006805A6">
              <w:rPr>
                <w:rFonts w:ascii="Times New Roman" w:eastAsia="Times New Roman" w:hAnsi="Times New Roman" w:cs="Times New Roman"/>
                <w:sz w:val="20"/>
                <w:szCs w:val="20"/>
              </w:rPr>
              <w:t>ength</w:t>
            </w:r>
          </w:p>
        </w:tc>
      </w:tr>
    </w:tbl>
    <w:p w14:paraId="482ACC68"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b/>
          <w:bCs/>
          <w:sz w:val="20"/>
          <w:szCs w:val="20"/>
        </w:rPr>
      </w:pPr>
    </w:p>
    <w:p w14:paraId="482ACC69"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The model was trained locally using an Intel i5-13400F processor, 16 GB of RAM, and an NVIDIA GeForce RTX 3060 GPU, reaching convergence in 27 minutes, using TensorFlow. The training, validation, and test metrics for the continuous outputs and the estimated Run Length are summarized in Table 1. </w:t>
      </w:r>
    </w:p>
    <w:p w14:paraId="482ACC6A"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6B"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Table 1</w:t>
      </w:r>
      <w:r>
        <w:rPr>
          <w:rFonts w:ascii="Times New Roman" w:eastAsia="Times New Roman" w:hAnsi="Times New Roman" w:cs="Times New Roman"/>
          <w:color w:val="000000"/>
          <w:sz w:val="20"/>
          <w:szCs w:val="20"/>
        </w:rPr>
        <w:t>: Regression Results</w:t>
      </w:r>
    </w:p>
    <w:tbl>
      <w:tblPr>
        <w:tblStyle w:val="a2"/>
        <w:tblW w:w="9054" w:type="dxa"/>
        <w:tblInd w:w="0" w:type="dxa"/>
        <w:tblLayout w:type="fixed"/>
        <w:tblLook w:val="0400" w:firstRow="0" w:lastRow="0" w:firstColumn="0" w:lastColumn="0" w:noHBand="0" w:noVBand="1"/>
      </w:tblPr>
      <w:tblGrid>
        <w:gridCol w:w="2684"/>
        <w:gridCol w:w="2090"/>
        <w:gridCol w:w="2134"/>
        <w:gridCol w:w="2066"/>
        <w:gridCol w:w="20"/>
        <w:gridCol w:w="20"/>
        <w:gridCol w:w="20"/>
        <w:gridCol w:w="20"/>
      </w:tblGrid>
      <w:tr w:rsidR="002D3AC2" w14:paraId="482ACC77" w14:textId="77777777">
        <w:trPr>
          <w:trHeight w:val="300"/>
        </w:trPr>
        <w:tc>
          <w:tcPr>
            <w:tcW w:w="2701" w:type="dxa"/>
            <w:tcBorders>
              <w:top w:val="single" w:sz="4" w:space="0" w:color="000000"/>
              <w:bottom w:val="single" w:sz="4" w:space="0" w:color="000000"/>
            </w:tcBorders>
            <w:tcMar>
              <w:top w:w="0" w:type="dxa"/>
              <w:left w:w="45" w:type="dxa"/>
              <w:bottom w:w="0" w:type="dxa"/>
              <w:right w:w="45" w:type="dxa"/>
            </w:tcMar>
            <w:vAlign w:val="center"/>
          </w:tcPr>
          <w:p w14:paraId="482ACC6C"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Variables</w:t>
            </w:r>
          </w:p>
        </w:tc>
        <w:tc>
          <w:tcPr>
            <w:tcW w:w="2103" w:type="dxa"/>
            <w:tcBorders>
              <w:top w:val="single" w:sz="4" w:space="0" w:color="000000"/>
              <w:bottom w:val="single" w:sz="4" w:space="0" w:color="000000"/>
            </w:tcBorders>
            <w:tcMar>
              <w:top w:w="0" w:type="dxa"/>
              <w:left w:w="45" w:type="dxa"/>
              <w:bottom w:w="0" w:type="dxa"/>
              <w:right w:w="45" w:type="dxa"/>
            </w:tcMar>
            <w:vAlign w:val="center"/>
          </w:tcPr>
          <w:p w14:paraId="482ACC6D"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Train</w:t>
            </w:r>
          </w:p>
          <w:p w14:paraId="482ACC6E"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w:t>
            </w:r>
            <w:proofErr w:type="gramStart"/>
            <w:r>
              <w:rPr>
                <w:rFonts w:ascii="Times New Roman" w:eastAsia="Times New Roman" w:hAnsi="Times New Roman" w:cs="Times New Roman"/>
                <w:b/>
                <w:bCs/>
                <w:color w:val="000000"/>
                <w:sz w:val="20"/>
                <w:szCs w:val="20"/>
                <w:vertAlign w:val="superscript"/>
              </w:rPr>
              <w:t>2</w:t>
            </w:r>
            <w:r>
              <w:rPr>
                <w:rFonts w:ascii="Times New Roman" w:eastAsia="Times New Roman" w:hAnsi="Times New Roman" w:cs="Times New Roman"/>
                <w:b/>
                <w:bCs/>
                <w:color w:val="000000"/>
                <w:sz w:val="20"/>
                <w:szCs w:val="20"/>
              </w:rPr>
              <w:t xml:space="preserve">  |</w:t>
            </w:r>
            <w:proofErr w:type="gramEnd"/>
            <w:r>
              <w:rPr>
                <w:rFonts w:ascii="Times New Roman" w:eastAsia="Times New Roman" w:hAnsi="Times New Roman" w:cs="Times New Roman"/>
                <w:b/>
                <w:bCs/>
                <w:color w:val="000000"/>
                <w:sz w:val="20"/>
                <w:szCs w:val="20"/>
              </w:rPr>
              <w:t xml:space="preserve"> </w:t>
            </w:r>
            <w:proofErr w:type="gramStart"/>
            <w:r>
              <w:rPr>
                <w:rFonts w:ascii="Times New Roman" w:eastAsia="Times New Roman" w:hAnsi="Times New Roman" w:cs="Times New Roman"/>
                <w:b/>
                <w:bCs/>
                <w:color w:val="000000"/>
                <w:sz w:val="20"/>
                <w:szCs w:val="20"/>
              </w:rPr>
              <w:t>MAPE(</w:t>
            </w:r>
            <w:proofErr w:type="gramEnd"/>
            <w:r>
              <w:rPr>
                <w:rFonts w:ascii="Times New Roman" w:eastAsia="Times New Roman" w:hAnsi="Times New Roman" w:cs="Times New Roman"/>
                <w:b/>
                <w:bCs/>
                <w:color w:val="000000"/>
                <w:sz w:val="20"/>
                <w:szCs w:val="20"/>
              </w:rPr>
              <w:t>%)</w:t>
            </w:r>
          </w:p>
        </w:tc>
        <w:tc>
          <w:tcPr>
            <w:tcW w:w="2147" w:type="dxa"/>
            <w:tcBorders>
              <w:top w:val="single" w:sz="4" w:space="0" w:color="000000"/>
              <w:bottom w:val="single" w:sz="4" w:space="0" w:color="000000"/>
            </w:tcBorders>
            <w:tcMar>
              <w:top w:w="0" w:type="dxa"/>
              <w:left w:w="45" w:type="dxa"/>
              <w:bottom w:w="0" w:type="dxa"/>
              <w:right w:w="45" w:type="dxa"/>
            </w:tcMar>
            <w:vAlign w:val="center"/>
          </w:tcPr>
          <w:p w14:paraId="482ACC6F"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Val</w:t>
            </w:r>
          </w:p>
          <w:p w14:paraId="482ACC70"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w:t>
            </w:r>
            <w:proofErr w:type="gramStart"/>
            <w:r>
              <w:rPr>
                <w:rFonts w:ascii="Times New Roman" w:eastAsia="Times New Roman" w:hAnsi="Times New Roman" w:cs="Times New Roman"/>
                <w:b/>
                <w:bCs/>
                <w:color w:val="000000"/>
                <w:sz w:val="20"/>
                <w:szCs w:val="20"/>
                <w:vertAlign w:val="superscript"/>
              </w:rPr>
              <w:t>2</w:t>
            </w:r>
            <w:r>
              <w:rPr>
                <w:rFonts w:ascii="Times New Roman" w:eastAsia="Times New Roman" w:hAnsi="Times New Roman" w:cs="Times New Roman"/>
                <w:b/>
                <w:bCs/>
                <w:color w:val="000000"/>
                <w:sz w:val="20"/>
                <w:szCs w:val="20"/>
              </w:rPr>
              <w:t xml:space="preserve">  |</w:t>
            </w:r>
            <w:proofErr w:type="gramEnd"/>
            <w:r>
              <w:rPr>
                <w:rFonts w:ascii="Times New Roman" w:eastAsia="Times New Roman" w:hAnsi="Times New Roman" w:cs="Times New Roman"/>
                <w:b/>
                <w:bCs/>
                <w:color w:val="000000"/>
                <w:sz w:val="20"/>
                <w:szCs w:val="20"/>
              </w:rPr>
              <w:t xml:space="preserve"> </w:t>
            </w:r>
            <w:proofErr w:type="gramStart"/>
            <w:r>
              <w:rPr>
                <w:rFonts w:ascii="Times New Roman" w:eastAsia="Times New Roman" w:hAnsi="Times New Roman" w:cs="Times New Roman"/>
                <w:b/>
                <w:bCs/>
                <w:color w:val="000000"/>
                <w:sz w:val="20"/>
                <w:szCs w:val="20"/>
              </w:rPr>
              <w:t>MAPE(</w:t>
            </w:r>
            <w:proofErr w:type="gramEnd"/>
            <w:r>
              <w:rPr>
                <w:rFonts w:ascii="Times New Roman" w:eastAsia="Times New Roman" w:hAnsi="Times New Roman" w:cs="Times New Roman"/>
                <w:b/>
                <w:bCs/>
                <w:color w:val="000000"/>
                <w:sz w:val="20"/>
                <w:szCs w:val="20"/>
              </w:rPr>
              <w:t>%)</w:t>
            </w:r>
          </w:p>
        </w:tc>
        <w:tc>
          <w:tcPr>
            <w:tcW w:w="2079" w:type="dxa"/>
            <w:tcBorders>
              <w:top w:val="single" w:sz="4" w:space="0" w:color="000000"/>
              <w:bottom w:val="single" w:sz="4" w:space="0" w:color="000000"/>
            </w:tcBorders>
            <w:tcMar>
              <w:top w:w="0" w:type="dxa"/>
              <w:left w:w="45" w:type="dxa"/>
              <w:bottom w:w="0" w:type="dxa"/>
              <w:right w:w="45" w:type="dxa"/>
            </w:tcMar>
            <w:vAlign w:val="center"/>
          </w:tcPr>
          <w:p w14:paraId="482ACC71"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Test</w:t>
            </w:r>
          </w:p>
          <w:p w14:paraId="482ACC72" w14:textId="77777777" w:rsidR="002D3AC2" w:rsidRDefault="002800B1">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R</w:t>
            </w:r>
            <w:proofErr w:type="gramStart"/>
            <w:r>
              <w:rPr>
                <w:rFonts w:ascii="Times New Roman" w:eastAsia="Times New Roman" w:hAnsi="Times New Roman" w:cs="Times New Roman"/>
                <w:b/>
                <w:bCs/>
                <w:color w:val="000000"/>
                <w:sz w:val="20"/>
                <w:szCs w:val="20"/>
                <w:vertAlign w:val="superscript"/>
              </w:rPr>
              <w:t>2</w:t>
            </w:r>
            <w:r>
              <w:rPr>
                <w:rFonts w:ascii="Times New Roman" w:eastAsia="Times New Roman" w:hAnsi="Times New Roman" w:cs="Times New Roman"/>
                <w:b/>
                <w:bCs/>
                <w:color w:val="000000"/>
                <w:sz w:val="20"/>
                <w:szCs w:val="20"/>
              </w:rPr>
              <w:t xml:space="preserve">  |</w:t>
            </w:r>
            <w:proofErr w:type="gramEnd"/>
            <w:r>
              <w:rPr>
                <w:rFonts w:ascii="Times New Roman" w:eastAsia="Times New Roman" w:hAnsi="Times New Roman" w:cs="Times New Roman"/>
                <w:b/>
                <w:bCs/>
                <w:color w:val="000000"/>
                <w:sz w:val="20"/>
                <w:szCs w:val="20"/>
              </w:rPr>
              <w:t xml:space="preserve"> </w:t>
            </w:r>
            <w:proofErr w:type="gramStart"/>
            <w:r>
              <w:rPr>
                <w:rFonts w:ascii="Times New Roman" w:eastAsia="Times New Roman" w:hAnsi="Times New Roman" w:cs="Times New Roman"/>
                <w:b/>
                <w:bCs/>
                <w:color w:val="000000"/>
                <w:sz w:val="20"/>
                <w:szCs w:val="20"/>
              </w:rPr>
              <w:t>MAPE(</w:t>
            </w:r>
            <w:proofErr w:type="gramEnd"/>
            <w:r>
              <w:rPr>
                <w:rFonts w:ascii="Times New Roman" w:eastAsia="Times New Roman" w:hAnsi="Times New Roman" w:cs="Times New Roman"/>
                <w:b/>
                <w:bCs/>
                <w:color w:val="000000"/>
                <w:sz w:val="20"/>
                <w:szCs w:val="20"/>
              </w:rPr>
              <w:t>%)</w:t>
            </w:r>
          </w:p>
        </w:tc>
        <w:tc>
          <w:tcPr>
            <w:tcW w:w="6" w:type="dxa"/>
            <w:tcBorders>
              <w:left w:val="nil"/>
            </w:tcBorders>
          </w:tcPr>
          <w:p w14:paraId="482ACC73" w14:textId="77777777" w:rsidR="002D3AC2" w:rsidRDefault="002D3AC2">
            <w:pPr>
              <w:spacing w:after="0" w:line="240" w:lineRule="auto"/>
              <w:ind w:firstLine="567"/>
              <w:jc w:val="center"/>
              <w:rPr>
                <w:b/>
                <w:bCs/>
                <w:sz w:val="22"/>
                <w:szCs w:val="22"/>
              </w:rPr>
            </w:pPr>
          </w:p>
        </w:tc>
        <w:tc>
          <w:tcPr>
            <w:tcW w:w="6" w:type="dxa"/>
          </w:tcPr>
          <w:p w14:paraId="482ACC74" w14:textId="77777777" w:rsidR="002D3AC2" w:rsidRDefault="002D3AC2">
            <w:pPr>
              <w:spacing w:after="0" w:line="240" w:lineRule="auto"/>
              <w:ind w:firstLine="567"/>
              <w:jc w:val="center"/>
              <w:rPr>
                <w:b/>
                <w:bCs/>
                <w:sz w:val="22"/>
                <w:szCs w:val="22"/>
              </w:rPr>
            </w:pPr>
          </w:p>
        </w:tc>
        <w:tc>
          <w:tcPr>
            <w:tcW w:w="6" w:type="dxa"/>
          </w:tcPr>
          <w:p w14:paraId="482ACC75" w14:textId="77777777" w:rsidR="002D3AC2" w:rsidRDefault="002D3AC2">
            <w:pPr>
              <w:spacing w:after="0" w:line="240" w:lineRule="auto"/>
              <w:ind w:firstLine="567"/>
              <w:jc w:val="center"/>
              <w:rPr>
                <w:b/>
                <w:bCs/>
                <w:sz w:val="22"/>
                <w:szCs w:val="22"/>
              </w:rPr>
            </w:pPr>
          </w:p>
        </w:tc>
        <w:tc>
          <w:tcPr>
            <w:tcW w:w="6" w:type="dxa"/>
          </w:tcPr>
          <w:p w14:paraId="482ACC76" w14:textId="77777777" w:rsidR="002D3AC2" w:rsidRDefault="002D3AC2">
            <w:pPr>
              <w:spacing w:after="0" w:line="240" w:lineRule="auto"/>
              <w:ind w:firstLine="567"/>
              <w:jc w:val="center"/>
              <w:rPr>
                <w:b/>
                <w:bCs/>
                <w:sz w:val="22"/>
                <w:szCs w:val="22"/>
              </w:rPr>
            </w:pPr>
          </w:p>
        </w:tc>
      </w:tr>
      <w:tr w:rsidR="002D3AC2" w14:paraId="482ACC80" w14:textId="77777777">
        <w:trPr>
          <w:trHeight w:val="300"/>
        </w:trPr>
        <w:tc>
          <w:tcPr>
            <w:tcW w:w="2701" w:type="dxa"/>
            <w:tcBorders>
              <w:top w:val="single" w:sz="4" w:space="0" w:color="000000"/>
            </w:tcBorders>
            <w:tcMar>
              <w:top w:w="0" w:type="dxa"/>
              <w:left w:w="45" w:type="dxa"/>
              <w:bottom w:w="0" w:type="dxa"/>
              <w:right w:w="45" w:type="dxa"/>
            </w:tcMar>
          </w:tcPr>
          <w:p w14:paraId="482ACC78"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Pressure (psi)</w:t>
            </w:r>
          </w:p>
        </w:tc>
        <w:tc>
          <w:tcPr>
            <w:tcW w:w="2103" w:type="dxa"/>
            <w:tcBorders>
              <w:top w:val="single" w:sz="4" w:space="0" w:color="000000"/>
            </w:tcBorders>
            <w:tcMar>
              <w:top w:w="0" w:type="dxa"/>
              <w:left w:w="45" w:type="dxa"/>
              <w:bottom w:w="0" w:type="dxa"/>
              <w:right w:w="45" w:type="dxa"/>
            </w:tcMar>
          </w:tcPr>
          <w:p w14:paraId="482ACC79"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99|4</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11</w:t>
            </w:r>
          </w:p>
        </w:tc>
        <w:tc>
          <w:tcPr>
            <w:tcW w:w="2147" w:type="dxa"/>
            <w:tcBorders>
              <w:top w:val="single" w:sz="4" w:space="0" w:color="000000"/>
            </w:tcBorders>
            <w:tcMar>
              <w:top w:w="0" w:type="dxa"/>
              <w:left w:w="45" w:type="dxa"/>
              <w:bottom w:w="0" w:type="dxa"/>
              <w:right w:w="45" w:type="dxa"/>
            </w:tcMar>
          </w:tcPr>
          <w:p w14:paraId="482ACC7A"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99|3</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90</w:t>
            </w:r>
          </w:p>
        </w:tc>
        <w:tc>
          <w:tcPr>
            <w:tcW w:w="2079" w:type="dxa"/>
            <w:tcBorders>
              <w:top w:val="single" w:sz="4" w:space="0" w:color="000000"/>
            </w:tcBorders>
            <w:tcMar>
              <w:top w:w="0" w:type="dxa"/>
              <w:left w:w="45" w:type="dxa"/>
              <w:bottom w:w="0" w:type="dxa"/>
              <w:right w:w="45" w:type="dxa"/>
            </w:tcMar>
          </w:tcPr>
          <w:p w14:paraId="482ACC7B"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99|5</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08</w:t>
            </w:r>
          </w:p>
        </w:tc>
        <w:tc>
          <w:tcPr>
            <w:tcW w:w="6" w:type="dxa"/>
            <w:tcBorders>
              <w:left w:val="nil"/>
            </w:tcBorders>
          </w:tcPr>
          <w:p w14:paraId="482ACC7C" w14:textId="77777777" w:rsidR="002D3AC2" w:rsidRDefault="002D3AC2">
            <w:pPr>
              <w:spacing w:after="0" w:line="240" w:lineRule="auto"/>
              <w:ind w:firstLine="567"/>
              <w:jc w:val="right"/>
              <w:rPr>
                <w:sz w:val="22"/>
                <w:szCs w:val="22"/>
              </w:rPr>
            </w:pPr>
          </w:p>
        </w:tc>
        <w:tc>
          <w:tcPr>
            <w:tcW w:w="6" w:type="dxa"/>
          </w:tcPr>
          <w:p w14:paraId="482ACC7D" w14:textId="77777777" w:rsidR="002D3AC2" w:rsidRDefault="002D3AC2">
            <w:pPr>
              <w:spacing w:after="0" w:line="240" w:lineRule="auto"/>
              <w:ind w:firstLine="567"/>
              <w:jc w:val="right"/>
              <w:rPr>
                <w:sz w:val="22"/>
                <w:szCs w:val="22"/>
              </w:rPr>
            </w:pPr>
          </w:p>
        </w:tc>
        <w:tc>
          <w:tcPr>
            <w:tcW w:w="6" w:type="dxa"/>
          </w:tcPr>
          <w:p w14:paraId="482ACC7E" w14:textId="77777777" w:rsidR="002D3AC2" w:rsidRDefault="002D3AC2">
            <w:pPr>
              <w:spacing w:after="0" w:line="240" w:lineRule="auto"/>
              <w:ind w:firstLine="567"/>
              <w:jc w:val="right"/>
              <w:rPr>
                <w:sz w:val="22"/>
                <w:szCs w:val="22"/>
              </w:rPr>
            </w:pPr>
          </w:p>
        </w:tc>
        <w:tc>
          <w:tcPr>
            <w:tcW w:w="6" w:type="dxa"/>
          </w:tcPr>
          <w:p w14:paraId="482ACC7F" w14:textId="77777777" w:rsidR="002D3AC2" w:rsidRDefault="002D3AC2">
            <w:pPr>
              <w:spacing w:after="0" w:line="240" w:lineRule="auto"/>
              <w:ind w:firstLine="567"/>
              <w:jc w:val="right"/>
              <w:rPr>
                <w:sz w:val="22"/>
                <w:szCs w:val="22"/>
              </w:rPr>
            </w:pPr>
          </w:p>
        </w:tc>
      </w:tr>
      <w:tr w:rsidR="002D3AC2" w14:paraId="482ACC89" w14:textId="77777777">
        <w:trPr>
          <w:trHeight w:val="300"/>
        </w:trPr>
        <w:tc>
          <w:tcPr>
            <w:tcW w:w="2701" w:type="dxa"/>
            <w:tcMar>
              <w:top w:w="0" w:type="dxa"/>
              <w:left w:w="45" w:type="dxa"/>
              <w:bottom w:w="0" w:type="dxa"/>
              <w:right w:w="45" w:type="dxa"/>
            </w:tcMar>
          </w:tcPr>
          <w:p w14:paraId="482ACC81"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Catalyst Ratio [Al]/[Ti]</w:t>
            </w:r>
          </w:p>
        </w:tc>
        <w:tc>
          <w:tcPr>
            <w:tcW w:w="2103" w:type="dxa"/>
            <w:tcMar>
              <w:top w:w="0" w:type="dxa"/>
              <w:left w:w="45" w:type="dxa"/>
              <w:bottom w:w="0" w:type="dxa"/>
              <w:right w:w="45" w:type="dxa"/>
            </w:tcMar>
          </w:tcPr>
          <w:p w14:paraId="482ACC82"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98|1</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83</w:t>
            </w:r>
          </w:p>
        </w:tc>
        <w:tc>
          <w:tcPr>
            <w:tcW w:w="2147" w:type="dxa"/>
            <w:tcMar>
              <w:top w:w="0" w:type="dxa"/>
              <w:left w:w="45" w:type="dxa"/>
              <w:bottom w:w="0" w:type="dxa"/>
              <w:right w:w="45" w:type="dxa"/>
            </w:tcMar>
          </w:tcPr>
          <w:p w14:paraId="482ACC83"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98|1</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72</w:t>
            </w:r>
          </w:p>
        </w:tc>
        <w:tc>
          <w:tcPr>
            <w:tcW w:w="2079" w:type="dxa"/>
            <w:tcMar>
              <w:top w:w="0" w:type="dxa"/>
              <w:left w:w="45" w:type="dxa"/>
              <w:bottom w:w="0" w:type="dxa"/>
              <w:right w:w="45" w:type="dxa"/>
            </w:tcMar>
          </w:tcPr>
          <w:p w14:paraId="482ACC84"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89|2</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78</w:t>
            </w:r>
          </w:p>
        </w:tc>
        <w:tc>
          <w:tcPr>
            <w:tcW w:w="6" w:type="dxa"/>
            <w:tcBorders>
              <w:left w:val="nil"/>
            </w:tcBorders>
          </w:tcPr>
          <w:p w14:paraId="482ACC85" w14:textId="77777777" w:rsidR="002D3AC2" w:rsidRDefault="002D3AC2">
            <w:pPr>
              <w:spacing w:after="0" w:line="240" w:lineRule="auto"/>
              <w:ind w:firstLine="567"/>
              <w:jc w:val="right"/>
              <w:rPr>
                <w:sz w:val="22"/>
                <w:szCs w:val="22"/>
              </w:rPr>
            </w:pPr>
          </w:p>
        </w:tc>
        <w:tc>
          <w:tcPr>
            <w:tcW w:w="6" w:type="dxa"/>
          </w:tcPr>
          <w:p w14:paraId="482ACC86" w14:textId="77777777" w:rsidR="002D3AC2" w:rsidRDefault="002D3AC2">
            <w:pPr>
              <w:spacing w:after="0" w:line="240" w:lineRule="auto"/>
              <w:ind w:firstLine="567"/>
              <w:jc w:val="right"/>
              <w:rPr>
                <w:sz w:val="22"/>
                <w:szCs w:val="22"/>
              </w:rPr>
            </w:pPr>
          </w:p>
        </w:tc>
        <w:tc>
          <w:tcPr>
            <w:tcW w:w="6" w:type="dxa"/>
          </w:tcPr>
          <w:p w14:paraId="482ACC87" w14:textId="77777777" w:rsidR="002D3AC2" w:rsidRDefault="002D3AC2">
            <w:pPr>
              <w:spacing w:after="0" w:line="240" w:lineRule="auto"/>
              <w:ind w:firstLine="567"/>
              <w:jc w:val="right"/>
              <w:rPr>
                <w:sz w:val="22"/>
                <w:szCs w:val="22"/>
              </w:rPr>
            </w:pPr>
          </w:p>
        </w:tc>
        <w:tc>
          <w:tcPr>
            <w:tcW w:w="6" w:type="dxa"/>
          </w:tcPr>
          <w:p w14:paraId="482ACC88" w14:textId="77777777" w:rsidR="002D3AC2" w:rsidRDefault="002D3AC2">
            <w:pPr>
              <w:spacing w:after="0" w:line="240" w:lineRule="auto"/>
              <w:ind w:firstLine="567"/>
              <w:jc w:val="right"/>
              <w:rPr>
                <w:sz w:val="22"/>
                <w:szCs w:val="22"/>
              </w:rPr>
            </w:pPr>
          </w:p>
        </w:tc>
      </w:tr>
      <w:tr w:rsidR="002D3AC2" w14:paraId="482ACC92" w14:textId="77777777">
        <w:trPr>
          <w:trHeight w:val="300"/>
        </w:trPr>
        <w:tc>
          <w:tcPr>
            <w:tcW w:w="2701" w:type="dxa"/>
            <w:tcMar>
              <w:top w:w="0" w:type="dxa"/>
              <w:left w:w="45" w:type="dxa"/>
              <w:bottom w:w="0" w:type="dxa"/>
              <w:right w:w="45" w:type="dxa"/>
            </w:tcMar>
          </w:tcPr>
          <w:p w14:paraId="482ACC8A"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C8 Preload (g)</w:t>
            </w:r>
          </w:p>
        </w:tc>
        <w:tc>
          <w:tcPr>
            <w:tcW w:w="2103" w:type="dxa"/>
            <w:tcMar>
              <w:top w:w="0" w:type="dxa"/>
              <w:left w:w="45" w:type="dxa"/>
              <w:bottom w:w="0" w:type="dxa"/>
              <w:right w:w="45" w:type="dxa"/>
            </w:tcMar>
          </w:tcPr>
          <w:p w14:paraId="482ACC8B"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00|2</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99</w:t>
            </w:r>
          </w:p>
        </w:tc>
        <w:tc>
          <w:tcPr>
            <w:tcW w:w="2147" w:type="dxa"/>
            <w:tcMar>
              <w:top w:w="0" w:type="dxa"/>
              <w:left w:w="45" w:type="dxa"/>
              <w:bottom w:w="0" w:type="dxa"/>
              <w:right w:w="45" w:type="dxa"/>
            </w:tcMar>
          </w:tcPr>
          <w:p w14:paraId="482ACC8C"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00|5</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34</w:t>
            </w:r>
          </w:p>
        </w:tc>
        <w:tc>
          <w:tcPr>
            <w:tcW w:w="2079" w:type="dxa"/>
            <w:tcMar>
              <w:top w:w="0" w:type="dxa"/>
              <w:left w:w="45" w:type="dxa"/>
              <w:bottom w:w="0" w:type="dxa"/>
              <w:right w:w="45" w:type="dxa"/>
            </w:tcMar>
          </w:tcPr>
          <w:p w14:paraId="482ACC8D"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00|9</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16</w:t>
            </w:r>
          </w:p>
        </w:tc>
        <w:tc>
          <w:tcPr>
            <w:tcW w:w="6" w:type="dxa"/>
            <w:tcBorders>
              <w:left w:val="nil"/>
            </w:tcBorders>
          </w:tcPr>
          <w:p w14:paraId="482ACC8E" w14:textId="77777777" w:rsidR="002D3AC2" w:rsidRDefault="002D3AC2">
            <w:pPr>
              <w:spacing w:after="0" w:line="240" w:lineRule="auto"/>
              <w:ind w:firstLine="567"/>
              <w:jc w:val="right"/>
              <w:rPr>
                <w:sz w:val="22"/>
                <w:szCs w:val="22"/>
              </w:rPr>
            </w:pPr>
          </w:p>
        </w:tc>
        <w:tc>
          <w:tcPr>
            <w:tcW w:w="6" w:type="dxa"/>
          </w:tcPr>
          <w:p w14:paraId="482ACC8F" w14:textId="77777777" w:rsidR="002D3AC2" w:rsidRDefault="002D3AC2">
            <w:pPr>
              <w:spacing w:after="0" w:line="240" w:lineRule="auto"/>
              <w:ind w:firstLine="567"/>
              <w:jc w:val="right"/>
              <w:rPr>
                <w:sz w:val="22"/>
                <w:szCs w:val="22"/>
              </w:rPr>
            </w:pPr>
          </w:p>
        </w:tc>
        <w:tc>
          <w:tcPr>
            <w:tcW w:w="6" w:type="dxa"/>
          </w:tcPr>
          <w:p w14:paraId="482ACC90" w14:textId="77777777" w:rsidR="002D3AC2" w:rsidRDefault="002D3AC2">
            <w:pPr>
              <w:spacing w:after="0" w:line="240" w:lineRule="auto"/>
              <w:ind w:firstLine="567"/>
              <w:jc w:val="right"/>
              <w:rPr>
                <w:sz w:val="22"/>
                <w:szCs w:val="22"/>
              </w:rPr>
            </w:pPr>
          </w:p>
        </w:tc>
        <w:tc>
          <w:tcPr>
            <w:tcW w:w="6" w:type="dxa"/>
          </w:tcPr>
          <w:p w14:paraId="482ACC91" w14:textId="77777777" w:rsidR="002D3AC2" w:rsidRDefault="002D3AC2">
            <w:pPr>
              <w:spacing w:after="0" w:line="240" w:lineRule="auto"/>
              <w:ind w:firstLine="567"/>
              <w:jc w:val="right"/>
              <w:rPr>
                <w:sz w:val="22"/>
                <w:szCs w:val="22"/>
              </w:rPr>
            </w:pPr>
          </w:p>
        </w:tc>
      </w:tr>
      <w:tr w:rsidR="002D3AC2" w14:paraId="482ACC9B" w14:textId="77777777">
        <w:trPr>
          <w:trHeight w:val="300"/>
        </w:trPr>
        <w:tc>
          <w:tcPr>
            <w:tcW w:w="2701" w:type="dxa"/>
            <w:tcBorders>
              <w:bottom w:val="single" w:sz="4" w:space="0" w:color="000000"/>
            </w:tcBorders>
            <w:tcMar>
              <w:top w:w="0" w:type="dxa"/>
              <w:left w:w="45" w:type="dxa"/>
              <w:bottom w:w="0" w:type="dxa"/>
              <w:right w:w="45" w:type="dxa"/>
            </w:tcMar>
          </w:tcPr>
          <w:p w14:paraId="482ACC93"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Run Length (min)</w:t>
            </w:r>
          </w:p>
        </w:tc>
        <w:tc>
          <w:tcPr>
            <w:tcW w:w="2103" w:type="dxa"/>
            <w:tcBorders>
              <w:bottom w:val="single" w:sz="4" w:space="0" w:color="000000"/>
            </w:tcBorders>
            <w:tcMar>
              <w:top w:w="0" w:type="dxa"/>
              <w:left w:w="45" w:type="dxa"/>
              <w:bottom w:w="0" w:type="dxa"/>
              <w:right w:w="45" w:type="dxa"/>
            </w:tcMar>
          </w:tcPr>
          <w:p w14:paraId="482ACC94"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99|3</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63</w:t>
            </w:r>
          </w:p>
        </w:tc>
        <w:tc>
          <w:tcPr>
            <w:tcW w:w="2147" w:type="dxa"/>
            <w:tcBorders>
              <w:bottom w:val="single" w:sz="4" w:space="0" w:color="000000"/>
            </w:tcBorders>
            <w:tcMar>
              <w:top w:w="0" w:type="dxa"/>
              <w:left w:w="45" w:type="dxa"/>
              <w:bottom w:w="0" w:type="dxa"/>
              <w:right w:w="45" w:type="dxa"/>
            </w:tcMar>
          </w:tcPr>
          <w:p w14:paraId="482ACC95"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99|3</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85</w:t>
            </w:r>
          </w:p>
        </w:tc>
        <w:tc>
          <w:tcPr>
            <w:tcW w:w="2079" w:type="dxa"/>
            <w:tcBorders>
              <w:bottom w:val="single" w:sz="4" w:space="0" w:color="000000"/>
            </w:tcBorders>
            <w:tcMar>
              <w:top w:w="0" w:type="dxa"/>
              <w:left w:w="45" w:type="dxa"/>
              <w:bottom w:w="0" w:type="dxa"/>
              <w:right w:w="45" w:type="dxa"/>
            </w:tcMar>
          </w:tcPr>
          <w:p w14:paraId="482ACC96"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73|11</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29</w:t>
            </w:r>
          </w:p>
        </w:tc>
        <w:tc>
          <w:tcPr>
            <w:tcW w:w="6" w:type="dxa"/>
            <w:tcBorders>
              <w:left w:val="nil"/>
            </w:tcBorders>
          </w:tcPr>
          <w:p w14:paraId="482ACC97" w14:textId="77777777" w:rsidR="002D3AC2" w:rsidRDefault="002D3AC2">
            <w:pPr>
              <w:spacing w:after="0" w:line="240" w:lineRule="auto"/>
              <w:ind w:firstLine="567"/>
              <w:jc w:val="right"/>
              <w:rPr>
                <w:sz w:val="22"/>
                <w:szCs w:val="22"/>
              </w:rPr>
            </w:pPr>
          </w:p>
        </w:tc>
        <w:tc>
          <w:tcPr>
            <w:tcW w:w="6" w:type="dxa"/>
          </w:tcPr>
          <w:p w14:paraId="482ACC98" w14:textId="77777777" w:rsidR="002D3AC2" w:rsidRDefault="002D3AC2">
            <w:pPr>
              <w:spacing w:after="0" w:line="240" w:lineRule="auto"/>
              <w:ind w:firstLine="567"/>
              <w:jc w:val="right"/>
              <w:rPr>
                <w:sz w:val="22"/>
                <w:szCs w:val="22"/>
              </w:rPr>
            </w:pPr>
          </w:p>
        </w:tc>
        <w:tc>
          <w:tcPr>
            <w:tcW w:w="6" w:type="dxa"/>
          </w:tcPr>
          <w:p w14:paraId="482ACC99" w14:textId="77777777" w:rsidR="002D3AC2" w:rsidRDefault="002D3AC2">
            <w:pPr>
              <w:spacing w:after="0" w:line="240" w:lineRule="auto"/>
              <w:ind w:firstLine="567"/>
              <w:jc w:val="right"/>
              <w:rPr>
                <w:sz w:val="22"/>
                <w:szCs w:val="22"/>
              </w:rPr>
            </w:pPr>
          </w:p>
        </w:tc>
        <w:tc>
          <w:tcPr>
            <w:tcW w:w="6" w:type="dxa"/>
          </w:tcPr>
          <w:p w14:paraId="482ACC9A" w14:textId="77777777" w:rsidR="002D3AC2" w:rsidRDefault="002D3AC2">
            <w:pPr>
              <w:spacing w:after="0" w:line="240" w:lineRule="auto"/>
              <w:ind w:firstLine="567"/>
              <w:jc w:val="right"/>
              <w:rPr>
                <w:sz w:val="22"/>
                <w:szCs w:val="22"/>
              </w:rPr>
            </w:pPr>
          </w:p>
        </w:tc>
      </w:tr>
    </w:tbl>
    <w:p w14:paraId="482ACC9C"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color w:val="000000"/>
          <w:sz w:val="20"/>
          <w:szCs w:val="20"/>
        </w:rPr>
      </w:pPr>
    </w:p>
    <w:p w14:paraId="482ACC9D"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results in Table 1 demonstrate that the regression-based variables achieved high predictive</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performance, while the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 xml:space="preserve">ength (min)" variable exhibited an intermediate level of performance. </w:t>
      </w:r>
    </w:p>
    <w:p w14:paraId="482ACC9E"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T</w:t>
      </w:r>
      <w:r>
        <w:rPr>
          <w:rFonts w:ascii="Times New Roman" w:eastAsia="Times New Roman" w:hAnsi="Times New Roman" w:cs="Times New Roman"/>
          <w:color w:val="000000"/>
          <w:sz w:val="20"/>
          <w:szCs w:val="20"/>
        </w:rPr>
        <w:t xml:space="preserve">he performance for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ength within the hybrid framework significantly outperformed the benchmarks where the model was configured either entirely for regression or entirely for classification across all variables.</w:t>
      </w:r>
    </w:p>
    <w:p w14:paraId="482ACC9F"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comparative analysis of the test results reveals the limitations of a purely regressive approach for temporal variables: the regression-only model yielded a poor</w:t>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of 0.02 and a MAPE of 12.57% for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ength, in contrast, by treating Run Length as a categorical output and applying the mathematical expectation method, the model achieved an R</w:t>
      </w:r>
      <w:r>
        <w:rPr>
          <w:rFonts w:ascii="Times New Roman" w:eastAsia="Times New Roman" w:hAnsi="Times New Roman" w:cs="Times New Roman"/>
          <w:color w:val="000000"/>
          <w:sz w:val="20"/>
          <w:szCs w:val="20"/>
          <w:vertAlign w:val="superscript"/>
        </w:rPr>
        <w:t xml:space="preserve">2 </w:t>
      </w:r>
      <w:r>
        <w:rPr>
          <w:rFonts w:ascii="Times New Roman" w:eastAsia="Times New Roman" w:hAnsi="Times New Roman" w:cs="Times New Roman"/>
          <w:color w:val="000000"/>
          <w:sz w:val="20"/>
          <w:szCs w:val="20"/>
        </w:rPr>
        <w:t>of 0.68 and a MAPE of 9.13%.</w:t>
      </w:r>
    </w:p>
    <w:p w14:paraId="482ACCA0"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While the </w:t>
      </w:r>
      <w:proofErr w:type="gramStart"/>
      <w:r>
        <w:rPr>
          <w:rFonts w:ascii="Times New Roman" w:eastAsia="Times New Roman" w:hAnsi="Times New Roman" w:cs="Times New Roman"/>
          <w:color w:val="000000"/>
          <w:sz w:val="20"/>
          <w:szCs w:val="20"/>
        </w:rPr>
        <w:t>classification only</w:t>
      </w:r>
      <w:proofErr w:type="gramEnd"/>
      <w:r>
        <w:rPr>
          <w:rFonts w:ascii="Times New Roman" w:eastAsia="Times New Roman" w:hAnsi="Times New Roman" w:cs="Times New Roman"/>
          <w:color w:val="000000"/>
          <w:sz w:val="20"/>
          <w:szCs w:val="20"/>
        </w:rPr>
        <w:t xml:space="preserve"> model showed similar metrics for </w:t>
      </w:r>
      <w:proofErr w:type="gramStart"/>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un</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ength, it caused a severe degradation in the prediction of the remaining continuous variables, with R</w:t>
      </w: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values dropping to zero and a substantial increase in MAPE. These findings underscore that the proposed hybrid </w:t>
      </w:r>
      <w:proofErr w:type="spellStart"/>
      <w:r>
        <w:rPr>
          <w:rFonts w:ascii="Times New Roman" w:eastAsia="Times New Roman" w:hAnsi="Times New Roman" w:cs="Times New Roman"/>
          <w:color w:val="000000"/>
          <w:sz w:val="20"/>
          <w:szCs w:val="20"/>
        </w:rPr>
        <w:t>ResNet</w:t>
      </w:r>
      <w:proofErr w:type="spellEnd"/>
      <w:r>
        <w:rPr>
          <w:rFonts w:ascii="Times New Roman" w:eastAsia="Times New Roman" w:hAnsi="Times New Roman" w:cs="Times New Roman"/>
          <w:color w:val="000000"/>
          <w:sz w:val="20"/>
          <w:szCs w:val="20"/>
        </w:rPr>
        <w:t xml:space="preserve"> architecture is the most robust configuration, as it optimizes the feature extraction process for both continuous chemical parameters and discretized reaction timeframes simultaneously.</w:t>
      </w:r>
    </w:p>
    <w:p w14:paraId="482ACCA1"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A2"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A3"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Figure 3</w:t>
      </w:r>
      <w:r>
        <w:rPr>
          <w:rFonts w:ascii="Times New Roman" w:eastAsia="Times New Roman" w:hAnsi="Times New Roman" w:cs="Times New Roman"/>
          <w:color w:val="000000"/>
          <w:sz w:val="20"/>
          <w:szCs w:val="20"/>
        </w:rPr>
        <w:t>: Confusion Matrix for Run Length</w:t>
      </w:r>
    </w:p>
    <w:p w14:paraId="482ACCA4" w14:textId="77777777" w:rsidR="002D3AC2" w:rsidRDefault="002800B1">
      <w:pPr>
        <w:pBdr>
          <w:top w:val="nil"/>
          <w:left w:val="nil"/>
          <w:bottom w:val="nil"/>
          <w:right w:val="nil"/>
          <w:between w:val="nil"/>
        </w:pBdr>
        <w:tabs>
          <w:tab w:val="left" w:pos="240"/>
        </w:tabs>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482ACCC4" wp14:editId="482ACCC5">
            <wp:extent cx="3147339" cy="2749629"/>
            <wp:effectExtent l="0" t="0" r="0" b="0"/>
            <wp:docPr id="16433559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t="6300"/>
                    <a:stretch>
                      <a:fillRect/>
                    </a:stretch>
                  </pic:blipFill>
                  <pic:spPr>
                    <a:xfrm>
                      <a:off x="0" y="0"/>
                      <a:ext cx="3147339" cy="2749629"/>
                    </a:xfrm>
                    <a:prstGeom prst="rect">
                      <a:avLst/>
                    </a:prstGeom>
                    <a:ln/>
                  </pic:spPr>
                </pic:pic>
              </a:graphicData>
            </a:graphic>
          </wp:inline>
        </w:drawing>
      </w:r>
    </w:p>
    <w:p w14:paraId="482ACCA5"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color w:val="000000"/>
          <w:sz w:val="20"/>
          <w:szCs w:val="20"/>
        </w:rPr>
      </w:pPr>
    </w:p>
    <w:p w14:paraId="482ACCA6"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confusion matrix presented in Figure 2 demonstrates that misclassifications are concentrated precisely within the intervals suffering from data scarcity. Out of 56 total test samples, the model yielded only 3 errors, underscoring a high overall classification accuracy. Specifically, two instances belonging to the lower operational range (Class 0) were incorrectly classified into the highest range (Class 2), while one instance from the higher range (Class 2) was erroneously assigned to the lower range (Class 0). These specific misclassifications align </w:t>
      </w:r>
      <w:r>
        <w:rPr>
          <w:rFonts w:ascii="Times New Roman" w:eastAsia="Times New Roman" w:hAnsi="Times New Roman" w:cs="Times New Roman"/>
          <w:color w:val="000000"/>
          <w:sz w:val="20"/>
          <w:szCs w:val="20"/>
        </w:rPr>
        <w:lastRenderedPageBreak/>
        <w:t>directly with the distribution gaps identified in the augmented dataset, confirming that the lack of representative data in the intermediate ranges (10–20 and 20–30 minutes) was the primary driver for these isolated errors.</w:t>
      </w:r>
    </w:p>
    <w:p w14:paraId="1B6F34B5" w14:textId="77777777" w:rsidR="00814CC8" w:rsidRDefault="00814CC8">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A7" w14:textId="77777777" w:rsidR="002D3AC2" w:rsidRDefault="002D3AC2">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p>
    <w:p w14:paraId="482ACCA8" w14:textId="77777777" w:rsidR="002D3AC2" w:rsidRDefault="002800B1">
      <w:pPr>
        <w:pBdr>
          <w:top w:val="nil"/>
          <w:left w:val="nil"/>
          <w:bottom w:val="nil"/>
          <w:right w:val="nil"/>
          <w:between w:val="nil"/>
        </w:pBdr>
        <w:tabs>
          <w:tab w:val="left" w:pos="240"/>
        </w:tabs>
        <w:spacing w:after="0" w:line="240" w:lineRule="auto"/>
        <w:ind w:firstLine="56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4.</w:t>
      </w:r>
      <w:r>
        <w:rPr>
          <w:rFonts w:ascii="Times New Roman" w:eastAsia="Times New Roman" w:hAnsi="Times New Roman" w:cs="Times New Roman"/>
          <w:b/>
          <w:bCs/>
          <w:color w:val="000000"/>
          <w:sz w:val="20"/>
          <w:szCs w:val="20"/>
        </w:rPr>
        <w:t>Conclusion</w:t>
      </w:r>
    </w:p>
    <w:p w14:paraId="482ACCA9" w14:textId="77777777" w:rsidR="002D3AC2" w:rsidRDefault="002800B1">
      <w:pPr>
        <w:pBdr>
          <w:top w:val="nil"/>
          <w:left w:val="nil"/>
          <w:bottom w:val="nil"/>
          <w:right w:val="nil"/>
          <w:between w:val="nil"/>
        </w:pBdr>
        <w:tabs>
          <w:tab w:val="left" w:pos="240"/>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proposed hybrid </w:t>
      </w:r>
      <w:proofErr w:type="spellStart"/>
      <w:r>
        <w:rPr>
          <w:rFonts w:ascii="Times New Roman" w:eastAsia="Times New Roman" w:hAnsi="Times New Roman" w:cs="Times New Roman"/>
          <w:color w:val="000000"/>
          <w:sz w:val="20"/>
          <w:szCs w:val="20"/>
        </w:rPr>
        <w:t>ResNet</w:t>
      </w:r>
      <w:proofErr w:type="spellEnd"/>
      <w:r>
        <w:rPr>
          <w:rFonts w:ascii="Times New Roman" w:eastAsia="Times New Roman" w:hAnsi="Times New Roman" w:cs="Times New Roman"/>
          <w:color w:val="000000"/>
          <w:sz w:val="20"/>
          <w:szCs w:val="20"/>
        </w:rPr>
        <w:t xml:space="preserve"> architecture demonstrated robust predictive performance, successfully generalizing the continuous regression variables with R² scores exceeding 0.98 and MAPE's strictly below 10%. Regarding the classification variable, </w:t>
      </w:r>
      <w:r>
        <w:rPr>
          <w:rFonts w:ascii="Times New Roman" w:eastAsia="Times New Roman" w:hAnsi="Times New Roman" w:cs="Times New Roman"/>
          <w:sz w:val="20"/>
          <w:szCs w:val="20"/>
        </w:rPr>
        <w:t>r</w:t>
      </w:r>
      <w:r>
        <w:rPr>
          <w:rFonts w:ascii="Times New Roman" w:eastAsia="Times New Roman" w:hAnsi="Times New Roman" w:cs="Times New Roman"/>
          <w:color w:val="000000"/>
          <w:sz w:val="20"/>
          <w:szCs w:val="20"/>
        </w:rPr>
        <w:t xml:space="preserve">un </w:t>
      </w:r>
      <w:r>
        <w:rPr>
          <w:rFonts w:ascii="Times New Roman" w:eastAsia="Times New Roman" w:hAnsi="Times New Roman" w:cs="Times New Roman"/>
          <w:sz w:val="20"/>
          <w:szCs w:val="20"/>
        </w:rPr>
        <w:t>l</w:t>
      </w:r>
      <w:r>
        <w:rPr>
          <w:rFonts w:ascii="Times New Roman" w:eastAsia="Times New Roman" w:hAnsi="Times New Roman" w:cs="Times New Roman"/>
          <w:color w:val="000000"/>
          <w:sz w:val="20"/>
          <w:szCs w:val="20"/>
        </w:rPr>
        <w:t>ength, the model yielded an R² of 0.73. While this performance is comparatively lower than that of the continuous variables, it represents a significant predictive capability. Analysis of the confusion matrix confirmed the model's strong aptitude for correctly assigning operational classes and, consequently, generating accurate continuous estimates via mathematical expectation. The isolated prediction errors were strictly confined to ranges suffering from inherent data scarcity. Ultimately, comparative evaluations establish that the proposed hybrid architecture significantly outperforms exclusive single-task networks, proving to be a highly effective and superior approach for handling this problem.</w:t>
      </w:r>
    </w:p>
    <w:p w14:paraId="482ACCAA" w14:textId="77777777" w:rsidR="002D3AC2" w:rsidRDefault="002D3AC2">
      <w:pPr>
        <w:pBdr>
          <w:top w:val="nil"/>
          <w:left w:val="nil"/>
          <w:bottom w:val="nil"/>
          <w:right w:val="nil"/>
          <w:between w:val="nil"/>
        </w:pBdr>
        <w:tabs>
          <w:tab w:val="left" w:pos="240"/>
        </w:tabs>
        <w:spacing w:after="0" w:line="240" w:lineRule="auto"/>
        <w:ind w:firstLine="567"/>
        <w:rPr>
          <w:rFonts w:ascii="Times New Roman" w:eastAsia="Times New Roman" w:hAnsi="Times New Roman" w:cs="Times New Roman"/>
          <w:color w:val="000000"/>
          <w:sz w:val="20"/>
          <w:szCs w:val="20"/>
        </w:rPr>
      </w:pPr>
    </w:p>
    <w:p w14:paraId="482ACCAB" w14:textId="77777777" w:rsidR="002D3AC2" w:rsidRDefault="002800B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bookmarkStart w:id="0" w:name="_heading=h.q2q10owynr41" w:colFirst="0" w:colLast="0"/>
      <w:bookmarkEnd w:id="0"/>
      <w:r>
        <w:rPr>
          <w:rFonts w:ascii="Times New Roman" w:eastAsia="Times New Roman" w:hAnsi="Times New Roman" w:cs="Times New Roman"/>
          <w:b/>
          <w:bCs/>
          <w:color w:val="000000"/>
          <w:sz w:val="20"/>
          <w:szCs w:val="20"/>
        </w:rPr>
        <w:t>Acknowledgments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This study has been financially supported by the Human Resources Training Program of the Brazilian National Agency for Petroleum, Natural Gas and Biofuels – PRH-ANP; project no. 2025/02828-3. The authors </w:t>
      </w:r>
      <w:r>
        <w:rPr>
          <w:rFonts w:ascii="Times New Roman" w:eastAsia="Times New Roman" w:hAnsi="Times New Roman" w:cs="Times New Roman"/>
          <w:color w:val="000000"/>
          <w:sz w:val="20"/>
          <w:szCs w:val="20"/>
        </w:rPr>
        <w:t xml:space="preserve">also would like to thank FAPERJ for the Jovem </w:t>
      </w:r>
      <w:proofErr w:type="spellStart"/>
      <w:r>
        <w:rPr>
          <w:rFonts w:ascii="Times New Roman" w:eastAsia="Times New Roman" w:hAnsi="Times New Roman" w:cs="Times New Roman"/>
          <w:color w:val="000000"/>
          <w:sz w:val="20"/>
          <w:szCs w:val="20"/>
        </w:rPr>
        <w:t>Cientista</w:t>
      </w:r>
      <w:proofErr w:type="spellEnd"/>
      <w:r>
        <w:rPr>
          <w:rFonts w:ascii="Times New Roman" w:eastAsia="Times New Roman" w:hAnsi="Times New Roman" w:cs="Times New Roman"/>
          <w:color w:val="000000"/>
          <w:sz w:val="20"/>
          <w:szCs w:val="20"/>
        </w:rPr>
        <w:t xml:space="preserve"> do </w:t>
      </w:r>
      <w:proofErr w:type="spellStart"/>
      <w:r>
        <w:rPr>
          <w:rFonts w:ascii="Times New Roman" w:eastAsia="Times New Roman" w:hAnsi="Times New Roman" w:cs="Times New Roman"/>
          <w:color w:val="000000"/>
          <w:sz w:val="20"/>
          <w:szCs w:val="20"/>
        </w:rPr>
        <w:t>Nosso</w:t>
      </w:r>
      <w:proofErr w:type="spellEnd"/>
      <w:r>
        <w:rPr>
          <w:rFonts w:ascii="Times New Roman" w:eastAsia="Times New Roman" w:hAnsi="Times New Roman" w:cs="Times New Roman"/>
          <w:color w:val="000000"/>
          <w:sz w:val="20"/>
          <w:szCs w:val="20"/>
        </w:rPr>
        <w:t xml:space="preserve"> Estado grants awarded to Amanda L.T. Brandão.</w:t>
      </w:r>
    </w:p>
    <w:p w14:paraId="482ACCAC" w14:textId="77777777" w:rsidR="002D3AC2" w:rsidRDefault="002D3AC2">
      <w:pPr>
        <w:spacing w:after="0" w:line="240" w:lineRule="auto"/>
        <w:ind w:firstLine="567"/>
        <w:jc w:val="both"/>
        <w:rPr>
          <w:rFonts w:ascii="Times New Roman" w:eastAsia="Times New Roman" w:hAnsi="Times New Roman" w:cs="Times New Roman"/>
          <w:b/>
          <w:bCs/>
          <w:color w:val="000000"/>
          <w:sz w:val="20"/>
          <w:szCs w:val="20"/>
        </w:rPr>
      </w:pPr>
    </w:p>
    <w:p w14:paraId="482ACCAD" w14:textId="77777777" w:rsidR="002D3AC2" w:rsidRDefault="002800B1">
      <w:pPr>
        <w:spacing w:after="0" w:line="240" w:lineRule="auto"/>
        <w:ind w:firstLine="567"/>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References</w:t>
      </w:r>
    </w:p>
    <w:p w14:paraId="482ACCAE" w14:textId="77777777" w:rsidR="002D3AC2" w:rsidRDefault="002D3AC2">
      <w:pPr>
        <w:spacing w:after="0" w:line="240" w:lineRule="auto"/>
        <w:ind w:firstLine="567"/>
        <w:jc w:val="both"/>
        <w:rPr>
          <w:rFonts w:ascii="Times New Roman" w:eastAsia="Times New Roman" w:hAnsi="Times New Roman" w:cs="Times New Roman"/>
          <w:b/>
          <w:bCs/>
          <w:color w:val="000000"/>
          <w:sz w:val="20"/>
          <w:szCs w:val="20"/>
        </w:rPr>
      </w:pPr>
    </w:p>
    <w:p w14:paraId="482ACCAF"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L. Brandão, J. B. P. Soares, J. C. Pinto e A. L. Alberton: Comparison of different dynamic Monte Carlo methods for the simulation of olefin polymerization, Macromolecular Symposia (360), 160–178, 2016.</w:t>
      </w:r>
    </w:p>
    <w:p w14:paraId="482ACCB0" w14:textId="77777777" w:rsidR="002D3AC2" w:rsidRPr="00A662E4" w:rsidRDefault="002800B1">
      <w:pPr>
        <w:spacing w:after="0" w:line="240" w:lineRule="auto"/>
        <w:ind w:firstLine="567"/>
        <w:jc w:val="both"/>
        <w:rPr>
          <w:rFonts w:ascii="Times New Roman" w:eastAsia="Times New Roman" w:hAnsi="Times New Roman" w:cs="Times New Roman"/>
          <w:sz w:val="20"/>
          <w:szCs w:val="20"/>
          <w:lang w:val="pt-BR"/>
        </w:rPr>
      </w:pPr>
      <w:r w:rsidRPr="00A662E4">
        <w:rPr>
          <w:rFonts w:ascii="Times New Roman" w:eastAsia="Times New Roman" w:hAnsi="Times New Roman" w:cs="Times New Roman"/>
          <w:sz w:val="20"/>
          <w:szCs w:val="20"/>
          <w:lang w:val="pt-BR"/>
        </w:rPr>
        <w:t xml:space="preserve">I. Chiara, S. </w:t>
      </w:r>
      <w:proofErr w:type="spellStart"/>
      <w:r w:rsidRPr="00A662E4">
        <w:rPr>
          <w:rFonts w:ascii="Times New Roman" w:eastAsia="Times New Roman" w:hAnsi="Times New Roman" w:cs="Times New Roman"/>
          <w:sz w:val="20"/>
          <w:szCs w:val="20"/>
          <w:lang w:val="pt-BR"/>
        </w:rPr>
        <w:t>Obaidoon</w:t>
      </w:r>
      <w:proofErr w:type="spellEnd"/>
      <w:r w:rsidRPr="00A662E4">
        <w:rPr>
          <w:rFonts w:ascii="Times New Roman" w:eastAsia="Times New Roman" w:hAnsi="Times New Roman" w:cs="Times New Roman"/>
          <w:sz w:val="20"/>
          <w:szCs w:val="20"/>
          <w:lang w:val="pt-BR"/>
        </w:rPr>
        <w:t xml:space="preserve">, J. Neto, J. Soares e A. Brandão: </w:t>
      </w:r>
      <w:proofErr w:type="spellStart"/>
      <w:r w:rsidRPr="00A662E4">
        <w:rPr>
          <w:rFonts w:ascii="Times New Roman" w:eastAsia="Times New Roman" w:hAnsi="Times New Roman" w:cs="Times New Roman"/>
          <w:sz w:val="20"/>
          <w:szCs w:val="20"/>
          <w:lang w:val="pt-BR"/>
        </w:rPr>
        <w:t>Prediction</w:t>
      </w:r>
      <w:proofErr w:type="spellEnd"/>
      <w:r w:rsidRPr="00A662E4">
        <w:rPr>
          <w:rFonts w:ascii="Times New Roman" w:eastAsia="Times New Roman" w:hAnsi="Times New Roman" w:cs="Times New Roman"/>
          <w:sz w:val="20"/>
          <w:szCs w:val="20"/>
          <w:lang w:val="pt-BR"/>
        </w:rPr>
        <w:t xml:space="preserve"> </w:t>
      </w:r>
      <w:proofErr w:type="spellStart"/>
      <w:r w:rsidRPr="00A662E4">
        <w:rPr>
          <w:rFonts w:ascii="Times New Roman" w:eastAsia="Times New Roman" w:hAnsi="Times New Roman" w:cs="Times New Roman"/>
          <w:sz w:val="20"/>
          <w:szCs w:val="20"/>
          <w:lang w:val="pt-BR"/>
        </w:rPr>
        <w:t>of</w:t>
      </w:r>
      <w:proofErr w:type="spellEnd"/>
      <w:r w:rsidRPr="00A662E4">
        <w:rPr>
          <w:rFonts w:ascii="Times New Roman" w:eastAsia="Times New Roman" w:hAnsi="Times New Roman" w:cs="Times New Roman"/>
          <w:sz w:val="20"/>
          <w:szCs w:val="20"/>
          <w:lang w:val="pt-BR"/>
        </w:rPr>
        <w:t xml:space="preserve"> </w:t>
      </w:r>
      <w:proofErr w:type="spellStart"/>
      <w:r w:rsidRPr="00A662E4">
        <w:rPr>
          <w:rFonts w:ascii="Times New Roman" w:eastAsia="Times New Roman" w:hAnsi="Times New Roman" w:cs="Times New Roman"/>
          <w:sz w:val="20"/>
          <w:szCs w:val="20"/>
          <w:lang w:val="pt-BR"/>
        </w:rPr>
        <w:t>polymerization</w:t>
      </w:r>
      <w:proofErr w:type="spellEnd"/>
      <w:r w:rsidRPr="00A662E4">
        <w:rPr>
          <w:rFonts w:ascii="Times New Roman" w:eastAsia="Times New Roman" w:hAnsi="Times New Roman" w:cs="Times New Roman"/>
          <w:sz w:val="20"/>
          <w:szCs w:val="20"/>
          <w:lang w:val="pt-BR"/>
        </w:rPr>
        <w:t xml:space="preserve"> </w:t>
      </w:r>
      <w:proofErr w:type="spellStart"/>
      <w:r w:rsidRPr="00A662E4">
        <w:rPr>
          <w:rFonts w:ascii="Times New Roman" w:eastAsia="Times New Roman" w:hAnsi="Times New Roman" w:cs="Times New Roman"/>
          <w:sz w:val="20"/>
          <w:szCs w:val="20"/>
          <w:lang w:val="pt-BR"/>
        </w:rPr>
        <w:t>reaction</w:t>
      </w:r>
      <w:proofErr w:type="spellEnd"/>
      <w:r w:rsidRPr="00A662E4">
        <w:rPr>
          <w:rFonts w:ascii="Times New Roman" w:eastAsia="Times New Roman" w:hAnsi="Times New Roman" w:cs="Times New Roman"/>
          <w:sz w:val="20"/>
          <w:szCs w:val="20"/>
          <w:lang w:val="pt-BR"/>
        </w:rPr>
        <w:t xml:space="preserve"> </w:t>
      </w:r>
      <w:proofErr w:type="spellStart"/>
      <w:r w:rsidRPr="00A662E4">
        <w:rPr>
          <w:rFonts w:ascii="Times New Roman" w:eastAsia="Times New Roman" w:hAnsi="Times New Roman" w:cs="Times New Roman"/>
          <w:sz w:val="20"/>
          <w:szCs w:val="20"/>
          <w:lang w:val="pt-BR"/>
        </w:rPr>
        <w:t>conditions</w:t>
      </w:r>
      <w:proofErr w:type="spellEnd"/>
      <w:r w:rsidRPr="00A662E4">
        <w:rPr>
          <w:rFonts w:ascii="Times New Roman" w:eastAsia="Times New Roman" w:hAnsi="Times New Roman" w:cs="Times New Roman"/>
          <w:sz w:val="20"/>
          <w:szCs w:val="20"/>
          <w:lang w:val="pt-BR"/>
        </w:rPr>
        <w:t xml:space="preserve"> via </w:t>
      </w:r>
      <w:proofErr w:type="spellStart"/>
      <w:r w:rsidRPr="00A662E4">
        <w:rPr>
          <w:rFonts w:ascii="Times New Roman" w:eastAsia="Times New Roman" w:hAnsi="Times New Roman" w:cs="Times New Roman"/>
          <w:sz w:val="20"/>
          <w:szCs w:val="20"/>
          <w:lang w:val="pt-BR"/>
        </w:rPr>
        <w:t>convolutional</w:t>
      </w:r>
      <w:proofErr w:type="spellEnd"/>
      <w:r w:rsidRPr="00A662E4">
        <w:rPr>
          <w:rFonts w:ascii="Times New Roman" w:eastAsia="Times New Roman" w:hAnsi="Times New Roman" w:cs="Times New Roman"/>
          <w:sz w:val="20"/>
          <w:szCs w:val="20"/>
          <w:lang w:val="pt-BR"/>
        </w:rPr>
        <w:t xml:space="preserve"> neural network, XXIV Congresso Brasileiro de Engenharia Química (COBEQ), Belo Horizonte, MG, Brasil, 2025.</w:t>
      </w:r>
    </w:p>
    <w:p w14:paraId="482ACCB1"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 Ge, R. D. Silva, Y. Fan, S. A. Sisson e M. H. Stenzel: Machine Learning in Polymer Research, Advanced Materials, 2025. </w:t>
      </w:r>
      <w:hyperlink r:id="rId15">
        <w:r w:rsidR="002D3AC2">
          <w:rPr>
            <w:rFonts w:ascii="Times New Roman" w:eastAsia="Times New Roman" w:hAnsi="Times New Roman" w:cs="Times New Roman"/>
            <w:color w:val="0000FF"/>
            <w:sz w:val="20"/>
            <w:szCs w:val="20"/>
            <w:u w:val="single"/>
          </w:rPr>
          <w:t>https://doi.org/10.1002/adma.202413695</w:t>
        </w:r>
      </w:hyperlink>
    </w:p>
    <w:p w14:paraId="482ACCB2"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 Hu, Y. Shao, Z. Liu, X. He e B. Liu: Dominant effects of short-chain branching on the initial stage of nucleation and formation of tie chains for bimodal polyethylene as revealed by molecular dynamics simulation, Polymers (11), 1840, 2019.</w:t>
      </w:r>
    </w:p>
    <w:p w14:paraId="482ACCB3"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 Mejia, N. </w:t>
      </w:r>
      <w:proofErr w:type="spellStart"/>
      <w:r>
        <w:rPr>
          <w:rFonts w:ascii="Times New Roman" w:eastAsia="Times New Roman" w:hAnsi="Times New Roman" w:cs="Times New Roman"/>
          <w:sz w:val="20"/>
          <w:szCs w:val="20"/>
        </w:rPr>
        <w:t>Cherupurakal</w:t>
      </w:r>
      <w:proofErr w:type="spellEnd"/>
      <w:r>
        <w:rPr>
          <w:rFonts w:ascii="Times New Roman" w:eastAsia="Times New Roman" w:hAnsi="Times New Roman" w:cs="Times New Roman"/>
          <w:sz w:val="20"/>
          <w:szCs w:val="20"/>
        </w:rPr>
        <w:t xml:space="preserve">, A.-H. I. Mourad, S. Al </w:t>
      </w:r>
      <w:proofErr w:type="spellStart"/>
      <w:r>
        <w:rPr>
          <w:rFonts w:ascii="Times New Roman" w:eastAsia="Times New Roman" w:hAnsi="Times New Roman" w:cs="Times New Roman"/>
          <w:sz w:val="20"/>
          <w:szCs w:val="20"/>
        </w:rPr>
        <w:t>Hassanieh</w:t>
      </w:r>
      <w:proofErr w:type="spellEnd"/>
      <w:r>
        <w:rPr>
          <w:rFonts w:ascii="Times New Roman" w:eastAsia="Times New Roman" w:hAnsi="Times New Roman" w:cs="Times New Roman"/>
          <w:sz w:val="20"/>
          <w:szCs w:val="20"/>
        </w:rPr>
        <w:t xml:space="preserve"> e M. Rabia: Effect of processing techniques on the microstructure and mechanical performance of high-density polyethylene, Polymers (13), 3346, 2021.</w:t>
      </w:r>
    </w:p>
    <w:p w14:paraId="482ACCB4"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 B. P. Soares e T. F. L. McKenna: Polyolefin reaction engineering, Wiley-VCH: 2012.</w:t>
      </w:r>
    </w:p>
    <w:p w14:paraId="482ACCB5"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 Wei, Z. Chen, S. K. </w:t>
      </w:r>
      <w:proofErr w:type="spellStart"/>
      <w:r>
        <w:rPr>
          <w:rFonts w:ascii="Times New Roman" w:eastAsia="Times New Roman" w:hAnsi="Times New Roman" w:cs="Times New Roman"/>
          <w:sz w:val="20"/>
          <w:szCs w:val="20"/>
        </w:rPr>
        <w:t>Arumugasamy</w:t>
      </w:r>
      <w:proofErr w:type="spellEnd"/>
      <w:r>
        <w:rPr>
          <w:rFonts w:ascii="Times New Roman" w:eastAsia="Times New Roman" w:hAnsi="Times New Roman" w:cs="Times New Roman"/>
          <w:sz w:val="20"/>
          <w:szCs w:val="20"/>
        </w:rPr>
        <w:t xml:space="preserve"> e I. M. L. Chew: Data augmentation and machine learning techniques for control strategy development in bio-polymerization process, Environmental Science and Ecotechnology (11), 100172, 2022.</w:t>
      </w:r>
    </w:p>
    <w:p w14:paraId="482ACCB6" w14:textId="77777777" w:rsidR="002D3AC2" w:rsidRDefault="002800B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 Xie et al.: Machine Learning Approaches in Polymer Science: Progress and Fundamental for a New Paradigm, </w:t>
      </w:r>
      <w:proofErr w:type="spellStart"/>
      <w:r>
        <w:rPr>
          <w:rFonts w:ascii="Times New Roman" w:eastAsia="Times New Roman" w:hAnsi="Times New Roman" w:cs="Times New Roman"/>
          <w:sz w:val="20"/>
          <w:szCs w:val="20"/>
        </w:rPr>
        <w:t>SmartMat</w:t>
      </w:r>
      <w:proofErr w:type="spellEnd"/>
      <w:r>
        <w:rPr>
          <w:rFonts w:ascii="Times New Roman" w:eastAsia="Times New Roman" w:hAnsi="Times New Roman" w:cs="Times New Roman"/>
          <w:sz w:val="20"/>
          <w:szCs w:val="20"/>
        </w:rPr>
        <w:t xml:space="preserve"> (6), 2025.</w:t>
      </w:r>
    </w:p>
    <w:p w14:paraId="482ACCB7" w14:textId="77777777" w:rsidR="002D3AC2" w:rsidRDefault="002D3AC2">
      <w:pPr>
        <w:spacing w:after="0" w:line="240" w:lineRule="auto"/>
        <w:ind w:firstLine="567"/>
        <w:jc w:val="both"/>
        <w:rPr>
          <w:sz w:val="20"/>
          <w:szCs w:val="20"/>
        </w:rPr>
      </w:pPr>
    </w:p>
    <w:sectPr w:rsidR="002D3AC2">
      <w:headerReference w:type="even" r:id="rId16"/>
      <w:headerReference w:type="default" r:id="rId17"/>
      <w:footerReference w:type="even" r:id="rId18"/>
      <w:footerReference w:type="default" r:id="rId19"/>
      <w:headerReference w:type="first" r:id="rId20"/>
      <w:footerReference w:type="first" r:id="rId21"/>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4E219" w14:textId="77777777" w:rsidR="00581E1D" w:rsidRDefault="00581E1D">
      <w:pPr>
        <w:spacing w:after="0" w:line="240" w:lineRule="auto"/>
      </w:pPr>
      <w:r>
        <w:separator/>
      </w:r>
    </w:p>
  </w:endnote>
  <w:endnote w:type="continuationSeparator" w:id="0">
    <w:p w14:paraId="49654510" w14:textId="77777777" w:rsidR="00581E1D" w:rsidRDefault="00581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7FDD5C8-6439-4FCE-9D2D-A9486F545931}"/>
    <w:embedBold r:id="rId2" w:fontKey="{0395D275-7699-4761-ADBC-D575B93A2802}"/>
    <w:embedItalic r:id="rId3" w:fontKey="{FD702D19-0918-45BF-BB9A-F0DE6D38170B}"/>
  </w:font>
  <w:font w:name="Cambria">
    <w:panose1 w:val="02040503050406030204"/>
    <w:charset w:val="00"/>
    <w:family w:val="roman"/>
    <w:pitch w:val="variable"/>
    <w:sig w:usb0="E00006FF" w:usb1="420024FF" w:usb2="02000000" w:usb3="00000000" w:csb0="0000019F" w:csb1="00000000"/>
    <w:embedRegular r:id="rId4" w:fontKey="{B478070B-5E67-4201-8142-1D21D6D852C4}"/>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5" w:fontKey="{779225A9-A6F8-4B9D-B7C1-381C016DD443}"/>
  </w:font>
  <w:font w:name="Tahoma">
    <w:panose1 w:val="020B0604030504040204"/>
    <w:charset w:val="00"/>
    <w:family w:val="swiss"/>
    <w:pitch w:val="variable"/>
    <w:sig w:usb0="E1002EFF" w:usb1="C000605B" w:usb2="00000029" w:usb3="00000000" w:csb0="000101FF" w:csb1="00000000"/>
    <w:embedRegular r:id="rId6" w:fontKey="{3F35F364-9C3A-4A21-B092-C04F5D01ABAA}"/>
  </w:font>
  <w:font w:name="Georgia">
    <w:panose1 w:val="02040502050405020303"/>
    <w:charset w:val="00"/>
    <w:family w:val="roman"/>
    <w:pitch w:val="variable"/>
    <w:sig w:usb0="00000287" w:usb1="00000000" w:usb2="00000000" w:usb3="00000000" w:csb0="0000009F" w:csb1="00000000"/>
    <w:embedItalic r:id="rId7" w:fontKey="{A2FE39C9-F816-4175-B804-C4A4AE24335C}"/>
  </w:font>
  <w:font w:name="Cambria Math">
    <w:panose1 w:val="02040503050406030204"/>
    <w:charset w:val="00"/>
    <w:family w:val="roman"/>
    <w:pitch w:val="variable"/>
    <w:sig w:usb0="E00006FF" w:usb1="420024FF" w:usb2="02000000" w:usb3="00000000" w:csb0="0000019F" w:csb1="00000000"/>
    <w:embedRegular r:id="rId8" w:fontKey="{94A5E523-E75A-4728-AB21-5DFE9A2A78C7}"/>
    <w:embedItalic r:id="rId9" w:fontKey="{79624E93-8FFC-4E3B-A005-1F43C95AE8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CC8" w14:textId="77777777" w:rsidR="002D3AC2" w:rsidRDefault="002800B1">
    <w:pPr>
      <w:pBdr>
        <w:top w:val="nil"/>
        <w:left w:val="nil"/>
        <w:bottom w:val="nil"/>
        <w:right w:val="nil"/>
        <w:between w:val="nil"/>
      </w:pBdr>
      <w:tabs>
        <w:tab w:val="center" w:pos="3600"/>
        <w:tab w:val="right" w:pos="7200"/>
      </w:tabs>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p>
  <w:p w14:paraId="482ACCC9" w14:textId="77777777" w:rsidR="002D3AC2" w:rsidRDefault="002D3AC2">
    <w:pPr>
      <w:pBdr>
        <w:top w:val="nil"/>
        <w:left w:val="nil"/>
        <w:bottom w:val="nil"/>
        <w:right w:val="nil"/>
        <w:between w:val="nil"/>
      </w:pBdr>
      <w:tabs>
        <w:tab w:val="center" w:pos="3600"/>
        <w:tab w:val="right" w:pos="720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CCA" w14:textId="05A0B020" w:rsidR="002D3AC2" w:rsidRDefault="002800B1">
    <w:pPr>
      <w:pBdr>
        <w:top w:val="nil"/>
        <w:left w:val="nil"/>
        <w:bottom w:val="nil"/>
        <w:right w:val="nil"/>
        <w:between w:val="nil"/>
      </w:pBdr>
      <w:tabs>
        <w:tab w:val="center" w:pos="3600"/>
        <w:tab w:val="right" w:pos="7200"/>
      </w:tabs>
      <w:jc w:val="right"/>
      <w:rPr>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662E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noProof/>
      </w:rPr>
      <w:drawing>
        <wp:anchor distT="0" distB="0" distL="114300" distR="114300" simplePos="0" relativeHeight="251661312" behindDoc="0" locked="0" layoutInCell="1" hidden="0" allowOverlap="1" wp14:anchorId="482ACCD2" wp14:editId="482ACCD3">
          <wp:simplePos x="0" y="0"/>
          <wp:positionH relativeFrom="column">
            <wp:posOffset>732789</wp:posOffset>
          </wp:positionH>
          <wp:positionV relativeFrom="paragraph">
            <wp:posOffset>-136626</wp:posOffset>
          </wp:positionV>
          <wp:extent cx="4293870" cy="735965"/>
          <wp:effectExtent l="0" t="0" r="0" b="0"/>
          <wp:wrapNone/>
          <wp:docPr id="16433559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14:paraId="482ACCCB" w14:textId="77777777" w:rsidR="002D3AC2" w:rsidRDefault="002D3AC2">
    <w:pPr>
      <w:pBdr>
        <w:top w:val="nil"/>
        <w:left w:val="nil"/>
        <w:bottom w:val="nil"/>
        <w:right w:val="nil"/>
        <w:between w:val="nil"/>
      </w:pBdr>
      <w:tabs>
        <w:tab w:val="center" w:pos="3600"/>
        <w:tab w:val="right" w:pos="7200"/>
      </w:tabs>
      <w:spacing w:after="0" w:line="240" w:lineRule="auto"/>
      <w:ind w:firstLine="567"/>
      <w:jc w:val="both"/>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CCD" w14:textId="77777777" w:rsidR="002D3AC2" w:rsidRDefault="002800B1">
    <w:pPr>
      <w:pBdr>
        <w:top w:val="nil"/>
        <w:left w:val="nil"/>
        <w:bottom w:val="nil"/>
        <w:right w:val="nil"/>
        <w:between w:val="nil"/>
      </w:pBdr>
      <w:tabs>
        <w:tab w:val="center" w:pos="3600"/>
        <w:tab w:val="right" w:pos="7200"/>
      </w:tabs>
      <w:spacing w:after="0" w:line="240" w:lineRule="auto"/>
      <w:ind w:firstLine="567"/>
      <w:jc w:val="center"/>
      <w:rPr>
        <w:rFonts w:ascii="Times New Roman" w:eastAsia="Times New Roman" w:hAnsi="Times New Roman" w:cs="Times New Roman"/>
        <w:color w:val="000000"/>
        <w:sz w:val="20"/>
        <w:szCs w:val="20"/>
      </w:rPr>
    </w:pPr>
    <w:r>
      <w:rPr>
        <w:noProof/>
      </w:rPr>
      <w:drawing>
        <wp:inline distT="0" distB="0" distL="0" distR="0" wp14:anchorId="482ACCD6" wp14:editId="482ACCD7">
          <wp:extent cx="4499610" cy="627380"/>
          <wp:effectExtent l="0" t="0" r="0" b="0"/>
          <wp:docPr id="1643355923" name="image8.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8.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6E517" w14:textId="77777777" w:rsidR="00581E1D" w:rsidRDefault="00581E1D">
      <w:pPr>
        <w:spacing w:after="0" w:line="240" w:lineRule="auto"/>
      </w:pPr>
      <w:r>
        <w:separator/>
      </w:r>
    </w:p>
  </w:footnote>
  <w:footnote w:type="continuationSeparator" w:id="0">
    <w:p w14:paraId="037B3758" w14:textId="77777777" w:rsidR="00581E1D" w:rsidRDefault="00581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CC6" w14:textId="77777777" w:rsidR="002D3AC2" w:rsidRDefault="002800B1">
    <w:pPr>
      <w:pBdr>
        <w:top w:val="nil"/>
        <w:left w:val="nil"/>
        <w:bottom w:val="nil"/>
        <w:right w:val="nil"/>
        <w:between w:val="nil"/>
      </w:pBdr>
      <w:tabs>
        <w:tab w:val="left" w:pos="2133"/>
        <w:tab w:val="center" w:pos="3600"/>
        <w:tab w:val="right" w:pos="7200"/>
        <w:tab w:val="right" w:pos="7088"/>
      </w:tabs>
      <w:spacing w:after="0" w:line="240" w:lineRule="auto"/>
      <w:jc w:val="both"/>
      <w:rPr>
        <w:rFonts w:ascii="Times New Roman" w:eastAsia="Times New Roman" w:hAnsi="Times New Roman" w:cs="Times New Roman"/>
        <w:i/>
        <w:iCs/>
        <w:color w:val="000000"/>
        <w:sz w:val="20"/>
        <w:szCs w:val="20"/>
      </w:rPr>
    </w:pPr>
    <w:r>
      <w:rPr>
        <w:noProof/>
      </w:rPr>
      <w:drawing>
        <wp:anchor distT="0" distB="0" distL="0" distR="0" simplePos="0" relativeHeight="251660288" behindDoc="0" locked="0" layoutInCell="1" hidden="0" allowOverlap="1" wp14:anchorId="482ACCCE" wp14:editId="482ACCCF">
          <wp:simplePos x="0" y="0"/>
          <wp:positionH relativeFrom="column">
            <wp:posOffset>-917361</wp:posOffset>
          </wp:positionH>
          <wp:positionV relativeFrom="paragraph">
            <wp:posOffset>-1071667</wp:posOffset>
          </wp:positionV>
          <wp:extent cx="7599638" cy="1439662"/>
          <wp:effectExtent l="0" t="0" r="0" b="0"/>
          <wp:wrapSquare wrapText="bothSides" distT="0" distB="0" distL="0" distR="0"/>
          <wp:docPr id="1643355920" name="image9.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9.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CC7" w14:textId="77777777" w:rsidR="002D3AC2" w:rsidRDefault="002800B1">
    <w:pPr>
      <w:pBdr>
        <w:top w:val="nil"/>
        <w:left w:val="nil"/>
        <w:bottom w:val="nil"/>
        <w:right w:val="nil"/>
        <w:between w:val="nil"/>
      </w:pBdr>
      <w:tabs>
        <w:tab w:val="center" w:pos="3600"/>
        <w:tab w:val="right" w:pos="7200"/>
        <w:tab w:val="right" w:pos="708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8240" behindDoc="0" locked="0" layoutInCell="1" hidden="0" allowOverlap="1" wp14:anchorId="482ACCD0" wp14:editId="482ACCD1">
          <wp:simplePos x="0" y="0"/>
          <wp:positionH relativeFrom="margin">
            <wp:posOffset>-920749</wp:posOffset>
          </wp:positionH>
          <wp:positionV relativeFrom="topMargin">
            <wp:posOffset>-840</wp:posOffset>
          </wp:positionV>
          <wp:extent cx="7596505" cy="1432560"/>
          <wp:effectExtent l="0" t="0" r="0" b="0"/>
          <wp:wrapSquare wrapText="bothSides" distT="0" distB="0" distL="114300" distR="114300"/>
          <wp:docPr id="16433559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CCC" w14:textId="77777777" w:rsidR="002D3AC2" w:rsidRDefault="002800B1">
    <w:pPr>
      <w:tabs>
        <w:tab w:val="right" w:pos="7086"/>
      </w:tabs>
      <w:spacing w:after="0" w:line="240" w:lineRule="auto"/>
      <w:jc w:val="right"/>
      <w:rPr>
        <w:rFonts w:ascii="Times New Roman" w:eastAsia="Times New Roman" w:hAnsi="Times New Roman" w:cs="Times New Roman"/>
        <w:b/>
        <w:bCs/>
      </w:rPr>
    </w:pPr>
    <w:r>
      <w:rPr>
        <w:noProof/>
      </w:rPr>
      <w:drawing>
        <wp:anchor distT="0" distB="0" distL="114300" distR="114300" simplePos="0" relativeHeight="251659264" behindDoc="0" locked="0" layoutInCell="1" hidden="0" allowOverlap="1" wp14:anchorId="482ACCD4" wp14:editId="482ACCD5">
          <wp:simplePos x="0" y="0"/>
          <wp:positionH relativeFrom="column">
            <wp:posOffset>-900429</wp:posOffset>
          </wp:positionH>
          <wp:positionV relativeFrom="paragraph">
            <wp:posOffset>-1080134</wp:posOffset>
          </wp:positionV>
          <wp:extent cx="7596505" cy="1432560"/>
          <wp:effectExtent l="0" t="0" r="0" b="0"/>
          <wp:wrapSquare wrapText="bothSides" distT="0" distB="0" distL="114300" distR="114300"/>
          <wp:docPr id="16433559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B0915"/>
    <w:multiLevelType w:val="multilevel"/>
    <w:tmpl w:val="35AE9A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CE32931"/>
    <w:multiLevelType w:val="multilevel"/>
    <w:tmpl w:val="1E1C57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59B6360"/>
    <w:multiLevelType w:val="multilevel"/>
    <w:tmpl w:val="693472EE"/>
    <w:lvl w:ilvl="0">
      <w:start w:val="1"/>
      <w:numFmt w:val="decimal"/>
      <w:lvlText w:val="%1."/>
      <w:lvlJc w:val="left"/>
      <w:pPr>
        <w:ind w:left="927" w:hanging="360"/>
      </w:pPr>
    </w:lvl>
    <w:lvl w:ilvl="1">
      <w:start w:val="1"/>
      <w:numFmt w:val="lowerLetter"/>
      <w:pStyle w:val="Els-1storder-head"/>
      <w:lvlText w:val="%2."/>
      <w:lvlJc w:val="left"/>
      <w:pPr>
        <w:ind w:left="1647" w:hanging="360"/>
      </w:pPr>
    </w:lvl>
    <w:lvl w:ilvl="2">
      <w:start w:val="1"/>
      <w:numFmt w:val="lowerRoman"/>
      <w:pStyle w:val="Els-2ndorder-head"/>
      <w:lvlText w:val="%3."/>
      <w:lvlJc w:val="right"/>
      <w:pPr>
        <w:ind w:left="2367" w:hanging="180"/>
      </w:pPr>
    </w:lvl>
    <w:lvl w:ilvl="3">
      <w:start w:val="1"/>
      <w:numFmt w:val="decimal"/>
      <w:pStyle w:val="Els-3rdorder-head"/>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626D3F83"/>
    <w:multiLevelType w:val="multilevel"/>
    <w:tmpl w:val="689A3B60"/>
    <w:lvl w:ilvl="0">
      <w:start w:val="1"/>
      <w:numFmt w:val="decimal"/>
      <w:pStyle w:val="Els-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01737871">
    <w:abstractNumId w:val="1"/>
  </w:num>
  <w:num w:numId="2" w16cid:durableId="1733239158">
    <w:abstractNumId w:val="0"/>
  </w:num>
  <w:num w:numId="3" w16cid:durableId="2071339876">
    <w:abstractNumId w:val="2"/>
  </w:num>
  <w:num w:numId="4" w16cid:durableId="24001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AC2"/>
    <w:rsid w:val="00070AF4"/>
    <w:rsid w:val="00070F68"/>
    <w:rsid w:val="00147CB5"/>
    <w:rsid w:val="001C4774"/>
    <w:rsid w:val="00241B34"/>
    <w:rsid w:val="002800B1"/>
    <w:rsid w:val="002D3AC2"/>
    <w:rsid w:val="002F6616"/>
    <w:rsid w:val="00323E53"/>
    <w:rsid w:val="00343302"/>
    <w:rsid w:val="003620C3"/>
    <w:rsid w:val="003660D7"/>
    <w:rsid w:val="003B01B5"/>
    <w:rsid w:val="00424D9B"/>
    <w:rsid w:val="004F3AB8"/>
    <w:rsid w:val="00581E1D"/>
    <w:rsid w:val="00583E19"/>
    <w:rsid w:val="006805A6"/>
    <w:rsid w:val="00692143"/>
    <w:rsid w:val="0072593E"/>
    <w:rsid w:val="0081339F"/>
    <w:rsid w:val="00814CC8"/>
    <w:rsid w:val="009306DD"/>
    <w:rsid w:val="00936B1B"/>
    <w:rsid w:val="009C1179"/>
    <w:rsid w:val="009D2B35"/>
    <w:rsid w:val="009D34EA"/>
    <w:rsid w:val="00A662E4"/>
    <w:rsid w:val="00A91A5C"/>
    <w:rsid w:val="00B42411"/>
    <w:rsid w:val="00C80946"/>
    <w:rsid w:val="00D37F8B"/>
    <w:rsid w:val="00D70C47"/>
    <w:rsid w:val="00E01910"/>
    <w:rsid w:val="00ED2A75"/>
    <w:rsid w:val="00F91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CC10"/>
  <w15:docId w15:val="{A69F1970-FC0E-4E5A-A2AD-3641225A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Legenda">
    <w:name w:val="caption"/>
    <w:basedOn w:val="Els-caption"/>
    <w:next w:val="Els-caption"/>
    <w:qFormat/>
    <w:rsid w:val="008B0184"/>
  </w:style>
  <w:style w:type="paragraph" w:customStyle="1" w:styleId="Els-caption">
    <w:name w:val="Els-caption"/>
    <w:rsid w:val="008B0184"/>
    <w:pPr>
      <w:keepLines/>
      <w:spacing w:before="100" w:after="120"/>
    </w:pPr>
    <w:rPr>
      <w:sz w:val="18"/>
      <w:lang w:val="en-US"/>
    </w:rPr>
  </w:style>
  <w:style w:type="paragraph" w:customStyle="1" w:styleId="Els-1storder-head">
    <w:name w:val="Els-1storder-head"/>
    <w:basedOn w:val="Els-body-text"/>
    <w:next w:val="Els-body-text"/>
    <w:rsid w:val="008B0184"/>
    <w:pPr>
      <w:keepNext/>
      <w:numPr>
        <w:ilvl w:val="1"/>
        <w:numId w:val="3"/>
      </w:numPr>
      <w:suppressAutoHyphens/>
      <w:spacing w:before="240" w:after="60" w:line="240" w:lineRule="exact"/>
    </w:pPr>
    <w:rPr>
      <w:b/>
      <w:sz w:val="22"/>
    </w:rPr>
  </w:style>
  <w:style w:type="paragraph" w:customStyle="1" w:styleId="Els-body-text">
    <w:name w:val="Els-body-text"/>
    <w:rsid w:val="008B0184"/>
    <w:rPr>
      <w:lang w:val="en-US"/>
    </w:rPr>
  </w:style>
  <w:style w:type="paragraph" w:customStyle="1" w:styleId="Els-2ndorder-head">
    <w:name w:val="Els-2ndorder-head"/>
    <w:basedOn w:val="Els-body-text"/>
    <w:next w:val="Els-body-text"/>
    <w:rsid w:val="008B0184"/>
    <w:pPr>
      <w:keepNext/>
      <w:numPr>
        <w:ilvl w:val="2"/>
        <w:numId w:val="3"/>
      </w:numPr>
      <w:suppressAutoHyphens/>
      <w:spacing w:before="80"/>
    </w:pPr>
    <w:rPr>
      <w:i/>
    </w:rPr>
  </w:style>
  <w:style w:type="paragraph" w:customStyle="1" w:styleId="Els-3rdorder-head">
    <w:name w:val="Els-3rdorder-head"/>
    <w:basedOn w:val="Els-body-text"/>
    <w:next w:val="Els-body-text"/>
    <w:rsid w:val="008B0184"/>
    <w:pPr>
      <w:keepNext/>
      <w:numPr>
        <w:ilvl w:val="3"/>
        <w:numId w:val="3"/>
      </w:numPr>
      <w:suppressAutoHyphens/>
      <w:spacing w:before="60"/>
    </w:pPr>
    <w:rPr>
      <w:i/>
    </w:rPr>
  </w:style>
  <w:style w:type="paragraph" w:customStyle="1" w:styleId="Els-Affiliation">
    <w:name w:val="Els-Affiliation"/>
    <w:rsid w:val="008B0184"/>
    <w:pPr>
      <w:suppressAutoHyphens/>
      <w:spacing w:line="240" w:lineRule="exact"/>
    </w:pPr>
    <w:rPr>
      <w:i/>
      <w:noProof/>
    </w:rPr>
  </w:style>
  <w:style w:type="paragraph" w:customStyle="1" w:styleId="Els-Author">
    <w:name w:val="Els-Author"/>
    <w:next w:val="Els-Affiliation"/>
    <w:rsid w:val="008B0184"/>
    <w:pPr>
      <w:keepNext/>
      <w:suppressAutoHyphens/>
      <w:spacing w:after="60" w:line="310" w:lineRule="exact"/>
    </w:pPr>
    <w:rPr>
      <w:noProof/>
      <w:sz w:val="22"/>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4"/>
      </w:numPr>
      <w:ind w:left="482"/>
    </w:pPr>
    <w:rPr>
      <w:noProof/>
      <w:sz w:val="18"/>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rPr>
  </w:style>
  <w:style w:type="paragraph" w:customStyle="1" w:styleId="Els-Title">
    <w:name w:val="Els-Title"/>
    <w:next w:val="Els-Author"/>
    <w:rsid w:val="008B0184"/>
    <w:pPr>
      <w:suppressAutoHyphens/>
      <w:spacing w:before="240" w:after="120" w:line="360" w:lineRule="exact"/>
    </w:pPr>
    <w:rPr>
      <w:b/>
      <w:sz w:val="32"/>
      <w:lang w:val="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684389"/>
    <w:rPr>
      <w:rFonts w:asciiTheme="minorHAnsi" w:eastAsiaTheme="minorHAnsi" w:hAnsiTheme="minorHAnsi" w:cstheme="minorBidi"/>
      <w:sz w:val="22"/>
      <w:szCs w:val="22"/>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rPr>
      <w:rFonts w:ascii="Times New Roman" w:eastAsia="Times New Roman" w:hAnsi="Times New Roman" w:cs="Times New Roman"/>
    </w:r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paragraph" w:styleId="PargrafodaLista">
    <w:name w:val="List Paragraph"/>
    <w:basedOn w:val="Normal"/>
    <w:uiPriority w:val="34"/>
    <w:qFormat/>
    <w:rsid w:val="00FF1DDE"/>
    <w:pPr>
      <w:ind w:left="720"/>
      <w:contextualSpacing/>
    </w:pPr>
  </w:style>
  <w:style w:type="paragraph" w:styleId="NormalWeb">
    <w:name w:val="Normal (Web)"/>
    <w:basedOn w:val="Normal"/>
    <w:uiPriority w:val="99"/>
    <w:semiHidden/>
    <w:unhideWhenUsed/>
    <w:rsid w:val="00857F11"/>
    <w:pPr>
      <w:spacing w:before="100" w:beforeAutospacing="1" w:after="100" w:afterAutospacing="1" w:line="240" w:lineRule="auto"/>
    </w:pPr>
    <w:rPr>
      <w:rFonts w:ascii="Times New Roman" w:eastAsia="Times New Roman" w:hAnsi="Times New Roman" w:cs="Times New Roman"/>
      <w:lang w:val="en-US"/>
    </w:rPr>
  </w:style>
  <w:style w:type="character" w:styleId="MenoPendente">
    <w:name w:val="Unresolved Mention"/>
    <w:basedOn w:val="Fontepargpadro"/>
    <w:uiPriority w:val="99"/>
    <w:semiHidden/>
    <w:unhideWhenUsed/>
    <w:rsid w:val="00DA5A8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02/adma.202413695"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hVzkgBQ6z0g/z6Vjr7NPpDq8A==">CgMxLjAaHwoBMBIaChgICVIUChJ0YWJsZS5kMzF1MTRzcW13cTkaHwoBMRIaChgICVIUChJ0YWJsZS40NnZnZG5wa2dsM2QyDmgucTJxMTBvd3lucjQxOAByITEzaTRvX3Z1N1d0OHA3ZzVPNlBLaFlDcEJLZHJmLXNjcw==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2528</Words>
  <Characters>14415</Characters>
  <Application>Microsoft Office Word</Application>
  <DocSecurity>0</DocSecurity>
  <Lines>120</Lines>
  <Paragraphs>33</Paragraphs>
  <ScaleCrop>false</ScaleCrop>
  <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Alexandre Euricio</cp:lastModifiedBy>
  <cp:revision>26</cp:revision>
  <dcterms:created xsi:type="dcterms:W3CDTF">2026-03-04T17:47:00Z</dcterms:created>
  <dcterms:modified xsi:type="dcterms:W3CDTF">2026-03-26T12:12:00Z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