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5DED3" w14:textId="47E48137" w:rsidR="00833B0B" w:rsidRDefault="001B5572">
      <w:pPr>
        <w:pBdr>
          <w:top w:val="nil"/>
          <w:left w:val="nil"/>
          <w:bottom w:val="nil"/>
          <w:right w:val="nil"/>
          <w:between w:val="nil"/>
        </w:pBdr>
        <w:spacing w:before="240" w:after="12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Determinação do Teor de Biodiesel em </w:t>
      </w:r>
      <w:r w:rsidR="005F00DA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Misturas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Diesel</w:t>
      </w:r>
      <w:r w:rsidR="005F00DA">
        <w:rPr>
          <w:rFonts w:ascii="Times New Roman" w:eastAsia="Times New Roman" w:hAnsi="Times New Roman" w:cs="Times New Roman"/>
          <w:b/>
          <w:bCs/>
          <w:sz w:val="32"/>
          <w:szCs w:val="32"/>
        </w:rPr>
        <w:t>/Biodiesel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por Espectroscopia NIR portátil: Avaliação Comparativa entre </w:t>
      </w:r>
      <w:r w:rsidR="005F00DA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Regressão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PLS e Redes Neurais </w:t>
      </w:r>
    </w:p>
    <w:p w14:paraId="5611F43B" w14:textId="77777777" w:rsidR="00833B0B" w:rsidRDefault="001B5572">
      <w:pPr>
        <w:keepNext/>
        <w:pBdr>
          <w:top w:val="nil"/>
          <w:left w:val="nil"/>
          <w:bottom w:val="nil"/>
          <w:right w:val="nil"/>
          <w:between w:val="nil"/>
        </w:pBdr>
        <w:spacing w:after="60" w:line="310" w:lineRule="auto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Heloísa Vitória Rodrigues da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Silva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Fábio Machado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Cavalcanti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>b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</w:t>
      </w:r>
      <w:r>
        <w:rPr>
          <w:rFonts w:ascii="Times New Roman" w:eastAsia="Times New Roman" w:hAnsi="Times New Roman" w:cs="Times New Roman"/>
          <w:sz w:val="22"/>
          <w:szCs w:val="22"/>
        </w:rPr>
        <w:t>Fernanda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de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Araújo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Honorato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>a</w:t>
      </w:r>
      <w:proofErr w:type="spellEnd"/>
    </w:p>
    <w:p w14:paraId="09D36264" w14:textId="77777777" w:rsidR="00833B0B" w:rsidRDefault="001B55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superscript"/>
        </w:rPr>
        <w:t>a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Departamento</w:t>
      </w:r>
      <w:proofErr w:type="spellEnd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de Engenharia Química, Centro de Tecnologia e Geociências, Instituto de Pesquisa em Petróleo e Energia (i-LITPEG), Laboratório de Combustíveis (LAC), Universidade Federal de Pernambuco (UFPE), Recife – PE, Brasil</w:t>
      </w:r>
    </w:p>
    <w:p w14:paraId="0D723979" w14:textId="77777777" w:rsidR="00833B0B" w:rsidRDefault="001B55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superscript"/>
        </w:rPr>
        <w:t>b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Departamento</w:t>
      </w:r>
      <w:proofErr w:type="spellEnd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de Engenharia Química, Centro de Tecnologia e Geociências, Instituto de Pesquisa em Petróleo e Energia (i-LITPEG), Laboratório de Refino e Tecnologias Limpas (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LabRefino</w:t>
      </w:r>
      <w:proofErr w:type="spellEnd"/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/LATECLIM), Universidade Federal de Pernambuco (UFPE), Recife – PE, Brasil</w:t>
      </w:r>
    </w:p>
    <w:p w14:paraId="721391B3" w14:textId="77777777" w:rsidR="00833B0B" w:rsidRDefault="001B55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*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eloisa.vitoria@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ufpe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.br</w:t>
      </w:r>
    </w:p>
    <w:p w14:paraId="73C96973" w14:textId="77777777" w:rsidR="00833B0B" w:rsidRDefault="001B5572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RESUMO</w:t>
      </w:r>
    </w:p>
    <w:p w14:paraId="41181488" w14:textId="7282680E" w:rsidR="00E97DAD" w:rsidRPr="00E97DAD" w:rsidRDefault="00E97DAD" w:rsidP="00E97DAD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97DAD">
        <w:rPr>
          <w:rFonts w:ascii="Times New Roman" w:eastAsia="Times New Roman" w:hAnsi="Times New Roman" w:cs="Times New Roman"/>
          <w:sz w:val="20"/>
          <w:szCs w:val="20"/>
        </w:rPr>
        <w:t>O aumento da participação do biodiesel na matriz energética brasileira torna essencial o desenvolvimento de métodos analíticos rápidos, confiáveis e aplicáveis em campo para o monitoramento da qualidade d</w:t>
      </w:r>
      <w:r w:rsidR="00FC39F5">
        <w:rPr>
          <w:rFonts w:ascii="Times New Roman" w:eastAsia="Times New Roman" w:hAnsi="Times New Roman" w:cs="Times New Roman"/>
          <w:sz w:val="20"/>
          <w:szCs w:val="20"/>
        </w:rPr>
        <w:t>os</w:t>
      </w:r>
      <w:r w:rsidRPr="00E97DAD">
        <w:rPr>
          <w:rFonts w:ascii="Times New Roman" w:eastAsia="Times New Roman" w:hAnsi="Times New Roman" w:cs="Times New Roman"/>
          <w:sz w:val="20"/>
          <w:szCs w:val="20"/>
        </w:rPr>
        <w:t xml:space="preserve"> combustíveis. Nesse contexto, a espectroscopia no infravermelho próximo (NIR</w:t>
      </w:r>
      <w:r w:rsidR="00FC39F5">
        <w:rPr>
          <w:rFonts w:ascii="Times New Roman" w:eastAsia="Times New Roman" w:hAnsi="Times New Roman" w:cs="Times New Roman"/>
          <w:sz w:val="20"/>
          <w:szCs w:val="20"/>
        </w:rPr>
        <w:t xml:space="preserve">) utilizando dispositivo </w:t>
      </w:r>
      <w:r w:rsidRPr="00E97DAD">
        <w:rPr>
          <w:rFonts w:ascii="Times New Roman" w:eastAsia="Times New Roman" w:hAnsi="Times New Roman" w:cs="Times New Roman"/>
          <w:sz w:val="20"/>
          <w:szCs w:val="20"/>
        </w:rPr>
        <w:t>portátil, d</w:t>
      </w:r>
      <w:r w:rsidR="00DB33F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E97DAD">
        <w:rPr>
          <w:rFonts w:ascii="Times New Roman" w:eastAsia="Times New Roman" w:hAnsi="Times New Roman" w:cs="Times New Roman"/>
          <w:sz w:val="20"/>
          <w:szCs w:val="20"/>
        </w:rPr>
        <w:t xml:space="preserve">staca-se como uma alternativa promissora devido à </w:t>
      </w:r>
      <w:r w:rsidR="00FC39F5">
        <w:rPr>
          <w:rFonts w:ascii="Times New Roman" w:eastAsia="Times New Roman" w:hAnsi="Times New Roman" w:cs="Times New Roman"/>
          <w:sz w:val="20"/>
          <w:szCs w:val="20"/>
        </w:rPr>
        <w:t>velocidade analítica,</w:t>
      </w:r>
      <w:r w:rsidRPr="00E97DA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C39F5">
        <w:rPr>
          <w:rFonts w:ascii="Times New Roman" w:eastAsia="Times New Roman" w:hAnsi="Times New Roman" w:cs="Times New Roman"/>
          <w:sz w:val="20"/>
          <w:szCs w:val="20"/>
        </w:rPr>
        <w:t xml:space="preserve">baixo consumo de amostra, a análise é não destrutiva </w:t>
      </w:r>
      <w:r w:rsidRPr="00E97DAD">
        <w:rPr>
          <w:rFonts w:ascii="Times New Roman" w:eastAsia="Times New Roman" w:hAnsi="Times New Roman" w:cs="Times New Roman"/>
          <w:sz w:val="20"/>
          <w:szCs w:val="20"/>
        </w:rPr>
        <w:t xml:space="preserve">e possibilidade de aplicação </w:t>
      </w:r>
      <w:r w:rsidRPr="00E97DAD">
        <w:rPr>
          <w:rFonts w:ascii="Times New Roman" w:eastAsia="Times New Roman" w:hAnsi="Times New Roman" w:cs="Times New Roman"/>
          <w:i/>
          <w:iCs/>
          <w:sz w:val="20"/>
          <w:szCs w:val="20"/>
        </w:rPr>
        <w:t>in situ</w:t>
      </w:r>
      <w:r w:rsidRPr="00E97DAD">
        <w:rPr>
          <w:rFonts w:ascii="Times New Roman" w:eastAsia="Times New Roman" w:hAnsi="Times New Roman" w:cs="Times New Roman"/>
          <w:sz w:val="20"/>
          <w:szCs w:val="20"/>
        </w:rPr>
        <w:t xml:space="preserve">. Assim, este trabalho propõe a aplicação de redes neurais artificiais (RNA) para a predição do teor de biodiesel em misturas diesel/biodiesel, realizando uma comparação com o modelo de mínimos quadrados parciais (PLS), amplamente empregado </w:t>
      </w:r>
      <w:r w:rsidR="00FC39F5">
        <w:rPr>
          <w:rFonts w:ascii="Times New Roman" w:eastAsia="Times New Roman" w:hAnsi="Times New Roman" w:cs="Times New Roman"/>
          <w:sz w:val="20"/>
          <w:szCs w:val="20"/>
        </w:rPr>
        <w:t xml:space="preserve">para quantificação utilizando dados espectrais </w:t>
      </w:r>
      <w:r w:rsidRPr="00E97DAD">
        <w:rPr>
          <w:rFonts w:ascii="Times New Roman" w:eastAsia="Times New Roman" w:hAnsi="Times New Roman" w:cs="Times New Roman"/>
          <w:sz w:val="20"/>
          <w:szCs w:val="20"/>
        </w:rPr>
        <w:t xml:space="preserve">NIR. Misturas contendo 2–22% (v/v) de biodiesel foram analisadas na faixa espectral de 900–1650 </w:t>
      </w:r>
      <w:proofErr w:type="spellStart"/>
      <w:r w:rsidRPr="00E97DAD">
        <w:rPr>
          <w:rFonts w:ascii="Times New Roman" w:eastAsia="Times New Roman" w:hAnsi="Times New Roman" w:cs="Times New Roman"/>
          <w:sz w:val="20"/>
          <w:szCs w:val="20"/>
        </w:rPr>
        <w:t>nm</w:t>
      </w:r>
      <w:proofErr w:type="spellEnd"/>
      <w:r w:rsidRPr="00E97DAD">
        <w:rPr>
          <w:rFonts w:ascii="Times New Roman" w:eastAsia="Times New Roman" w:hAnsi="Times New Roman" w:cs="Times New Roman"/>
          <w:sz w:val="20"/>
          <w:szCs w:val="20"/>
        </w:rPr>
        <w:t xml:space="preserve">, com os espectros submetidos aos pré-processamentos Standard Normal </w:t>
      </w:r>
      <w:proofErr w:type="spellStart"/>
      <w:r w:rsidRPr="00E97DAD">
        <w:rPr>
          <w:rFonts w:ascii="Times New Roman" w:eastAsia="Times New Roman" w:hAnsi="Times New Roman" w:cs="Times New Roman"/>
          <w:sz w:val="20"/>
          <w:szCs w:val="20"/>
        </w:rPr>
        <w:t>Variate</w:t>
      </w:r>
      <w:proofErr w:type="spellEnd"/>
      <w:r w:rsidRPr="00E97DAD">
        <w:rPr>
          <w:rFonts w:ascii="Times New Roman" w:eastAsia="Times New Roman" w:hAnsi="Times New Roman" w:cs="Times New Roman"/>
          <w:sz w:val="20"/>
          <w:szCs w:val="20"/>
        </w:rPr>
        <w:t xml:space="preserve"> (SNV) e suavização por </w:t>
      </w:r>
      <w:proofErr w:type="spellStart"/>
      <w:r w:rsidRPr="00E97DAD">
        <w:rPr>
          <w:rFonts w:ascii="Times New Roman" w:eastAsia="Times New Roman" w:hAnsi="Times New Roman" w:cs="Times New Roman"/>
          <w:sz w:val="20"/>
          <w:szCs w:val="20"/>
        </w:rPr>
        <w:t>Savitzky</w:t>
      </w:r>
      <w:proofErr w:type="spellEnd"/>
      <w:r w:rsidRPr="00E97DAD">
        <w:rPr>
          <w:rFonts w:ascii="Times New Roman" w:eastAsia="Times New Roman" w:hAnsi="Times New Roman" w:cs="Times New Roman"/>
          <w:sz w:val="20"/>
          <w:szCs w:val="20"/>
        </w:rPr>
        <w:t>–</w:t>
      </w:r>
      <w:proofErr w:type="spellStart"/>
      <w:r w:rsidRPr="00E97DAD">
        <w:rPr>
          <w:rFonts w:ascii="Times New Roman" w:eastAsia="Times New Roman" w:hAnsi="Times New Roman" w:cs="Times New Roman"/>
          <w:sz w:val="20"/>
          <w:szCs w:val="20"/>
        </w:rPr>
        <w:t>Golay</w:t>
      </w:r>
      <w:proofErr w:type="spellEnd"/>
      <w:r w:rsidRPr="00E97DAD">
        <w:rPr>
          <w:rFonts w:ascii="Times New Roman" w:eastAsia="Times New Roman" w:hAnsi="Times New Roman" w:cs="Times New Roman"/>
          <w:sz w:val="20"/>
          <w:szCs w:val="20"/>
        </w:rPr>
        <w:t xml:space="preserve">, visando minimizar efeitos de espalhamento e ruídos instrumentais. </w:t>
      </w:r>
      <w:r w:rsidR="00FC39F5">
        <w:rPr>
          <w:rFonts w:ascii="Times New Roman" w:eastAsia="Times New Roman" w:hAnsi="Times New Roman" w:cs="Times New Roman"/>
          <w:sz w:val="20"/>
          <w:szCs w:val="20"/>
        </w:rPr>
        <w:t>Uma</w:t>
      </w:r>
      <w:r w:rsidRPr="00E97DAD">
        <w:rPr>
          <w:rFonts w:ascii="Times New Roman" w:eastAsia="Times New Roman" w:hAnsi="Times New Roman" w:cs="Times New Roman"/>
          <w:sz w:val="20"/>
          <w:szCs w:val="20"/>
        </w:rPr>
        <w:t xml:space="preserve"> análise exploratória dos dados foi realizada por análise de componentes principais (PCA), permitindo identificar tendências e possíveis amostras </w:t>
      </w:r>
      <w:r w:rsidR="00FC39F5" w:rsidRPr="006A4433">
        <w:rPr>
          <w:rFonts w:ascii="Times New Roman" w:eastAsia="Times New Roman" w:hAnsi="Times New Roman" w:cs="Times New Roman"/>
          <w:i/>
          <w:iCs/>
          <w:sz w:val="20"/>
          <w:szCs w:val="20"/>
        </w:rPr>
        <w:t>outliers</w:t>
      </w:r>
      <w:r w:rsidRPr="00E97DAD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FC39F5">
        <w:rPr>
          <w:rFonts w:ascii="Times New Roman" w:eastAsia="Times New Roman" w:hAnsi="Times New Roman" w:cs="Times New Roman"/>
          <w:sz w:val="20"/>
          <w:szCs w:val="20"/>
        </w:rPr>
        <w:t>Para a construção dos modelos PLS e RN</w:t>
      </w:r>
      <w:r w:rsidR="006A4433">
        <w:rPr>
          <w:rFonts w:ascii="Times New Roman" w:eastAsia="Times New Roman" w:hAnsi="Times New Roman" w:cs="Times New Roman"/>
          <w:sz w:val="20"/>
          <w:szCs w:val="20"/>
        </w:rPr>
        <w:t>A</w:t>
      </w:r>
      <w:r w:rsidR="00FC39F5">
        <w:rPr>
          <w:rFonts w:ascii="Times New Roman" w:eastAsia="Times New Roman" w:hAnsi="Times New Roman" w:cs="Times New Roman"/>
          <w:sz w:val="20"/>
          <w:szCs w:val="20"/>
        </w:rPr>
        <w:t>, as</w:t>
      </w:r>
      <w:r w:rsidRPr="00E97DAD">
        <w:rPr>
          <w:rFonts w:ascii="Times New Roman" w:eastAsia="Times New Roman" w:hAnsi="Times New Roman" w:cs="Times New Roman"/>
          <w:sz w:val="20"/>
          <w:szCs w:val="20"/>
        </w:rPr>
        <w:t xml:space="preserve"> amostras </w:t>
      </w:r>
      <w:r w:rsidR="00FC39F5">
        <w:rPr>
          <w:rFonts w:ascii="Times New Roman" w:eastAsia="Times New Roman" w:hAnsi="Times New Roman" w:cs="Times New Roman"/>
          <w:sz w:val="20"/>
          <w:szCs w:val="20"/>
        </w:rPr>
        <w:t xml:space="preserve">foram divididas </w:t>
      </w:r>
      <w:r w:rsidRPr="00E97DAD">
        <w:rPr>
          <w:rFonts w:ascii="Times New Roman" w:eastAsia="Times New Roman" w:hAnsi="Times New Roman" w:cs="Times New Roman"/>
          <w:sz w:val="20"/>
          <w:szCs w:val="20"/>
        </w:rPr>
        <w:t xml:space="preserve">em conjunto de calibração (70%) e validação (30%). Para o PLS, empregou-se o algoritmo </w:t>
      </w:r>
      <w:proofErr w:type="spellStart"/>
      <w:r w:rsidRPr="00E97DAD">
        <w:rPr>
          <w:rFonts w:ascii="Times New Roman" w:eastAsia="Times New Roman" w:hAnsi="Times New Roman" w:cs="Times New Roman"/>
          <w:sz w:val="20"/>
          <w:szCs w:val="20"/>
        </w:rPr>
        <w:t>Onion</w:t>
      </w:r>
      <w:proofErr w:type="spellEnd"/>
      <w:r w:rsidRPr="00E97DAD">
        <w:rPr>
          <w:rFonts w:ascii="Times New Roman" w:eastAsia="Times New Roman" w:hAnsi="Times New Roman" w:cs="Times New Roman"/>
          <w:sz w:val="20"/>
          <w:szCs w:val="20"/>
        </w:rPr>
        <w:t>, enquanto para as RNA utilizou-se o algoritmo SPXY, garantindo representatividade adequada das amostras</w:t>
      </w:r>
      <w:r w:rsidR="009E0FDB">
        <w:rPr>
          <w:rFonts w:ascii="Times New Roman" w:eastAsia="Times New Roman" w:hAnsi="Times New Roman" w:cs="Times New Roman"/>
          <w:sz w:val="20"/>
          <w:szCs w:val="20"/>
        </w:rPr>
        <w:t xml:space="preserve"> em ambos os conjuntos</w:t>
      </w:r>
      <w:r w:rsidRPr="00E97DAD">
        <w:rPr>
          <w:rFonts w:ascii="Times New Roman" w:eastAsia="Times New Roman" w:hAnsi="Times New Roman" w:cs="Times New Roman"/>
          <w:sz w:val="20"/>
          <w:szCs w:val="20"/>
        </w:rPr>
        <w:t xml:space="preserve">. O modelo PLS foi desenvolvido utilizando centragem na média dos dados espectrais e validação cruzada do tipo </w:t>
      </w:r>
      <w:proofErr w:type="spellStart"/>
      <w:r w:rsidRPr="006A4433">
        <w:rPr>
          <w:rFonts w:ascii="Times New Roman" w:eastAsia="Times New Roman" w:hAnsi="Times New Roman" w:cs="Times New Roman"/>
          <w:i/>
          <w:iCs/>
          <w:sz w:val="20"/>
          <w:szCs w:val="20"/>
        </w:rPr>
        <w:t>Venetian</w:t>
      </w:r>
      <w:proofErr w:type="spellEnd"/>
      <w:r w:rsidRPr="006A4433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6A4433">
        <w:rPr>
          <w:rFonts w:ascii="Times New Roman" w:eastAsia="Times New Roman" w:hAnsi="Times New Roman" w:cs="Times New Roman"/>
          <w:i/>
          <w:iCs/>
          <w:sz w:val="20"/>
          <w:szCs w:val="20"/>
        </w:rPr>
        <w:t>Blinds</w:t>
      </w:r>
      <w:proofErr w:type="spellEnd"/>
      <w:r w:rsidRPr="00E97DAD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DB33F5" w:rsidRPr="00DB33F5">
        <w:rPr>
          <w:rFonts w:ascii="Times New Roman" w:eastAsia="Times New Roman" w:hAnsi="Times New Roman" w:cs="Times New Roman"/>
          <w:sz w:val="20"/>
          <w:szCs w:val="20"/>
        </w:rPr>
        <w:t>Enquanto que</w:t>
      </w:r>
      <w:r w:rsidRPr="00E97DAD">
        <w:rPr>
          <w:rFonts w:ascii="Times New Roman" w:eastAsia="Times New Roman" w:hAnsi="Times New Roman" w:cs="Times New Roman"/>
          <w:sz w:val="20"/>
          <w:szCs w:val="20"/>
        </w:rPr>
        <w:t xml:space="preserve"> as RNA empregaram </w:t>
      </w:r>
      <w:proofErr w:type="spellStart"/>
      <w:r w:rsidRPr="006A4433">
        <w:rPr>
          <w:rFonts w:ascii="Times New Roman" w:eastAsia="Times New Roman" w:hAnsi="Times New Roman" w:cs="Times New Roman"/>
          <w:i/>
          <w:iCs/>
          <w:sz w:val="20"/>
          <w:szCs w:val="20"/>
        </w:rPr>
        <w:t>autoscaling</w:t>
      </w:r>
      <w:proofErr w:type="spellEnd"/>
      <w:r w:rsidRPr="00E97DAD">
        <w:rPr>
          <w:rFonts w:ascii="Times New Roman" w:eastAsia="Times New Roman" w:hAnsi="Times New Roman" w:cs="Times New Roman"/>
          <w:sz w:val="20"/>
          <w:szCs w:val="20"/>
        </w:rPr>
        <w:t xml:space="preserve"> e otimização automática de </w:t>
      </w:r>
      <w:proofErr w:type="spellStart"/>
      <w:r w:rsidRPr="00E97DAD">
        <w:rPr>
          <w:rFonts w:ascii="Times New Roman" w:eastAsia="Times New Roman" w:hAnsi="Times New Roman" w:cs="Times New Roman"/>
          <w:sz w:val="20"/>
          <w:szCs w:val="20"/>
        </w:rPr>
        <w:t>hiperparâmetros</w:t>
      </w:r>
      <w:proofErr w:type="spellEnd"/>
      <w:r w:rsidRPr="00E97DAD">
        <w:rPr>
          <w:rFonts w:ascii="Times New Roman" w:eastAsia="Times New Roman" w:hAnsi="Times New Roman" w:cs="Times New Roman"/>
          <w:sz w:val="20"/>
          <w:szCs w:val="20"/>
        </w:rPr>
        <w:t xml:space="preserve"> via </w:t>
      </w:r>
      <w:proofErr w:type="spellStart"/>
      <w:r w:rsidRPr="00E97DAD">
        <w:rPr>
          <w:rFonts w:ascii="Times New Roman" w:eastAsia="Times New Roman" w:hAnsi="Times New Roman" w:cs="Times New Roman"/>
          <w:sz w:val="20"/>
          <w:szCs w:val="20"/>
        </w:rPr>
        <w:t>Optuna</w:t>
      </w:r>
      <w:proofErr w:type="spellEnd"/>
      <w:r w:rsidRPr="00E97DAD">
        <w:rPr>
          <w:rFonts w:ascii="Times New Roman" w:eastAsia="Times New Roman" w:hAnsi="Times New Roman" w:cs="Times New Roman"/>
          <w:sz w:val="20"/>
          <w:szCs w:val="20"/>
        </w:rPr>
        <w:t xml:space="preserve"> associada à validação cruzada K-</w:t>
      </w:r>
      <w:proofErr w:type="spellStart"/>
      <w:r w:rsidRPr="00E97DAD">
        <w:rPr>
          <w:rFonts w:ascii="Times New Roman" w:eastAsia="Times New Roman" w:hAnsi="Times New Roman" w:cs="Times New Roman"/>
          <w:sz w:val="20"/>
          <w:szCs w:val="20"/>
        </w:rPr>
        <w:t>Fold</w:t>
      </w:r>
      <w:proofErr w:type="spellEnd"/>
      <w:r w:rsidRPr="00E97DAD">
        <w:rPr>
          <w:rFonts w:ascii="Times New Roman" w:eastAsia="Times New Roman" w:hAnsi="Times New Roman" w:cs="Times New Roman"/>
          <w:sz w:val="20"/>
          <w:szCs w:val="20"/>
        </w:rPr>
        <w:t xml:space="preserve">. O modelo PLS apresentou </w:t>
      </w:r>
      <w:r w:rsidR="009E0FDB">
        <w:rPr>
          <w:rFonts w:ascii="Times New Roman" w:eastAsia="Times New Roman" w:hAnsi="Times New Roman" w:cs="Times New Roman"/>
          <w:sz w:val="20"/>
          <w:szCs w:val="20"/>
        </w:rPr>
        <w:t>melhor</w:t>
      </w:r>
      <w:r w:rsidR="009E0FDB" w:rsidRPr="00E97DA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97DAD">
        <w:rPr>
          <w:rFonts w:ascii="Times New Roman" w:eastAsia="Times New Roman" w:hAnsi="Times New Roman" w:cs="Times New Roman"/>
          <w:sz w:val="20"/>
          <w:szCs w:val="20"/>
        </w:rPr>
        <w:t>desempenho preditivo (R² ≈ 0,96; RMSEP ≈ 0,84), evidenciando robustez e boa capacidade de generalização</w:t>
      </w:r>
      <w:r w:rsidR="009E0FDB">
        <w:rPr>
          <w:rFonts w:ascii="Times New Roman" w:eastAsia="Times New Roman" w:hAnsi="Times New Roman" w:cs="Times New Roman"/>
          <w:sz w:val="20"/>
          <w:szCs w:val="20"/>
        </w:rPr>
        <w:t xml:space="preserve"> quando comparado ao modelo RNA</w:t>
      </w:r>
      <w:r w:rsidRPr="00E97DA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E0FDB">
        <w:rPr>
          <w:rFonts w:ascii="Times New Roman" w:eastAsia="Times New Roman" w:hAnsi="Times New Roman" w:cs="Times New Roman"/>
          <w:sz w:val="20"/>
          <w:szCs w:val="20"/>
        </w:rPr>
        <w:t>(</w:t>
      </w:r>
      <w:r w:rsidRPr="00E97DAD">
        <w:rPr>
          <w:rFonts w:ascii="Times New Roman" w:eastAsia="Times New Roman" w:hAnsi="Times New Roman" w:cs="Times New Roman"/>
          <w:sz w:val="20"/>
          <w:szCs w:val="20"/>
        </w:rPr>
        <w:t>R² ≈ 0,91 e RMSE ≈ 0,77</w:t>
      </w:r>
      <w:r w:rsidR="009E0FDB">
        <w:rPr>
          <w:rFonts w:ascii="Times New Roman" w:eastAsia="Times New Roman" w:hAnsi="Times New Roman" w:cs="Times New Roman"/>
          <w:sz w:val="20"/>
          <w:szCs w:val="20"/>
        </w:rPr>
        <w:t>)</w:t>
      </w:r>
      <w:r w:rsidRPr="00E97DAD">
        <w:rPr>
          <w:rFonts w:ascii="Times New Roman" w:eastAsia="Times New Roman" w:hAnsi="Times New Roman" w:cs="Times New Roman"/>
          <w:sz w:val="20"/>
          <w:szCs w:val="20"/>
        </w:rPr>
        <w:t xml:space="preserve"> após otimização. Ambos os métodos demonstraram eficácia para a determinação </w:t>
      </w:r>
      <w:r w:rsidRPr="00E97DAD">
        <w:rPr>
          <w:rFonts w:ascii="Times New Roman" w:eastAsia="Times New Roman" w:hAnsi="Times New Roman" w:cs="Times New Roman"/>
          <w:i/>
          <w:iCs/>
          <w:sz w:val="20"/>
          <w:szCs w:val="20"/>
        </w:rPr>
        <w:t>in situ</w:t>
      </w:r>
      <w:r w:rsidRPr="00E97DAD">
        <w:rPr>
          <w:rFonts w:ascii="Times New Roman" w:eastAsia="Times New Roman" w:hAnsi="Times New Roman" w:cs="Times New Roman"/>
          <w:sz w:val="20"/>
          <w:szCs w:val="20"/>
        </w:rPr>
        <w:t xml:space="preserve"> do teor de biodiesel. O PLS destacou-se pela robustez e estabilidade linear, enquanto as RNA evidenciaram potencial para capturar relações não lineares complexas, consolidando a tecnologia NIR portátil como uma alternativa rápida e sustentável para a fiscalização de combustíveis.</w:t>
      </w:r>
    </w:p>
    <w:p w14:paraId="3CAAB3B7" w14:textId="1BCE0F8C" w:rsidR="00833B0B" w:rsidRDefault="001B5572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Palavras-chave: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Espectroscopia NIR portátil; Biodiesel;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Quimiometria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; PLS; Redes Neurais.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14:paraId="7BBD4945" w14:textId="77777777" w:rsidR="00833B0B" w:rsidRDefault="001B55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40" w:hanging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0" w:name="_heading=h.q2q10owynr41" w:colFirst="0" w:colLast="0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Agradecimentos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Agradecemos ao PRH-ANP (PRH30), à FACEPE e ao CNPq pelo apoio financeiro, bem como ao Laboratório de Combustíveis (LAC/UFPE) pelo suporte técnico e infraestrutura.</w:t>
      </w:r>
    </w:p>
    <w:p w14:paraId="27B0DB72" w14:textId="77777777" w:rsidR="00833B0B" w:rsidRPr="00C657FA" w:rsidRDefault="001B5572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proofErr w:type="spellStart"/>
      <w:r w:rsidRPr="00C657F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/>
        </w:rPr>
        <w:t>Referências</w:t>
      </w:r>
      <w:proofErr w:type="spellEnd"/>
    </w:p>
    <w:p w14:paraId="46DF7629" w14:textId="77777777" w:rsidR="00833B0B" w:rsidRPr="006A4433" w:rsidRDefault="001B557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C657FA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C. Pasquini: Near infrared spectroscopy: fundamentals, practical aspects and analytical applications, </w:t>
      </w:r>
      <w:r w:rsidRPr="00C657FA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J. Braz. </w:t>
      </w:r>
      <w:r w:rsidRPr="006A4433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Chem. Soc.</w:t>
      </w:r>
      <w:r w:rsidRPr="006A443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(29), 1993–2000, 2018.</w:t>
      </w:r>
    </w:p>
    <w:p w14:paraId="05C4E342" w14:textId="77777777" w:rsidR="00833B0B" w:rsidRPr="00C657FA" w:rsidRDefault="001B557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C657FA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E. M. Paiva et al.: Quantification of biodiesel and adulteration with vegetable oils in diesel/biodiesel blends using portable near-infrared spectrometer, </w:t>
      </w:r>
      <w:r w:rsidRPr="00C657FA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Fuel</w:t>
      </w:r>
      <w:r w:rsidRPr="00C657FA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(160), 57–63, 2015.</w:t>
      </w:r>
    </w:p>
    <w:p w14:paraId="6D4EFEB7" w14:textId="77777777" w:rsidR="00833B0B" w:rsidRDefault="001B557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657FA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L.-N. Li et al.: A review of artificial neural network based chemometrics applied in laser-induced breakdown spectroscopy analysis, </w:t>
      </w:r>
      <w:proofErr w:type="spellStart"/>
      <w:r w:rsidRPr="00C657FA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>Spectrochim</w:t>
      </w:r>
      <w:proofErr w:type="spellEnd"/>
      <w:r w:rsidRPr="00C657FA">
        <w:rPr>
          <w:rFonts w:ascii="Times New Roman" w:eastAsia="Times New Roman" w:hAnsi="Times New Roman" w:cs="Times New Roman"/>
          <w:i/>
          <w:iCs/>
          <w:sz w:val="20"/>
          <w:szCs w:val="20"/>
          <w:lang w:val="en-US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Acta B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(180), 106183, 2021.</w:t>
      </w:r>
    </w:p>
    <w:sectPr w:rsidR="00833B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418" w:bottom="1418" w:left="1418" w:header="1701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1A87E" w14:textId="77777777" w:rsidR="00100FA9" w:rsidRDefault="00100FA9">
      <w:pPr>
        <w:spacing w:after="0" w:line="240" w:lineRule="auto"/>
      </w:pPr>
      <w:r>
        <w:separator/>
      </w:r>
    </w:p>
  </w:endnote>
  <w:endnote w:type="continuationSeparator" w:id="0">
    <w:p w14:paraId="32C4DFD1" w14:textId="77777777" w:rsidR="00100FA9" w:rsidRDefault="00100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3CCE0B7-AFB4-48E2-AC09-2AA82A821753}"/>
    <w:embedBold r:id="rId2" w:fontKey="{85999133-C34F-424C-92E4-35AA7C99BC0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321FE1C-BA1F-44B1-98DF-2BEA4E6FFA8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029A6F8F-2387-449C-A404-8F908EB3F1E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CF0E1" w14:textId="77777777" w:rsidR="00833B0B" w:rsidRDefault="001B5572">
    <w:pPr>
      <w:pBdr>
        <w:top w:val="nil"/>
        <w:left w:val="nil"/>
        <w:bottom w:val="nil"/>
        <w:right w:val="nil"/>
        <w:between w:val="nil"/>
      </w:pBdr>
      <w:tabs>
        <w:tab w:val="center" w:pos="3600"/>
        <w:tab w:val="right" w:pos="7200"/>
      </w:tabs>
      <w:jc w:val="right"/>
      <w:rPr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 w:rsidR="00000000">
      <w:rPr>
        <w:rFonts w:ascii="Times New Roman" w:eastAsia="Times New Roman" w:hAnsi="Times New Roman" w:cs="Times New Roman"/>
        <w:color w:val="000000"/>
      </w:rPr>
      <w:fldChar w:fldCharType="separate"/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2811A5A1" w14:textId="77777777" w:rsidR="00833B0B" w:rsidRDefault="00833B0B">
    <w:pPr>
      <w:pBdr>
        <w:top w:val="nil"/>
        <w:left w:val="nil"/>
        <w:bottom w:val="nil"/>
        <w:right w:val="nil"/>
        <w:between w:val="nil"/>
      </w:pBdr>
      <w:tabs>
        <w:tab w:val="center" w:pos="3600"/>
        <w:tab w:val="right" w:pos="720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384DD" w14:textId="77777777" w:rsidR="00833B0B" w:rsidRDefault="001B5572">
    <w:pPr>
      <w:pBdr>
        <w:top w:val="nil"/>
        <w:left w:val="nil"/>
        <w:bottom w:val="nil"/>
        <w:right w:val="nil"/>
        <w:between w:val="nil"/>
      </w:pBdr>
      <w:tabs>
        <w:tab w:val="center" w:pos="3600"/>
        <w:tab w:val="right" w:pos="7200"/>
      </w:tabs>
      <w:jc w:val="center"/>
      <w:rPr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hidden="0" allowOverlap="1" wp14:anchorId="71F6966A" wp14:editId="1BF55EEA">
          <wp:simplePos x="0" y="0"/>
          <wp:positionH relativeFrom="column">
            <wp:posOffset>732789</wp:posOffset>
          </wp:positionH>
          <wp:positionV relativeFrom="paragraph">
            <wp:posOffset>-136625</wp:posOffset>
          </wp:positionV>
          <wp:extent cx="4293870" cy="735965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93870" cy="7359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C8CC7DC" w14:textId="77777777" w:rsidR="00833B0B" w:rsidRDefault="00833B0B">
    <w:pPr>
      <w:pBdr>
        <w:top w:val="nil"/>
        <w:left w:val="nil"/>
        <w:bottom w:val="nil"/>
        <w:right w:val="nil"/>
        <w:between w:val="nil"/>
      </w:pBdr>
      <w:tabs>
        <w:tab w:val="center" w:pos="3600"/>
        <w:tab w:val="right" w:pos="7200"/>
      </w:tabs>
      <w:spacing w:after="0" w:line="240" w:lineRule="auto"/>
      <w:ind w:firstLine="567"/>
      <w:jc w:val="both"/>
      <w:rPr>
        <w:rFonts w:ascii="Times New Roman" w:eastAsia="Times New Roman" w:hAnsi="Times New Roman" w:cs="Times New Roman"/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AC63B" w14:textId="77777777" w:rsidR="00833B0B" w:rsidRDefault="001B5572">
    <w:pPr>
      <w:pBdr>
        <w:top w:val="nil"/>
        <w:left w:val="nil"/>
        <w:bottom w:val="nil"/>
        <w:right w:val="nil"/>
        <w:between w:val="nil"/>
      </w:pBdr>
      <w:tabs>
        <w:tab w:val="center" w:pos="3600"/>
        <w:tab w:val="right" w:pos="7200"/>
      </w:tabs>
      <w:spacing w:after="0" w:line="240" w:lineRule="auto"/>
      <w:ind w:firstLine="567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noProof/>
      </w:rPr>
      <w:drawing>
        <wp:inline distT="0" distB="0" distL="0" distR="0" wp14:anchorId="72A7342D" wp14:editId="13899CA2">
          <wp:extent cx="4499610" cy="627380"/>
          <wp:effectExtent l="0" t="0" r="0" b="0"/>
          <wp:docPr id="1" name="image1.png" descr="Logotipo, nome da empresa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, nome da empresa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99610" cy="6273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9B4B3" w14:textId="77777777" w:rsidR="00100FA9" w:rsidRDefault="00100FA9">
      <w:pPr>
        <w:spacing w:after="0" w:line="240" w:lineRule="auto"/>
      </w:pPr>
      <w:r>
        <w:separator/>
      </w:r>
    </w:p>
  </w:footnote>
  <w:footnote w:type="continuationSeparator" w:id="0">
    <w:p w14:paraId="5AA0CC74" w14:textId="77777777" w:rsidR="00100FA9" w:rsidRDefault="00100F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61F39" w14:textId="77777777" w:rsidR="00833B0B" w:rsidRDefault="001B5572">
    <w:pPr>
      <w:pBdr>
        <w:top w:val="nil"/>
        <w:left w:val="nil"/>
        <w:bottom w:val="nil"/>
        <w:right w:val="nil"/>
        <w:between w:val="nil"/>
      </w:pBdr>
      <w:tabs>
        <w:tab w:val="left" w:pos="2133"/>
        <w:tab w:val="center" w:pos="3600"/>
        <w:tab w:val="right" w:pos="7200"/>
        <w:tab w:val="right" w:pos="7088"/>
      </w:tabs>
      <w:spacing w:after="0" w:line="240" w:lineRule="auto"/>
      <w:jc w:val="both"/>
      <w:rPr>
        <w:rFonts w:ascii="Times New Roman" w:eastAsia="Times New Roman" w:hAnsi="Times New Roman" w:cs="Times New Roman"/>
        <w:i/>
        <w:iCs/>
        <w:color w:val="000000"/>
        <w:sz w:val="20"/>
        <w:szCs w:val="20"/>
      </w:rPr>
    </w:pPr>
    <w:r>
      <w:rPr>
        <w:noProof/>
      </w:rPr>
      <w:drawing>
        <wp:anchor distT="0" distB="0" distL="0" distR="0" simplePos="0" relativeHeight="251660288" behindDoc="0" locked="0" layoutInCell="1" hidden="0" allowOverlap="1" wp14:anchorId="44BA7D40" wp14:editId="4163CE67">
          <wp:simplePos x="0" y="0"/>
          <wp:positionH relativeFrom="column">
            <wp:posOffset>-917359</wp:posOffset>
          </wp:positionH>
          <wp:positionV relativeFrom="paragraph">
            <wp:posOffset>-1071666</wp:posOffset>
          </wp:positionV>
          <wp:extent cx="7599638" cy="1439662"/>
          <wp:effectExtent l="0" t="0" r="0" b="0"/>
          <wp:wrapSquare wrapText="bothSides" distT="0" distB="0" distL="0" distR="0"/>
          <wp:docPr id="4" name="image5.png" descr="Ícone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Ícone&#10;&#10;O conteúdo gerado por IA pode estar incorreto."/>
                  <pic:cNvPicPr preferRelativeResize="0"/>
                </pic:nvPicPr>
                <pic:blipFill>
                  <a:blip r:embed="rId1"/>
                  <a:srcRect b="23599"/>
                  <a:stretch>
                    <a:fillRect/>
                  </a:stretch>
                </pic:blipFill>
                <pic:spPr>
                  <a:xfrm>
                    <a:off x="0" y="0"/>
                    <a:ext cx="7599638" cy="14396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7D7EB" w14:textId="77777777" w:rsidR="00833B0B" w:rsidRDefault="001B5572">
    <w:pPr>
      <w:pBdr>
        <w:top w:val="nil"/>
        <w:left w:val="nil"/>
        <w:bottom w:val="nil"/>
        <w:right w:val="nil"/>
        <w:between w:val="nil"/>
      </w:pBdr>
      <w:tabs>
        <w:tab w:val="center" w:pos="3600"/>
        <w:tab w:val="right" w:pos="7200"/>
        <w:tab w:val="right" w:pos="7088"/>
      </w:tabs>
      <w:spacing w:after="0" w:line="240" w:lineRule="auto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noProof/>
        <w:color w:val="000000"/>
      </w:rPr>
      <w:drawing>
        <wp:anchor distT="0" distB="0" distL="114300" distR="114300" simplePos="0" relativeHeight="251658240" behindDoc="0" locked="0" layoutInCell="1" hidden="0" allowOverlap="1" wp14:anchorId="2CF20A34" wp14:editId="5C7E3CFD">
          <wp:simplePos x="0" y="0"/>
          <wp:positionH relativeFrom="margin">
            <wp:posOffset>-920748</wp:posOffset>
          </wp:positionH>
          <wp:positionV relativeFrom="topMargin">
            <wp:posOffset>-839</wp:posOffset>
          </wp:positionV>
          <wp:extent cx="7596505" cy="1432560"/>
          <wp:effectExtent l="0" t="0" r="0" b="0"/>
          <wp:wrapSquare wrapText="bothSides" distT="0" distB="0" distL="114300" distR="11430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6505" cy="14325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D5EEB" w14:textId="77777777" w:rsidR="00833B0B" w:rsidRDefault="001B5572">
    <w:pPr>
      <w:tabs>
        <w:tab w:val="right" w:pos="7086"/>
      </w:tabs>
      <w:spacing w:after="0" w:line="240" w:lineRule="auto"/>
      <w:jc w:val="right"/>
      <w:rPr>
        <w:rFonts w:ascii="Times New Roman" w:eastAsia="Times New Roman" w:hAnsi="Times New Roman" w:cs="Times New Roman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2F46FAF8" wp14:editId="5116CC44">
          <wp:simplePos x="0" y="0"/>
          <wp:positionH relativeFrom="column">
            <wp:posOffset>-900428</wp:posOffset>
          </wp:positionH>
          <wp:positionV relativeFrom="paragraph">
            <wp:posOffset>-1080132</wp:posOffset>
          </wp:positionV>
          <wp:extent cx="7596505" cy="1432560"/>
          <wp:effectExtent l="0" t="0" r="0" b="0"/>
          <wp:wrapSquare wrapText="bothSides" distT="0" distB="0" distL="114300" distR="114300"/>
          <wp:docPr id="5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6505" cy="14325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B0B"/>
    <w:rsid w:val="00100FA9"/>
    <w:rsid w:val="001B5572"/>
    <w:rsid w:val="003260FD"/>
    <w:rsid w:val="005F00DA"/>
    <w:rsid w:val="00656F9A"/>
    <w:rsid w:val="006A4433"/>
    <w:rsid w:val="0075505B"/>
    <w:rsid w:val="007C1FC6"/>
    <w:rsid w:val="00833B0B"/>
    <w:rsid w:val="009E0FDB"/>
    <w:rsid w:val="00C657FA"/>
    <w:rsid w:val="00DB33F5"/>
    <w:rsid w:val="00E97DAD"/>
    <w:rsid w:val="00F758C3"/>
    <w:rsid w:val="00FC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F9938"/>
  <w15:docId w15:val="{890E6886-01EB-42F8-90D9-55324483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Reviso">
    <w:name w:val="Revision"/>
    <w:hidden/>
    <w:uiPriority w:val="99"/>
    <w:semiHidden/>
    <w:rsid w:val="005F00DA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6A443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A443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A443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A443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A443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1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+SzXWtojv4sXw6xD6QFlClQwgw==">CgMxLjAaJQoBMBIgCh4IB0IaCg9UaW1lcyBOZXcgUm9tYW4SB0d1bmdzdWgyDmgucTJxMTBvd3lucjQxOAByITEzNnF5SzZ5bkpKZkpvSGlHaHJTNDFjZWU3QTBpY0pCUQ==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603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 Honorato</dc:creator>
  <cp:lastModifiedBy>HELOISA VITORIA RODRIGUES DA SILVA</cp:lastModifiedBy>
  <cp:revision>4</cp:revision>
  <dcterms:created xsi:type="dcterms:W3CDTF">2026-05-17T20:53:00Z</dcterms:created>
  <dcterms:modified xsi:type="dcterms:W3CDTF">2026-05-17T22:45:00Z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9ac42a-3eb4-4074-b885-aea26bd6241e_Enabled">
    <vt:lpwstr>true</vt:lpwstr>
  </property>
  <property fmtid="{D5CDD505-2E9C-101B-9397-08002B2CF9AE}" pid="3" name="MSIP_Label_549ac42a-3eb4-4074-b885-aea26bd6241e_SetDate">
    <vt:lpwstr>2021-11-04T09:12:24Z</vt:lpwstr>
  </property>
  <property fmtid="{D5CDD505-2E9C-101B-9397-08002B2CF9AE}" pid="4" name="MSIP_Label_549ac42a-3eb4-4074-b885-aea26bd6241e_Method">
    <vt:lpwstr>Standard</vt:lpwstr>
  </property>
  <property fmtid="{D5CDD505-2E9C-101B-9397-08002B2CF9AE}" pid="5" name="MSIP_Label_549ac42a-3eb4-4074-b885-aea26bd6241e_Name">
    <vt:lpwstr>General Business</vt:lpwstr>
  </property>
  <property fmtid="{D5CDD505-2E9C-101B-9397-08002B2CF9AE}" pid="6" name="MSIP_Label_549ac42a-3eb4-4074-b885-aea26bd6241e_SiteId">
    <vt:lpwstr>9274ee3f-9425-4109-a27f-9fb15c10675d</vt:lpwstr>
  </property>
  <property fmtid="{D5CDD505-2E9C-101B-9397-08002B2CF9AE}" pid="7" name="MSIP_Label_549ac42a-3eb4-4074-b885-aea26bd6241e_ActionId">
    <vt:lpwstr>5587a44c-12f0-4d84-98cd-f79dcdb8b2fc</vt:lpwstr>
  </property>
  <property fmtid="{D5CDD505-2E9C-101B-9397-08002B2CF9AE}" pid="8" name="MSIP_Label_549ac42a-3eb4-4074-b885-aea26bd6241e_ContentBits">
    <vt:lpwstr>0</vt:lpwstr>
  </property>
</Properties>
</file>