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F72B0" w14:textId="61B0EB93" w:rsidR="00E937A4" w:rsidRPr="00E937A4" w:rsidRDefault="00E937A4">
      <w:pPr>
        <w:keepNext/>
        <w:pBdr>
          <w:top w:val="nil"/>
          <w:left w:val="nil"/>
          <w:bottom w:val="nil"/>
          <w:right w:val="nil"/>
          <w:between w:val="nil"/>
        </w:pBdr>
        <w:spacing w:after="60" w:line="310" w:lineRule="auto"/>
        <w:jc w:val="center"/>
        <w:rPr>
          <w:rFonts w:ascii="Times New Roman" w:eastAsia="Times New Roman" w:hAnsi="Times New Roman" w:cs="Times New Roman"/>
          <w:b/>
          <w:bCs/>
          <w:color w:val="000000"/>
          <w:sz w:val="32"/>
          <w:szCs w:val="32"/>
          <w:lang w:val="en-US"/>
        </w:rPr>
      </w:pPr>
      <w:r w:rsidRPr="00E937A4">
        <w:rPr>
          <w:rFonts w:ascii="Times New Roman" w:eastAsia="Times New Roman" w:hAnsi="Times New Roman" w:cs="Times New Roman"/>
          <w:b/>
          <w:bCs/>
          <w:color w:val="000000"/>
          <w:sz w:val="32"/>
          <w:szCs w:val="32"/>
          <w:lang w:val="en-US"/>
        </w:rPr>
        <w:t>Methane Pyrolysis Analysis: Thermodynamic approach for carbon black Production</w:t>
      </w:r>
    </w:p>
    <w:p w14:paraId="33532D1B" w14:textId="386CCD84" w:rsidR="003F00A5" w:rsidRPr="003F00A5" w:rsidRDefault="003F00A5" w:rsidP="003F00A5">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3F00A5">
        <w:rPr>
          <w:rFonts w:ascii="Times New Roman" w:eastAsia="Times New Roman" w:hAnsi="Times New Roman" w:cs="Times New Roman"/>
          <w:color w:val="000000"/>
          <w:sz w:val="20"/>
          <w:szCs w:val="20"/>
        </w:rPr>
        <w:t>João Felipe Calandrine Souza Maués de Azevedo</w:t>
      </w:r>
      <w:r w:rsidRPr="003F00A5">
        <w:rPr>
          <w:rFonts w:ascii="Times New Roman" w:eastAsia="Times New Roman" w:hAnsi="Times New Roman" w:cs="Times New Roman"/>
          <w:color w:val="000000"/>
          <w:sz w:val="20"/>
          <w:szCs w:val="20"/>
          <w:vertAlign w:val="superscript"/>
        </w:rPr>
        <w:t>a</w:t>
      </w:r>
      <w:r w:rsidRPr="003F00A5">
        <w:rPr>
          <w:rFonts w:ascii="Times New Roman" w:eastAsia="Times New Roman" w:hAnsi="Times New Roman" w:cs="Times New Roman"/>
          <w:color w:val="000000"/>
          <w:sz w:val="20"/>
          <w:szCs w:val="20"/>
        </w:rPr>
        <w:t xml:space="preserve">, </w:t>
      </w:r>
      <w:r w:rsidR="00780AD2" w:rsidRPr="003F00A5">
        <w:rPr>
          <w:rFonts w:ascii="Times New Roman" w:eastAsia="Times New Roman" w:hAnsi="Times New Roman" w:cs="Times New Roman"/>
          <w:color w:val="000000"/>
          <w:sz w:val="20"/>
          <w:szCs w:val="20"/>
        </w:rPr>
        <w:t>Antônio</w:t>
      </w:r>
      <w:r w:rsidRPr="003F00A5">
        <w:rPr>
          <w:rFonts w:ascii="Times New Roman" w:eastAsia="Times New Roman" w:hAnsi="Times New Roman" w:cs="Times New Roman"/>
          <w:color w:val="000000"/>
          <w:sz w:val="20"/>
          <w:szCs w:val="20"/>
        </w:rPr>
        <w:t xml:space="preserve"> Esio</w:t>
      </w:r>
      <w:r w:rsidR="00780AD2">
        <w:rPr>
          <w:rFonts w:ascii="Times New Roman" w:eastAsia="Times New Roman" w:hAnsi="Times New Roman" w:cs="Times New Roman"/>
          <w:color w:val="000000"/>
          <w:sz w:val="20"/>
          <w:szCs w:val="20"/>
        </w:rPr>
        <w:t xml:space="preserve"> </w:t>
      </w:r>
      <w:r w:rsidRPr="003F00A5">
        <w:rPr>
          <w:rFonts w:ascii="Times New Roman" w:eastAsia="Times New Roman" w:hAnsi="Times New Roman" w:cs="Times New Roman"/>
          <w:color w:val="000000"/>
          <w:sz w:val="20"/>
          <w:szCs w:val="20"/>
        </w:rPr>
        <w:t xml:space="preserve">Bresciani </w:t>
      </w:r>
      <w:r w:rsidRPr="003F00A5">
        <w:rPr>
          <w:rFonts w:ascii="Times New Roman" w:eastAsia="Times New Roman" w:hAnsi="Times New Roman" w:cs="Times New Roman"/>
          <w:color w:val="000000"/>
          <w:sz w:val="20"/>
          <w:szCs w:val="20"/>
          <w:vertAlign w:val="superscript"/>
        </w:rPr>
        <w:t>a</w:t>
      </w:r>
      <w:r w:rsidRPr="003F00A5">
        <w:rPr>
          <w:rFonts w:ascii="Times New Roman" w:eastAsia="Times New Roman" w:hAnsi="Times New Roman" w:cs="Times New Roman"/>
          <w:color w:val="000000"/>
          <w:sz w:val="20"/>
          <w:szCs w:val="20"/>
        </w:rPr>
        <w:t>, Rita Maria de Brito Alves</w:t>
      </w:r>
      <w:r w:rsidRPr="003F00A5">
        <w:rPr>
          <w:rFonts w:ascii="Times New Roman" w:eastAsia="Times New Roman" w:hAnsi="Times New Roman" w:cs="Times New Roman"/>
          <w:color w:val="000000"/>
          <w:sz w:val="20"/>
          <w:szCs w:val="20"/>
          <w:vertAlign w:val="superscript"/>
        </w:rPr>
        <w:t>a*</w:t>
      </w:r>
    </w:p>
    <w:p w14:paraId="18F6288C" w14:textId="47A608A6" w:rsidR="003F00A5" w:rsidRPr="003F00A5" w:rsidRDefault="003F00A5" w:rsidP="003F00A5">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3F00A5">
        <w:rPr>
          <w:rFonts w:ascii="Times New Roman" w:eastAsia="Times New Roman" w:hAnsi="Times New Roman" w:cs="Times New Roman"/>
          <w:color w:val="000000"/>
          <w:sz w:val="20"/>
          <w:szCs w:val="20"/>
          <w:vertAlign w:val="superscript"/>
        </w:rPr>
        <w:t>a</w:t>
      </w:r>
      <w:r w:rsidRPr="003F00A5">
        <w:rPr>
          <w:rFonts w:ascii="Times New Roman" w:eastAsia="Times New Roman" w:hAnsi="Times New Roman" w:cs="Times New Roman"/>
          <w:color w:val="000000"/>
          <w:sz w:val="20"/>
          <w:szCs w:val="20"/>
        </w:rPr>
        <w:t>Universidade de São Paulo,</w:t>
      </w:r>
      <w:r w:rsidR="00780AD2">
        <w:rPr>
          <w:rFonts w:ascii="Times New Roman" w:eastAsia="Times New Roman" w:hAnsi="Times New Roman" w:cs="Times New Roman"/>
          <w:color w:val="000000"/>
          <w:sz w:val="20"/>
          <w:szCs w:val="20"/>
        </w:rPr>
        <w:t xml:space="preserve"> Escola Politécnica,</w:t>
      </w:r>
      <w:r w:rsidRPr="003F00A5">
        <w:rPr>
          <w:rFonts w:ascii="Times New Roman" w:eastAsia="Times New Roman" w:hAnsi="Times New Roman" w:cs="Times New Roman"/>
          <w:color w:val="000000"/>
          <w:sz w:val="20"/>
          <w:szCs w:val="20"/>
        </w:rPr>
        <w:t xml:space="preserve"> Departamento de Engenharia Química, São Paulo-SP, Brasil</w:t>
      </w:r>
    </w:p>
    <w:p w14:paraId="367E3E21" w14:textId="77777777" w:rsidR="003F00A5" w:rsidRPr="003F00A5" w:rsidRDefault="003F00A5" w:rsidP="003F00A5">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sidRPr="003F00A5">
        <w:rPr>
          <w:rFonts w:ascii="Times New Roman" w:eastAsia="Times New Roman" w:hAnsi="Times New Roman" w:cs="Times New Roman"/>
          <w:color w:val="000000"/>
          <w:sz w:val="20"/>
          <w:szCs w:val="20"/>
          <w:lang w:val="en-US"/>
        </w:rPr>
        <w:t>*rmbalves@usp.br</w:t>
      </w:r>
    </w:p>
    <w:p w14:paraId="063EC26E" w14:textId="7D78283F" w:rsidR="00E42821" w:rsidRPr="00AC42FF" w:rsidRDefault="00AC42FF" w:rsidP="006A279C">
      <w:pPr>
        <w:keepNext/>
        <w:pBdr>
          <w:top w:val="nil"/>
          <w:left w:val="nil"/>
          <w:bottom w:val="nil"/>
          <w:right w:val="nil"/>
          <w:between w:val="nil"/>
        </w:pBdr>
        <w:spacing w:before="240" w:after="60" w:line="240" w:lineRule="auto"/>
        <w:jc w:val="center"/>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ABSTRACT</w:t>
      </w:r>
    </w:p>
    <w:p w14:paraId="43341DF2" w14:textId="018439F0" w:rsidR="00097364" w:rsidRPr="00AB400A" w:rsidRDefault="00AB400A" w:rsidP="00AC42FF">
      <w:pPr>
        <w:pStyle w:val="PargrafodaLista"/>
        <w:pBdr>
          <w:top w:val="nil"/>
          <w:left w:val="nil"/>
          <w:bottom w:val="nil"/>
          <w:right w:val="nil"/>
          <w:between w:val="nil"/>
        </w:pBdr>
        <w:spacing w:after="0" w:line="240" w:lineRule="auto"/>
        <w:ind w:left="0" w:firstLine="567"/>
        <w:jc w:val="both"/>
        <w:rPr>
          <w:rFonts w:ascii="Times New Roman" w:eastAsia="Times New Roman" w:hAnsi="Times New Roman" w:cs="Times New Roman"/>
          <w:sz w:val="20"/>
          <w:szCs w:val="20"/>
          <w:lang w:val="en-US"/>
        </w:rPr>
      </w:pPr>
      <w:r w:rsidRPr="00AB400A">
        <w:rPr>
          <w:rFonts w:ascii="Times New Roman" w:eastAsia="Times New Roman" w:hAnsi="Times New Roman" w:cs="Times New Roman"/>
          <w:sz w:val="20"/>
          <w:szCs w:val="20"/>
          <w:lang w:val="en-US"/>
        </w:rPr>
        <w:t>Methane pyrolysis has emerged as a sustainable route for producing turquoise hydrogen and carbon black (CB) without direct CO</w:t>
      </w:r>
      <w:r w:rsidR="001858A2">
        <w:rPr>
          <w:rFonts w:ascii="Times New Roman" w:eastAsia="Times New Roman" w:hAnsi="Times New Roman" w:cs="Times New Roman"/>
          <w:sz w:val="20"/>
          <w:szCs w:val="20"/>
          <w:vertAlign w:val="subscript"/>
          <w:lang w:val="en-US"/>
        </w:rPr>
        <w:t>2</w:t>
      </w:r>
      <w:r w:rsidRPr="00AB400A">
        <w:rPr>
          <w:rFonts w:ascii="Times New Roman" w:eastAsia="Times New Roman" w:hAnsi="Times New Roman" w:cs="Times New Roman"/>
          <w:sz w:val="20"/>
          <w:szCs w:val="20"/>
          <w:lang w:val="en-US"/>
        </w:rPr>
        <w:t xml:space="preserve"> emissions. </w:t>
      </w:r>
      <w:r w:rsidRPr="00823FF7">
        <w:rPr>
          <w:rFonts w:ascii="Times New Roman" w:eastAsia="Times New Roman" w:hAnsi="Times New Roman" w:cs="Times New Roman"/>
          <w:sz w:val="20"/>
          <w:szCs w:val="20"/>
          <w:lang w:val="en-US"/>
        </w:rPr>
        <w:t xml:space="preserve">While the thermodynamics of methane decomposition into graphite are well established, </w:t>
      </w:r>
      <w:r w:rsidR="001613CB" w:rsidRPr="00823FF7">
        <w:rPr>
          <w:rFonts w:ascii="Times New Roman" w:eastAsia="Times New Roman" w:hAnsi="Times New Roman" w:cs="Times New Roman"/>
          <w:sz w:val="20"/>
          <w:szCs w:val="20"/>
          <w:lang w:val="en-US"/>
        </w:rPr>
        <w:t>there is a lack of specific thermodynamic properties</w:t>
      </w:r>
      <w:r w:rsidR="0019100B" w:rsidRPr="00823FF7">
        <w:rPr>
          <w:rFonts w:ascii="Times New Roman" w:eastAsia="Times New Roman" w:hAnsi="Times New Roman" w:cs="Times New Roman"/>
          <w:sz w:val="20"/>
          <w:szCs w:val="20"/>
          <w:lang w:val="en-US"/>
        </w:rPr>
        <w:t xml:space="preserve"> for CB.</w:t>
      </w:r>
      <w:r w:rsidR="001613CB" w:rsidRPr="00823FF7">
        <w:rPr>
          <w:rFonts w:ascii="Times New Roman" w:eastAsia="Times New Roman" w:hAnsi="Times New Roman" w:cs="Times New Roman"/>
          <w:sz w:val="20"/>
          <w:szCs w:val="20"/>
          <w:lang w:val="en-US"/>
        </w:rPr>
        <w:t xml:space="preserve"> </w:t>
      </w:r>
      <w:r w:rsidR="0019100B" w:rsidRPr="00823FF7">
        <w:rPr>
          <w:rFonts w:ascii="Times New Roman" w:eastAsia="Times New Roman" w:hAnsi="Times New Roman" w:cs="Times New Roman"/>
          <w:sz w:val="20"/>
          <w:szCs w:val="20"/>
          <w:lang w:val="en-US"/>
        </w:rPr>
        <w:t>U</w:t>
      </w:r>
      <w:r w:rsidRPr="00823FF7">
        <w:rPr>
          <w:rFonts w:ascii="Times New Roman" w:eastAsia="Times New Roman" w:hAnsi="Times New Roman" w:cs="Times New Roman"/>
          <w:sz w:val="20"/>
          <w:szCs w:val="20"/>
          <w:lang w:val="en-US"/>
        </w:rPr>
        <w:t xml:space="preserve">tilizing graphite </w:t>
      </w:r>
      <w:r w:rsidR="0019100B" w:rsidRPr="00823FF7">
        <w:rPr>
          <w:rFonts w:ascii="Times New Roman" w:eastAsia="Times New Roman" w:hAnsi="Times New Roman" w:cs="Times New Roman"/>
          <w:sz w:val="20"/>
          <w:szCs w:val="20"/>
          <w:lang w:val="en-US"/>
        </w:rPr>
        <w:t>properties</w:t>
      </w:r>
      <w:r w:rsidRPr="00823FF7">
        <w:rPr>
          <w:rFonts w:ascii="Times New Roman" w:eastAsia="Times New Roman" w:hAnsi="Times New Roman" w:cs="Times New Roman"/>
          <w:sz w:val="20"/>
          <w:szCs w:val="20"/>
          <w:lang w:val="en-US"/>
        </w:rPr>
        <w:t xml:space="preserve"> to model CB production often leads to significant overestimations of process efficiency</w:t>
      </w:r>
      <w:r w:rsidR="001D7F9A" w:rsidRPr="00823FF7">
        <w:rPr>
          <w:rFonts w:ascii="Times New Roman" w:eastAsia="Times New Roman" w:hAnsi="Times New Roman" w:cs="Times New Roman"/>
          <w:sz w:val="20"/>
          <w:szCs w:val="20"/>
          <w:lang w:val="en-US"/>
        </w:rPr>
        <w:t xml:space="preserve"> </w:t>
      </w:r>
      <w:r w:rsidR="001D7F9A" w:rsidRPr="00823FF7">
        <w:rPr>
          <w:rFonts w:ascii="Times New Roman" w:eastAsia="Times New Roman" w:hAnsi="Times New Roman" w:cs="Times New Roman"/>
          <w:sz w:val="20"/>
          <w:szCs w:val="20"/>
          <w:lang w:val="en-US"/>
        </w:rPr>
        <w:fldChar w:fldCharType="begin"/>
      </w:r>
      <w:r w:rsidR="001D7F9A" w:rsidRPr="00823FF7">
        <w:rPr>
          <w:rFonts w:ascii="Times New Roman" w:eastAsia="Times New Roman" w:hAnsi="Times New Roman" w:cs="Times New Roman"/>
          <w:sz w:val="20"/>
          <w:szCs w:val="20"/>
          <w:lang w:val="en-US"/>
        </w:rPr>
        <w:instrText xml:space="preserve"> ADDIN ZOTERO_ITEM CSL_CITATION {"citationID":"y6VMuMsn","properties":{"unsorted":false,"formattedCitation":"(Marquardt et al., 2020)","plainCitation":"(Marquardt et al., 2020)","noteIndex":0},"citationItems":[{"id":507,"uris":["http://zotero.org/users/18772035/items/67XZKPE5"],"itemData":{"id":507,"type":"article-journal","abstract":"Methane decomposition is a promising approach to reduce the carbon footprint of hydrogen production. Solid carbon is one of the products and can improve the economics as a valuable byproduct or it is to be stored. The morphology of the produced carbon affects not only its economic value, but thermodynamic properties as well. Thermodynamic properties of graphite are usually used for modelling and simulation tasks for methane decomposition. In this study, the impact of the produced carbon type on the decomposition of methane is analyzed. Based on experimental data from literature for e.g. amorphous carbon, carbides, carbon filaments and nanotubes, the equilibrium of the methane decomposition reaction in dependence of temperature and carbon type is evaluated. The highest equilibrium methane conversion is observed for multiwall carbon nanotubes and the lowest for coke as carbon product. If another carbon morphology than graphite occurs, the reaction enthalpy is, in average, increased by 17.6%. To evaluate the potential influence on a production process, a methane decomposition process based on an electrically heated moving bed reactor is simulated. The specific electrical energy input and the methane consumption is calculated in dependence of the main process parameters and the produced carbon type. In a base case simulation the specific electrical energy input is 1.13kWh/NmH23. About 60% of the electrical power is required for heating the reactor. The energy input is highly affected by the amount of recycled bed material, the effectiveness of heat transfer, the methane conversion and by the carbon type. In the simulated temperature range of between 800 and 1300 K, the specific electrical energy input for a produced carbon type that differs from graphite is in average increased by 14.2% and by 58% in maximum. Further research on thermodynamic properties of different carbon types and their relevance for different methane pyrolysis processes is required.","citation-key":"marquardt2020","container-title":"Energy Conversion and Management","DOI":"10.1016/j.enconman.2020.113125","ISSN":"01968904","publisher":"Elsevier Ltd","title":"Hydrogen production by methane decomposition: Analysis of thermodynamic carbon properties and process evaluation","volume":"221","author":[{"family":"Marquardt","given":"T."},{"family":"Bode","given":"A."},{"family":"Kabelac","given":"S."}],"issued":{"date-parts":[["2020",10,1]]}}}],"schema":"https://github.com/citation-style-language/schema/raw/master/csl-citation.json"} </w:instrText>
      </w:r>
      <w:r w:rsidR="001D7F9A" w:rsidRPr="00823FF7">
        <w:rPr>
          <w:rFonts w:ascii="Times New Roman" w:eastAsia="Times New Roman" w:hAnsi="Times New Roman" w:cs="Times New Roman"/>
          <w:sz w:val="20"/>
          <w:szCs w:val="20"/>
          <w:lang w:val="en-US"/>
        </w:rPr>
        <w:fldChar w:fldCharType="separate"/>
      </w:r>
      <w:r w:rsidR="001D7F9A" w:rsidRPr="00823FF7">
        <w:rPr>
          <w:rFonts w:ascii="Times New Roman" w:hAnsi="Times New Roman" w:cs="Times New Roman"/>
          <w:sz w:val="20"/>
          <w:lang w:val="en-US"/>
        </w:rPr>
        <w:t>(Marquardt et al., 2020)</w:t>
      </w:r>
      <w:r w:rsidR="001D7F9A" w:rsidRPr="00823FF7">
        <w:rPr>
          <w:rFonts w:ascii="Times New Roman" w:eastAsia="Times New Roman" w:hAnsi="Times New Roman" w:cs="Times New Roman"/>
          <w:sz w:val="20"/>
          <w:szCs w:val="20"/>
          <w:lang w:val="en-US"/>
        </w:rPr>
        <w:fldChar w:fldCharType="end"/>
      </w:r>
      <w:r w:rsidRPr="00823FF7">
        <w:rPr>
          <w:rFonts w:ascii="Times New Roman" w:eastAsia="Times New Roman" w:hAnsi="Times New Roman" w:cs="Times New Roman"/>
          <w:sz w:val="20"/>
          <w:szCs w:val="20"/>
          <w:lang w:val="en-US"/>
        </w:rPr>
        <w:t>. CB p</w:t>
      </w:r>
      <w:r w:rsidR="0019100B" w:rsidRPr="00823FF7">
        <w:rPr>
          <w:rFonts w:ascii="Times New Roman" w:eastAsia="Times New Roman" w:hAnsi="Times New Roman" w:cs="Times New Roman"/>
          <w:sz w:val="20"/>
          <w:szCs w:val="20"/>
          <w:lang w:val="en-US"/>
        </w:rPr>
        <w:t>resents</w:t>
      </w:r>
      <w:r w:rsidRPr="00823FF7">
        <w:rPr>
          <w:rFonts w:ascii="Times New Roman" w:eastAsia="Times New Roman" w:hAnsi="Times New Roman" w:cs="Times New Roman"/>
          <w:sz w:val="20"/>
          <w:szCs w:val="20"/>
          <w:lang w:val="en-US"/>
        </w:rPr>
        <w:t xml:space="preserve"> </w:t>
      </w:r>
      <w:r w:rsidR="00846C02" w:rsidRPr="00823FF7">
        <w:rPr>
          <w:rFonts w:ascii="Times New Roman" w:eastAsia="Times New Roman" w:hAnsi="Times New Roman" w:cs="Times New Roman"/>
          <w:sz w:val="20"/>
          <w:szCs w:val="20"/>
          <w:lang w:val="en-US"/>
        </w:rPr>
        <w:t>nanometric</w:t>
      </w:r>
      <w:r w:rsidRPr="00823FF7">
        <w:rPr>
          <w:rFonts w:ascii="Times New Roman" w:eastAsia="Times New Roman" w:hAnsi="Times New Roman" w:cs="Times New Roman"/>
          <w:sz w:val="20"/>
          <w:szCs w:val="20"/>
          <w:lang w:val="en-US"/>
        </w:rPr>
        <w:t xml:space="preserve"> morphology and higher surface energy</w:t>
      </w:r>
      <w:r w:rsidR="00C52C27" w:rsidRPr="00823FF7">
        <w:rPr>
          <w:rFonts w:ascii="Times New Roman" w:eastAsia="Times New Roman" w:hAnsi="Times New Roman" w:cs="Times New Roman"/>
          <w:sz w:val="20"/>
          <w:szCs w:val="20"/>
          <w:lang w:val="en-US"/>
        </w:rPr>
        <w:t xml:space="preserve"> than graphite</w:t>
      </w:r>
      <w:r w:rsidRPr="00823FF7">
        <w:rPr>
          <w:rFonts w:ascii="Times New Roman" w:eastAsia="Times New Roman" w:hAnsi="Times New Roman" w:cs="Times New Roman"/>
          <w:sz w:val="20"/>
          <w:szCs w:val="20"/>
          <w:lang w:val="en-US"/>
        </w:rPr>
        <w:t xml:space="preserve">, which </w:t>
      </w:r>
      <w:r w:rsidR="001858A2" w:rsidRPr="00823FF7">
        <w:rPr>
          <w:rFonts w:ascii="Times New Roman" w:eastAsia="Times New Roman" w:hAnsi="Times New Roman" w:cs="Times New Roman"/>
          <w:sz w:val="20"/>
          <w:szCs w:val="20"/>
          <w:lang w:val="en-US"/>
        </w:rPr>
        <w:t>distinguishes</w:t>
      </w:r>
      <w:r w:rsidRPr="00823FF7">
        <w:rPr>
          <w:rFonts w:ascii="Times New Roman" w:eastAsia="Times New Roman" w:hAnsi="Times New Roman" w:cs="Times New Roman"/>
          <w:sz w:val="20"/>
          <w:szCs w:val="20"/>
          <w:lang w:val="en-US"/>
        </w:rPr>
        <w:t xml:space="preserve"> </w:t>
      </w:r>
      <w:r w:rsidR="00C52C27" w:rsidRPr="00823FF7">
        <w:rPr>
          <w:rFonts w:ascii="Times New Roman" w:eastAsia="Times New Roman" w:hAnsi="Times New Roman" w:cs="Times New Roman"/>
          <w:sz w:val="20"/>
          <w:szCs w:val="20"/>
          <w:lang w:val="en-US"/>
        </w:rPr>
        <w:t>their</w:t>
      </w:r>
      <w:r w:rsidRPr="00823FF7">
        <w:rPr>
          <w:rFonts w:ascii="Times New Roman" w:eastAsia="Times New Roman" w:hAnsi="Times New Roman" w:cs="Times New Roman"/>
          <w:sz w:val="20"/>
          <w:szCs w:val="20"/>
          <w:lang w:val="en-US"/>
        </w:rPr>
        <w:t xml:space="preserve"> thermodynamic stabilit</w:t>
      </w:r>
      <w:r w:rsidR="00C52C27" w:rsidRPr="00823FF7">
        <w:rPr>
          <w:rFonts w:ascii="Times New Roman" w:eastAsia="Times New Roman" w:hAnsi="Times New Roman" w:cs="Times New Roman"/>
          <w:sz w:val="20"/>
          <w:szCs w:val="20"/>
          <w:lang w:val="en-US"/>
        </w:rPr>
        <w:t>ies</w:t>
      </w:r>
      <w:r w:rsidR="005E1AD9" w:rsidRPr="00823FF7">
        <w:rPr>
          <w:rFonts w:ascii="Times New Roman" w:eastAsia="Times New Roman" w:hAnsi="Times New Roman" w:cs="Times New Roman"/>
          <w:sz w:val="20"/>
          <w:szCs w:val="20"/>
          <w:lang w:val="en-US"/>
        </w:rPr>
        <w:t xml:space="preserve"> </w:t>
      </w:r>
      <w:r w:rsidR="005E1AD9" w:rsidRPr="00823FF7">
        <w:rPr>
          <w:rFonts w:ascii="Times New Roman" w:eastAsia="Times New Roman" w:hAnsi="Times New Roman" w:cs="Times New Roman"/>
          <w:sz w:val="20"/>
          <w:szCs w:val="20"/>
          <w:lang w:val="en-US"/>
        </w:rPr>
        <w:fldChar w:fldCharType="begin"/>
      </w:r>
      <w:r w:rsidR="005E1AD9" w:rsidRPr="00823FF7">
        <w:rPr>
          <w:rFonts w:ascii="Times New Roman" w:eastAsia="Times New Roman" w:hAnsi="Times New Roman" w:cs="Times New Roman"/>
          <w:sz w:val="20"/>
          <w:szCs w:val="20"/>
          <w:lang w:val="en-US"/>
        </w:rPr>
        <w:instrText xml:space="preserve"> ADDIN ZOTERO_ITEM CSL_CITATION {"citationID":"V31bZGrM","properties":{"unsorted":false,"formattedCitation":"(Wang et al., 2003)","plainCitation":"(Wang et al., 2003)","noteIndex":0},"citationItems":[{"id":2368,"uris":["http://zotero.org/users/18772035/items/F4F7SWJM"],"itemData":{"id":2368,"type":"chapter","abstract":"Abstract\n            Carbon black is a generic term for an important family of products used widely to modify the mechanical, electrical, and other physical properties of the medium in which it is dispersed. It is the most widely used nanomaterial, with particle dimensions ranging from tens to a few hundred nanometers (nms). It plays a major role in elastomers, plastics, paints and inks as a reinforcing agent, a black pigment, and an electrically conductive material. This article provides a comprehensive review of the technical and commercial aspects of carbon black usage. The history of carbon black, its microstructure, chemical composition, morphology, surface activity, and characterization are discussed. The mechanism of carbon black formation and its manufacture, including oil‐furnace black process, thermal black process, acetylene black process, lampblack process, and impingement black process, is described. A separate section is included on newly developed surface modification technologies and related commercial applications. One section is devoted to the properties, applications and markets of the two main types of carbon blacks, rubber grades and special grades. The rubber grades are primarily used as a reinforcing agent in tire and other rubber products to improve their mechanical properties. Most of the special grades are manufactured to meet specific product specifications for imparting certain properties required by the end use products, such as dispersion, pigmentation and electrical conductivity. The health, safety, and environmental section includes a summary of recent health studies.","citation-key":"wang2003","container-title":"Kirk-Othmer Encyclopedia of Chemical Technology","DOI":"10.1002/0471238961.0301180204011414.a01.pub2","edition":"1","ISBN":"978-0-471-48494-3","language":"en","license":"http://doi.wiley.com/10.1002/tdm_license_1.1","publisher":"Wiley","source":"DOI.org (Crossref)","title":"Carbon Black","URL":"https://onlinelibrary.wiley.com/doi/10.1002/0471238961.0301180204011414.a01.pub2","editor":[{"literal":"Kirk-Othmer"}],"author":[{"family":"Wang","given":"Meng‐Jiao"},{"family":"Gray","given":"Charles A."},{"family":"Reznek","given":"Steve A."},{"family":"Mahmud","given":"Khaled"},{"family":"Kutsovsky","given":"Yakov"}],"accessed":{"date-parts":[["2026",1,7]]},"issued":{"date-parts":[["2003",11,14]]}}}],"schema":"https://github.com/citation-style-language/schema/raw/master/csl-citation.json"} </w:instrText>
      </w:r>
      <w:r w:rsidR="005E1AD9" w:rsidRPr="00823FF7">
        <w:rPr>
          <w:rFonts w:ascii="Times New Roman" w:eastAsia="Times New Roman" w:hAnsi="Times New Roman" w:cs="Times New Roman"/>
          <w:sz w:val="20"/>
          <w:szCs w:val="20"/>
          <w:lang w:val="en-US"/>
        </w:rPr>
        <w:fldChar w:fldCharType="separate"/>
      </w:r>
      <w:r w:rsidR="005E1AD9" w:rsidRPr="00823FF7">
        <w:rPr>
          <w:rFonts w:ascii="Times New Roman" w:hAnsi="Times New Roman" w:cs="Times New Roman"/>
          <w:sz w:val="20"/>
          <w:lang w:val="en-US"/>
        </w:rPr>
        <w:t>(Wang et al., 2003)</w:t>
      </w:r>
      <w:r w:rsidR="005E1AD9" w:rsidRPr="00823FF7">
        <w:rPr>
          <w:rFonts w:ascii="Times New Roman" w:eastAsia="Times New Roman" w:hAnsi="Times New Roman" w:cs="Times New Roman"/>
          <w:sz w:val="20"/>
          <w:szCs w:val="20"/>
          <w:lang w:val="en-US"/>
        </w:rPr>
        <w:fldChar w:fldCharType="end"/>
      </w:r>
      <w:r w:rsidRPr="00823FF7">
        <w:rPr>
          <w:rFonts w:ascii="Times New Roman" w:eastAsia="Times New Roman" w:hAnsi="Times New Roman" w:cs="Times New Roman"/>
          <w:sz w:val="20"/>
          <w:szCs w:val="20"/>
          <w:lang w:val="en-US"/>
        </w:rPr>
        <w:t>.</w:t>
      </w:r>
      <w:r w:rsidRPr="00AB400A">
        <w:rPr>
          <w:rFonts w:ascii="Times New Roman" w:eastAsia="Times New Roman" w:hAnsi="Times New Roman" w:cs="Times New Roman"/>
          <w:sz w:val="20"/>
          <w:szCs w:val="20"/>
          <w:lang w:val="en-US"/>
        </w:rPr>
        <w:t xml:space="preserve"> The lack of specific thermodynamic data for CB species hinders accurate techno-economic evaluations. Therefore, this work proposes a computational thermodynamic approach to estimate the equilibrium conversion and the standard heat of reaction for specific CB grades (N100, N339, N990), comparing their energetic penalties against graphite.</w:t>
      </w:r>
    </w:p>
    <w:p w14:paraId="23F6EA91" w14:textId="662D6370" w:rsidR="00097364" w:rsidRDefault="0091331C" w:rsidP="00C2791F">
      <w:pPr>
        <w:pStyle w:val="PargrafodaLista"/>
        <w:spacing w:after="0" w:line="240" w:lineRule="auto"/>
        <w:ind w:left="0" w:firstLine="567"/>
        <w:jc w:val="both"/>
        <w:rPr>
          <w:rFonts w:ascii="Times New Roman" w:eastAsia="Times New Roman" w:hAnsi="Times New Roman" w:cs="Times New Roman"/>
          <w:sz w:val="20"/>
          <w:szCs w:val="20"/>
          <w:lang w:val="en-US"/>
        </w:rPr>
      </w:pPr>
      <w:r w:rsidRPr="0091331C">
        <w:rPr>
          <w:rFonts w:ascii="Times New Roman" w:eastAsia="Times New Roman" w:hAnsi="Times New Roman" w:cs="Times New Roman"/>
          <w:sz w:val="20"/>
          <w:szCs w:val="20"/>
          <w:lang w:val="en-US"/>
        </w:rPr>
        <w:t>The equilibrium state was determined by minimizing the total Gibbs energy of the system under isobaric (1 bar) and isothermal conditions</w:t>
      </w:r>
      <w:r w:rsidR="004011E6">
        <w:rPr>
          <w:rFonts w:ascii="Times New Roman" w:eastAsia="Times New Roman" w:hAnsi="Times New Roman" w:cs="Times New Roman"/>
          <w:sz w:val="20"/>
          <w:szCs w:val="20"/>
          <w:lang w:val="en-US"/>
        </w:rPr>
        <w:t xml:space="preserve"> </w:t>
      </w:r>
      <w:r w:rsidR="004011E6" w:rsidRPr="00823FF7">
        <w:rPr>
          <w:rFonts w:ascii="Times New Roman" w:eastAsia="Times New Roman" w:hAnsi="Times New Roman" w:cs="Times New Roman"/>
          <w:sz w:val="20"/>
          <w:szCs w:val="20"/>
          <w:lang w:val="en-US"/>
        </w:rPr>
        <w:t>(650 – 1300 K)</w:t>
      </w:r>
      <w:r w:rsidR="005E1AD9" w:rsidRPr="00823FF7">
        <w:rPr>
          <w:rFonts w:ascii="Times New Roman" w:eastAsia="Times New Roman" w:hAnsi="Times New Roman" w:cs="Times New Roman"/>
          <w:sz w:val="20"/>
          <w:szCs w:val="20"/>
          <w:lang w:val="en-US"/>
        </w:rPr>
        <w:t xml:space="preserve">. </w:t>
      </w:r>
      <w:r w:rsidRPr="00823FF7">
        <w:rPr>
          <w:rFonts w:ascii="Times New Roman" w:eastAsia="Times New Roman" w:hAnsi="Times New Roman" w:cs="Times New Roman"/>
          <w:sz w:val="20"/>
          <w:szCs w:val="20"/>
          <w:lang w:val="en-US"/>
        </w:rPr>
        <w:t>The standard Gibbs energy of the gaseous species (CH</w:t>
      </w:r>
      <w:r w:rsidR="00BA2F10" w:rsidRPr="00823FF7">
        <w:rPr>
          <w:rFonts w:ascii="Times New Roman" w:eastAsia="Times New Roman" w:hAnsi="Times New Roman" w:cs="Times New Roman"/>
          <w:sz w:val="20"/>
          <w:szCs w:val="20"/>
          <w:vertAlign w:val="subscript"/>
          <w:lang w:val="en-US"/>
        </w:rPr>
        <w:t>4</w:t>
      </w:r>
      <w:r w:rsidRPr="00823FF7">
        <w:rPr>
          <w:rFonts w:ascii="Times New Roman" w:eastAsia="Times New Roman" w:hAnsi="Times New Roman" w:cs="Times New Roman"/>
          <w:sz w:val="20"/>
          <w:szCs w:val="20"/>
          <w:lang w:val="en-US"/>
        </w:rPr>
        <w:t>, H</w:t>
      </w:r>
      <w:r w:rsidR="00BA2F10" w:rsidRPr="00823FF7">
        <w:rPr>
          <w:rFonts w:ascii="Times New Roman" w:eastAsia="Times New Roman" w:hAnsi="Times New Roman" w:cs="Times New Roman"/>
          <w:sz w:val="20"/>
          <w:szCs w:val="20"/>
          <w:vertAlign w:val="subscript"/>
          <w:lang w:val="en-US"/>
        </w:rPr>
        <w:t>2</w:t>
      </w:r>
      <w:r w:rsidRPr="00823FF7">
        <w:rPr>
          <w:rFonts w:ascii="Times New Roman" w:eastAsia="Times New Roman" w:hAnsi="Times New Roman" w:cs="Times New Roman"/>
          <w:sz w:val="20"/>
          <w:szCs w:val="20"/>
          <w:lang w:val="en-US"/>
        </w:rPr>
        <w:t>) and graphite were calculated using Shomate equations</w:t>
      </w:r>
      <w:r w:rsidR="00C2791F" w:rsidRPr="00823FF7">
        <w:rPr>
          <w:rFonts w:ascii="Times New Roman" w:eastAsia="Times New Roman" w:hAnsi="Times New Roman" w:cs="Times New Roman"/>
          <w:sz w:val="20"/>
          <w:szCs w:val="20"/>
          <w:lang w:val="en-US"/>
        </w:rPr>
        <w:t xml:space="preserve"> </w:t>
      </w:r>
      <w:r w:rsidRPr="00823FF7">
        <w:rPr>
          <w:rFonts w:ascii="Times New Roman" w:eastAsia="Times New Roman" w:hAnsi="Times New Roman" w:cs="Times New Roman"/>
          <w:sz w:val="20"/>
          <w:szCs w:val="20"/>
          <w:lang w:val="en-US"/>
        </w:rPr>
        <w:t>with coefficients from the NIST database</w:t>
      </w:r>
      <w:r w:rsidR="004011E6" w:rsidRPr="00823FF7">
        <w:rPr>
          <w:rFonts w:ascii="Times New Roman" w:eastAsia="Times New Roman" w:hAnsi="Times New Roman" w:cs="Times New Roman"/>
          <w:sz w:val="20"/>
          <w:szCs w:val="20"/>
          <w:lang w:val="en-US"/>
        </w:rPr>
        <w:t xml:space="preserve"> </w:t>
      </w:r>
      <w:r w:rsidR="00C2791F" w:rsidRPr="00823FF7">
        <w:rPr>
          <w:rFonts w:ascii="Times New Roman" w:hAnsi="Times New Roman" w:cs="Times New Roman"/>
          <w:sz w:val="20"/>
          <w:szCs w:val="20"/>
        </w:rPr>
        <w:fldChar w:fldCharType="begin"/>
      </w:r>
      <w:r w:rsidR="00C2791F" w:rsidRPr="00823FF7">
        <w:rPr>
          <w:rFonts w:ascii="Times New Roman" w:hAnsi="Times New Roman" w:cs="Times New Roman"/>
          <w:sz w:val="20"/>
          <w:szCs w:val="20"/>
          <w:lang w:val="en-US"/>
        </w:rPr>
        <w:instrText xml:space="preserve"> ADDIN ZOTERO_ITEM CSL_CITATION {"citationID":"EtdM9U5H","properties":{"unsorted":false,"formattedCitation":"(Chase &amp; National Institute of Standards and Technology (U.S.), 1998)","plainCitation":"(Chase &amp; National Institute of Standards and Technology (U.S.), 1998)","noteIndex":0},"citationItems":[{"id":2934,"uris":["http://zotero.org/users/18772035/items/AG4LA8CF"],"itemData":{"id":2934,"type":"book","call-number":"IN PROCESS (UTILITY LOAD)","edition":"4th ed","ISBN":"978-1-56396-831-0","number-of-pages":"2","publisher":"American Chemical Society ; American Institute of Physics for the National Institute of Standards and Technology","publisher-place":"Washington, DC : New York","source":"Library of Congress ISBN","title":"NIST-JANAF thermochemical tables","editor":[{"family":"Chase","given":"M. W."},{"literal":"National Institute of Standards and Technology (U.S.)"}],"issued":{"date-parts":[["1998"]]}}}],"schema":"https://github.com/citation-style-language/schema/raw/master/csl-citation.json"} </w:instrText>
      </w:r>
      <w:r w:rsidR="00C2791F" w:rsidRPr="00823FF7">
        <w:rPr>
          <w:rFonts w:ascii="Times New Roman" w:hAnsi="Times New Roman" w:cs="Times New Roman"/>
          <w:sz w:val="20"/>
          <w:szCs w:val="20"/>
        </w:rPr>
        <w:fldChar w:fldCharType="separate"/>
      </w:r>
      <w:r w:rsidR="00C2791F" w:rsidRPr="00823FF7">
        <w:rPr>
          <w:rFonts w:ascii="Times New Roman" w:hAnsi="Times New Roman" w:cs="Times New Roman"/>
          <w:sz w:val="20"/>
          <w:szCs w:val="20"/>
          <w:lang w:val="en-US"/>
        </w:rPr>
        <w:t>(Chase &amp; National Institute of Standards and Technology (U.S.), 1998)</w:t>
      </w:r>
      <w:r w:rsidR="00C2791F" w:rsidRPr="00823FF7">
        <w:rPr>
          <w:rFonts w:ascii="Times New Roman" w:hAnsi="Times New Roman" w:cs="Times New Roman"/>
          <w:sz w:val="20"/>
          <w:szCs w:val="20"/>
        </w:rPr>
        <w:fldChar w:fldCharType="end"/>
      </w:r>
      <w:r w:rsidRPr="00823FF7">
        <w:rPr>
          <w:rFonts w:ascii="Times New Roman" w:eastAsia="Times New Roman" w:hAnsi="Times New Roman" w:cs="Times New Roman"/>
          <w:sz w:val="20"/>
          <w:szCs w:val="20"/>
          <w:lang w:val="en-US"/>
        </w:rPr>
        <w:t>.</w:t>
      </w:r>
      <w:r w:rsidRPr="0091331C">
        <w:rPr>
          <w:rFonts w:ascii="Times New Roman" w:eastAsia="Times New Roman" w:hAnsi="Times New Roman" w:cs="Times New Roman"/>
          <w:sz w:val="20"/>
          <w:szCs w:val="20"/>
          <w:lang w:val="en-US"/>
        </w:rPr>
        <w:t xml:space="preserve"> The Gibbs energy for</w:t>
      </w:r>
      <w:r w:rsidR="004011E6">
        <w:rPr>
          <w:rFonts w:ascii="Times New Roman" w:eastAsia="Times New Roman" w:hAnsi="Times New Roman" w:cs="Times New Roman"/>
          <w:sz w:val="20"/>
          <w:szCs w:val="20"/>
          <w:lang w:val="en-US"/>
        </w:rPr>
        <w:t xml:space="preserve"> the</w:t>
      </w:r>
      <w:r w:rsidRPr="0091331C">
        <w:rPr>
          <w:rFonts w:ascii="Times New Roman" w:eastAsia="Times New Roman" w:hAnsi="Times New Roman" w:cs="Times New Roman"/>
          <w:sz w:val="20"/>
          <w:szCs w:val="20"/>
          <w:lang w:val="en-US"/>
        </w:rPr>
        <w:t xml:space="preserve"> different CB grades was estimated by incorporating the surface energy contribution to the material's bulk phase energy</w:t>
      </w:r>
      <w:r w:rsidR="00C2791F">
        <w:rPr>
          <w:rFonts w:ascii="Times New Roman" w:eastAsia="Times New Roman" w:hAnsi="Times New Roman" w:cs="Times New Roman"/>
          <w:sz w:val="20"/>
          <w:szCs w:val="20"/>
          <w:lang w:val="en-US"/>
        </w:rPr>
        <w:t>, as shown in equation 1</w:t>
      </w:r>
      <w:r w:rsidR="00DA7FFA">
        <w:rPr>
          <w:rFonts w:ascii="Times New Roman" w:eastAsia="Times New Roman" w:hAnsi="Times New Roman" w:cs="Times New Roman"/>
          <w:sz w:val="20"/>
          <w:szCs w:val="20"/>
          <w:lang w:val="en-US"/>
        </w:rPr>
        <w:t>,</w:t>
      </w:r>
      <w:r w:rsidR="00C2791F">
        <w:rPr>
          <w:rFonts w:ascii="Times New Roman" w:eastAsia="Times New Roman" w:hAnsi="Times New Roman" w:cs="Times New Roman"/>
          <w:sz w:val="20"/>
          <w:szCs w:val="20"/>
          <w:lang w:val="en-US"/>
        </w:rPr>
        <w:t xml:space="preserve"> w</w:t>
      </w:r>
      <w:r w:rsidR="00C2791F" w:rsidRPr="00C2791F">
        <w:rPr>
          <w:rFonts w:ascii="Times New Roman" w:eastAsia="Times New Roman" w:hAnsi="Times New Roman" w:cs="Times New Roman"/>
          <w:sz w:val="20"/>
          <w:szCs w:val="20"/>
          <w:lang w:val="en-US"/>
        </w:rPr>
        <w:t xml:space="preserve">here </w:t>
      </w:r>
      <m:oMath>
        <m:r>
          <w:rPr>
            <w:rFonts w:ascii="Cambria Math" w:eastAsia="Times New Roman" w:hAnsi="Cambria Math" w:cs="Times New Roman"/>
            <w:sz w:val="20"/>
            <w:szCs w:val="20"/>
            <w:lang w:val="en-US"/>
          </w:rPr>
          <m:t>r</m:t>
        </m:r>
      </m:oMath>
      <w:r w:rsidR="00C2791F" w:rsidRPr="00C2791F">
        <w:rPr>
          <w:rFonts w:ascii="Times New Roman" w:eastAsia="Times New Roman" w:hAnsi="Times New Roman" w:cs="Times New Roman"/>
          <w:sz w:val="20"/>
          <w:szCs w:val="20"/>
          <w:lang w:val="en-US"/>
        </w:rPr>
        <w:t xml:space="preserve"> is the radius (</w:t>
      </w:r>
      <m:oMath>
        <m:r>
          <w:rPr>
            <w:rFonts w:ascii="Cambria Math" w:eastAsia="Times New Roman" w:hAnsi="Cambria Math" w:cs="Times New Roman"/>
            <w:sz w:val="20"/>
            <w:szCs w:val="20"/>
            <w:lang w:val="en-US"/>
          </w:rPr>
          <m:t>m</m:t>
        </m:r>
      </m:oMath>
      <w:r w:rsidR="00C2791F" w:rsidRPr="00C2791F">
        <w:rPr>
          <w:rFonts w:ascii="Times New Roman" w:eastAsia="Times New Roman" w:hAnsi="Times New Roman" w:cs="Times New Roman"/>
          <w:sz w:val="20"/>
          <w:szCs w:val="20"/>
          <w:lang w:val="en-US"/>
        </w:rPr>
        <w:t>) of the primary particle</w:t>
      </w:r>
      <w:r w:rsidR="00C2791F">
        <w:rPr>
          <w:rFonts w:ascii="Times New Roman" w:eastAsia="Times New Roman" w:hAnsi="Times New Roman" w:cs="Times New Roman"/>
          <w:sz w:val="20"/>
          <w:szCs w:val="20"/>
          <w:lang w:val="en-US"/>
        </w:rPr>
        <w:t xml:space="preserve">, </w:t>
      </w:r>
      <m:oMath>
        <m:r>
          <w:rPr>
            <w:rFonts w:ascii="Cambria Math" w:eastAsia="Times New Roman" w:hAnsi="Cambria Math" w:cs="Times New Roman"/>
            <w:sz w:val="20"/>
            <w:szCs w:val="20"/>
            <w:lang w:val="en-US"/>
          </w:rPr>
          <m:t>σ</m:t>
        </m:r>
      </m:oMath>
      <w:r w:rsidR="00C2791F" w:rsidRPr="00C2791F">
        <w:rPr>
          <w:rFonts w:ascii="Times New Roman" w:eastAsia="Times New Roman" w:hAnsi="Times New Roman" w:cs="Times New Roman"/>
          <w:sz w:val="20"/>
          <w:szCs w:val="20"/>
          <w:lang w:val="en-US"/>
        </w:rPr>
        <w:t xml:space="preserve"> is the energy of surface (</w:t>
      </w:r>
      <m:oMath>
        <m:r>
          <w:rPr>
            <w:rFonts w:ascii="Cambria Math" w:eastAsia="Times New Roman" w:hAnsi="Cambria Math" w:cs="Times New Roman"/>
            <w:sz w:val="20"/>
            <w:szCs w:val="20"/>
            <w:lang w:val="en-US"/>
          </w:rPr>
          <m:t>kJ/m²)</m:t>
        </m:r>
      </m:oMath>
      <w:r w:rsidR="00C2791F" w:rsidRPr="00C2791F">
        <w:rPr>
          <w:rFonts w:ascii="Times New Roman" w:eastAsia="Times New Roman" w:hAnsi="Times New Roman" w:cs="Times New Roman"/>
          <w:sz w:val="20"/>
          <w:szCs w:val="20"/>
          <w:lang w:val="en-US"/>
        </w:rPr>
        <w:t xml:space="preserve">, </w:t>
      </w:r>
      <m:oMath>
        <m:r>
          <w:rPr>
            <w:rFonts w:ascii="Cambria Math" w:eastAsia="Times New Roman" w:hAnsi="Cambria Math" w:cs="Times New Roman"/>
            <w:sz w:val="20"/>
            <w:szCs w:val="20"/>
            <w:lang w:val="en-US"/>
          </w:rPr>
          <m:t>S</m:t>
        </m:r>
      </m:oMath>
      <w:r w:rsidR="00C2791F" w:rsidRPr="00C2791F">
        <w:rPr>
          <w:rFonts w:ascii="Times New Roman" w:eastAsia="Times New Roman" w:hAnsi="Times New Roman" w:cs="Times New Roman"/>
          <w:sz w:val="20"/>
          <w:szCs w:val="20"/>
          <w:lang w:val="en-US"/>
        </w:rPr>
        <w:t xml:space="preserve"> is the specific area (</w:t>
      </w:r>
      <m:oMath>
        <m:sSup>
          <m:sSupPr>
            <m:ctrlPr>
              <w:rPr>
                <w:rFonts w:ascii="Cambria Math" w:eastAsia="Times New Roman" w:hAnsi="Cambria Math" w:cs="Times New Roman"/>
                <w:i/>
                <w:sz w:val="20"/>
                <w:szCs w:val="20"/>
                <w:lang w:val="en-US"/>
              </w:rPr>
            </m:ctrlPr>
          </m:sSupPr>
          <m:e>
            <m:r>
              <w:rPr>
                <w:rFonts w:ascii="Cambria Math" w:eastAsia="Times New Roman" w:hAnsi="Cambria Math" w:cs="Times New Roman"/>
                <w:sz w:val="20"/>
                <w:szCs w:val="20"/>
                <w:lang w:val="en-US"/>
              </w:rPr>
              <m:t>m</m:t>
            </m:r>
          </m:e>
          <m:sup>
            <m:r>
              <w:rPr>
                <w:rFonts w:ascii="Cambria Math" w:eastAsia="Times New Roman" w:hAnsi="Cambria Math" w:cs="Times New Roman"/>
                <w:sz w:val="20"/>
                <w:szCs w:val="20"/>
                <w:lang w:val="en-US"/>
              </w:rPr>
              <m:t>2</m:t>
            </m:r>
          </m:sup>
        </m:sSup>
        <m:r>
          <w:rPr>
            <w:rFonts w:ascii="Cambria Math" w:eastAsia="Times New Roman" w:hAnsi="Cambria Math" w:cs="Times New Roman"/>
            <w:sz w:val="20"/>
            <w:szCs w:val="20"/>
            <w:lang w:val="en-US"/>
          </w:rPr>
          <m:t>/</m:t>
        </m:r>
        <m:sSup>
          <m:sSupPr>
            <m:ctrlPr>
              <w:rPr>
                <w:rFonts w:ascii="Cambria Math" w:eastAsia="Times New Roman" w:hAnsi="Cambria Math" w:cs="Times New Roman"/>
                <w:i/>
                <w:sz w:val="20"/>
                <w:szCs w:val="20"/>
                <w:lang w:val="en-US"/>
              </w:rPr>
            </m:ctrlPr>
          </m:sSupPr>
          <m:e>
            <m:r>
              <w:rPr>
                <w:rFonts w:ascii="Cambria Math" w:eastAsia="Times New Roman" w:hAnsi="Cambria Math" w:cs="Times New Roman"/>
                <w:sz w:val="20"/>
                <w:szCs w:val="20"/>
                <w:lang w:val="en-US"/>
              </w:rPr>
              <m:t>m</m:t>
            </m:r>
          </m:e>
          <m:sup>
            <m:r>
              <w:rPr>
                <w:rFonts w:ascii="Cambria Math" w:eastAsia="Times New Roman" w:hAnsi="Cambria Math" w:cs="Times New Roman"/>
                <w:sz w:val="20"/>
                <w:szCs w:val="20"/>
                <w:lang w:val="en-US"/>
              </w:rPr>
              <m:t>3</m:t>
            </m:r>
          </m:sup>
        </m:sSup>
      </m:oMath>
      <w:r w:rsidR="00C2791F" w:rsidRPr="00C2791F">
        <w:rPr>
          <w:rFonts w:ascii="Times New Roman" w:eastAsia="Times New Roman" w:hAnsi="Times New Roman" w:cs="Times New Roman"/>
          <w:sz w:val="20"/>
          <w:szCs w:val="20"/>
          <w:lang w:val="en-US"/>
        </w:rPr>
        <w:t xml:space="preserve">), </w:t>
      </w:r>
      <m:oMath>
        <m:r>
          <w:rPr>
            <w:rFonts w:ascii="Cambria Math" w:eastAsia="Times New Roman" w:hAnsi="Cambria Math" w:cs="Times New Roman"/>
            <w:sz w:val="20"/>
            <w:szCs w:val="20"/>
            <w:lang w:val="en-US"/>
          </w:rPr>
          <m:t>M</m:t>
        </m:r>
      </m:oMath>
      <w:r w:rsidR="00C2791F" w:rsidRPr="00C2791F">
        <w:rPr>
          <w:rFonts w:ascii="Times New Roman" w:eastAsia="Times New Roman" w:hAnsi="Times New Roman" w:cs="Times New Roman"/>
          <w:sz w:val="20"/>
          <w:szCs w:val="20"/>
          <w:lang w:val="en-US"/>
        </w:rPr>
        <w:t xml:space="preserve"> is the molar mass (</w:t>
      </w:r>
      <m:oMath>
        <m:r>
          <w:rPr>
            <w:rFonts w:ascii="Cambria Math" w:eastAsia="Times New Roman" w:hAnsi="Cambria Math" w:cs="Times New Roman"/>
            <w:sz w:val="20"/>
            <w:szCs w:val="20"/>
            <w:lang w:val="en-US"/>
          </w:rPr>
          <m:t>g⋅</m:t>
        </m:r>
        <m:sSup>
          <m:sSupPr>
            <m:ctrlPr>
              <w:rPr>
                <w:rFonts w:ascii="Cambria Math" w:eastAsia="Times New Roman" w:hAnsi="Cambria Math" w:cs="Times New Roman"/>
                <w:i/>
                <w:sz w:val="20"/>
                <w:szCs w:val="20"/>
                <w:lang w:val="en-US"/>
              </w:rPr>
            </m:ctrlPr>
          </m:sSupPr>
          <m:e>
            <m:r>
              <w:rPr>
                <w:rFonts w:ascii="Cambria Math" w:eastAsia="Times New Roman" w:hAnsi="Cambria Math" w:cs="Times New Roman"/>
                <w:sz w:val="20"/>
                <w:szCs w:val="20"/>
                <w:lang w:val="en-US"/>
              </w:rPr>
              <m:t>mol</m:t>
            </m:r>
          </m:e>
          <m:sup>
            <m:r>
              <w:rPr>
                <w:rFonts w:ascii="Cambria Math" w:eastAsia="Times New Roman" w:hAnsi="Cambria Math" w:cs="Times New Roman"/>
                <w:sz w:val="20"/>
                <w:szCs w:val="20"/>
                <w:lang w:val="en-US"/>
              </w:rPr>
              <m:t>-1</m:t>
            </m:r>
          </m:sup>
        </m:sSup>
      </m:oMath>
      <w:r w:rsidR="00C2791F" w:rsidRPr="00C2791F">
        <w:rPr>
          <w:rFonts w:ascii="Times New Roman" w:eastAsia="Times New Roman" w:hAnsi="Times New Roman" w:cs="Times New Roman"/>
          <w:sz w:val="20"/>
          <w:szCs w:val="20"/>
          <w:lang w:val="en-US"/>
        </w:rPr>
        <w:t xml:space="preserve">) and </w:t>
      </w:r>
      <m:oMath>
        <m:r>
          <w:rPr>
            <w:rFonts w:ascii="Cambria Math" w:eastAsia="Times New Roman" w:hAnsi="Cambria Math" w:cs="Times New Roman"/>
            <w:sz w:val="20"/>
            <w:szCs w:val="20"/>
            <w:lang w:val="en-US"/>
          </w:rPr>
          <m:t>d</m:t>
        </m:r>
      </m:oMath>
      <w:r w:rsidR="00C2791F" w:rsidRPr="00C2791F">
        <w:rPr>
          <w:rFonts w:ascii="Times New Roman" w:eastAsia="Times New Roman" w:hAnsi="Times New Roman" w:cs="Times New Roman"/>
          <w:sz w:val="20"/>
          <w:szCs w:val="20"/>
          <w:lang w:val="en-US"/>
        </w:rPr>
        <w:t xml:space="preserve"> is the density (</w:t>
      </w:r>
      <m:oMath>
        <m:r>
          <w:rPr>
            <w:rFonts w:ascii="Cambria Math" w:eastAsia="Times New Roman" w:hAnsi="Cambria Math" w:cs="Times New Roman"/>
            <w:sz w:val="20"/>
            <w:szCs w:val="20"/>
            <w:lang w:val="en-US"/>
          </w:rPr>
          <m:t>g.c</m:t>
        </m:r>
        <m:sSup>
          <m:sSupPr>
            <m:ctrlPr>
              <w:rPr>
                <w:rFonts w:ascii="Cambria Math" w:eastAsia="Times New Roman" w:hAnsi="Cambria Math" w:cs="Times New Roman"/>
                <w:i/>
                <w:sz w:val="20"/>
                <w:szCs w:val="20"/>
                <w:lang w:val="en-US"/>
              </w:rPr>
            </m:ctrlPr>
          </m:sSupPr>
          <m:e>
            <m:r>
              <w:rPr>
                <w:rFonts w:ascii="Cambria Math" w:eastAsia="Times New Roman" w:hAnsi="Cambria Math" w:cs="Times New Roman"/>
                <w:sz w:val="20"/>
                <w:szCs w:val="20"/>
                <w:lang w:val="en-US"/>
              </w:rPr>
              <m:t>m</m:t>
            </m:r>
          </m:e>
          <m:sup>
            <m:r>
              <w:rPr>
                <w:rFonts w:ascii="Cambria Math" w:eastAsia="Times New Roman" w:hAnsi="Cambria Math" w:cs="Times New Roman"/>
                <w:sz w:val="20"/>
                <w:szCs w:val="20"/>
                <w:lang w:val="en-US"/>
              </w:rPr>
              <m:t>3</m:t>
            </m:r>
          </m:sup>
        </m:sSup>
      </m:oMath>
      <w:r w:rsidR="00C2791F" w:rsidRPr="00C2791F">
        <w:rPr>
          <w:rFonts w:ascii="Times New Roman" w:eastAsia="Times New Roman" w:hAnsi="Times New Roman" w:cs="Times New Roman"/>
          <w:sz w:val="20"/>
          <w:szCs w:val="20"/>
          <w:lang w:val="en-US"/>
        </w:rPr>
        <w:t>) of carbon</w:t>
      </w:r>
      <w:r w:rsidR="00C34055">
        <w:rPr>
          <w:rFonts w:ascii="Times New Roman" w:eastAsia="Times New Roman" w:hAnsi="Times New Roman" w:cs="Times New Roman"/>
          <w:sz w:val="20"/>
          <w:szCs w:val="20"/>
          <w:lang w:val="en-US"/>
        </w:rPr>
        <w:t xml:space="preserve"> </w:t>
      </w:r>
      <w:r w:rsidR="002476BC" w:rsidRPr="00A12698">
        <w:rPr>
          <w:rFonts w:ascii="Times New Roman" w:eastAsia="Times New Roman" w:hAnsi="Times New Roman" w:cs="Times New Roman"/>
          <w:sz w:val="20"/>
          <w:szCs w:val="20"/>
          <w:lang w:val="en-US"/>
        </w:rPr>
        <w:fldChar w:fldCharType="begin"/>
      </w:r>
      <w:r w:rsidR="002476BC" w:rsidRPr="00A12698">
        <w:rPr>
          <w:rFonts w:ascii="Times New Roman" w:eastAsia="Times New Roman" w:hAnsi="Times New Roman" w:cs="Times New Roman"/>
          <w:sz w:val="20"/>
          <w:szCs w:val="20"/>
          <w:lang w:val="en-US"/>
        </w:rPr>
        <w:instrText xml:space="preserve"> ADDIN ZOTERO_ITEM CSL_CITATION {"citationID":"L72r74Q7","properties":{"unsorted":false,"formattedCitation":"(Amdur et al., 2014)","plainCitation":"(Amdur et al., 2014)","noteIndex":0},"citationItems":[{"id":2947,"uris":["http://zotero.org/users/18772035/items/IX34QZZH"],"itemData":{"id":2947,"type":"article-journal","abstract":"The particles of sooty carbon obtained by the Boudoir reaction have a complex openwork archi tecture, including globular amorphous and graphitized crystalline elements with nanometer crosslinks, as shown by scanning electron microscopy. The amorphous small scale structure of sooty carbon is responsible for increase in Gibbs energy and high kinetic activity.","citation-key":"amdur2014","container-title":"Steel in Translation","DOI":"10.3103/S0967091214060023","ISSN":"0967-0912, 1935-0988","issue":"6","journalAbbreviation":"Steel Transl.","language":"en","page":"408-410","source":"DOI.org (Crossref)","title":"Structure and thermodynamic activity of sooty carbon","volume":"44","author":[{"family":"Amdur","given":"A. M."},{"family":"Lkhamsuren","given":"M."},{"family":"Pavlov","given":"V. V."},{"family":"Barnasan","given":"P."}],"issued":{"date-parts":[["2014",6]]}}}],"schema":"https://github.com/citation-style-language/schema/raw/master/csl-citation.json"} </w:instrText>
      </w:r>
      <w:r w:rsidR="002476BC" w:rsidRPr="00A12698">
        <w:rPr>
          <w:rFonts w:ascii="Times New Roman" w:eastAsia="Times New Roman" w:hAnsi="Times New Roman" w:cs="Times New Roman"/>
          <w:sz w:val="20"/>
          <w:szCs w:val="20"/>
          <w:lang w:val="en-US"/>
        </w:rPr>
        <w:fldChar w:fldCharType="separate"/>
      </w:r>
      <w:r w:rsidR="002476BC" w:rsidRPr="00A12698">
        <w:rPr>
          <w:rFonts w:ascii="Times New Roman" w:hAnsi="Times New Roman" w:cs="Times New Roman"/>
          <w:sz w:val="20"/>
          <w:lang w:val="en-US"/>
        </w:rPr>
        <w:t>(Amdur et al., 2014)</w:t>
      </w:r>
      <w:r w:rsidR="002476BC" w:rsidRPr="00A12698">
        <w:rPr>
          <w:rFonts w:ascii="Times New Roman" w:eastAsia="Times New Roman" w:hAnsi="Times New Roman" w:cs="Times New Roman"/>
          <w:sz w:val="20"/>
          <w:szCs w:val="20"/>
          <w:lang w:val="en-US"/>
        </w:rPr>
        <w:fldChar w:fldCharType="end"/>
      </w:r>
      <w:r w:rsidRPr="0091331C">
        <w:rPr>
          <w:rFonts w:ascii="Times New Roman" w:eastAsia="Times New Roman" w:hAnsi="Times New Roman" w:cs="Times New Roman"/>
          <w:sz w:val="20"/>
          <w:szCs w:val="20"/>
          <w:lang w:val="en-US"/>
        </w:rPr>
        <w:t>. The</w:t>
      </w:r>
      <w:r w:rsidR="003A4E98">
        <w:rPr>
          <w:rFonts w:ascii="Times New Roman" w:eastAsia="Times New Roman" w:hAnsi="Times New Roman" w:cs="Times New Roman"/>
          <w:sz w:val="20"/>
          <w:szCs w:val="20"/>
          <w:lang w:val="en-US"/>
        </w:rPr>
        <w:t xml:space="preserve"> heat of </w:t>
      </w:r>
      <w:r w:rsidRPr="0091331C">
        <w:rPr>
          <w:rFonts w:ascii="Times New Roman" w:eastAsia="Times New Roman" w:hAnsi="Times New Roman" w:cs="Times New Roman"/>
          <w:sz w:val="20"/>
          <w:szCs w:val="20"/>
          <w:lang w:val="en-US"/>
        </w:rPr>
        <w:t xml:space="preserve">reaction </w:t>
      </w:r>
      <w:r w:rsidR="00252732">
        <w:rPr>
          <w:rFonts w:ascii="Times New Roman" w:eastAsia="Times New Roman" w:hAnsi="Times New Roman" w:cs="Times New Roman"/>
          <w:sz w:val="20"/>
          <w:szCs w:val="20"/>
          <w:lang w:val="en-US"/>
        </w:rPr>
        <w:t>was evaluated</w:t>
      </w:r>
      <w:r w:rsidR="00240B86">
        <w:rPr>
          <w:rFonts w:ascii="Times New Roman" w:eastAsia="Times New Roman" w:hAnsi="Times New Roman" w:cs="Times New Roman"/>
          <w:sz w:val="20"/>
          <w:szCs w:val="20"/>
          <w:lang w:val="en-US"/>
        </w:rPr>
        <w:t xml:space="preserve"> for each carbon product</w:t>
      </w:r>
      <w:r w:rsidR="00252732">
        <w:rPr>
          <w:rFonts w:ascii="Times New Roman" w:eastAsia="Times New Roman" w:hAnsi="Times New Roman" w:cs="Times New Roman"/>
          <w:sz w:val="20"/>
          <w:szCs w:val="20"/>
          <w:lang w:val="en-US"/>
        </w:rPr>
        <w:t>.</w:t>
      </w:r>
    </w:p>
    <w:tbl>
      <w:tblPr>
        <w:tblStyle w:val="Tabelacomgrade"/>
        <w:tblW w:w="9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1"/>
        <w:gridCol w:w="450"/>
      </w:tblGrid>
      <w:tr w:rsidR="00C2791F" w:rsidRPr="00C2791F" w14:paraId="7F1A427F" w14:textId="77777777" w:rsidTr="00C24424">
        <w:trPr>
          <w:trHeight w:val="340"/>
        </w:trPr>
        <w:tc>
          <w:tcPr>
            <w:tcW w:w="8895" w:type="dxa"/>
            <w:vAlign w:val="center"/>
          </w:tcPr>
          <w:p w14:paraId="54DB2254" w14:textId="77777777" w:rsidR="00C2791F" w:rsidRPr="00C2791F" w:rsidRDefault="00C2791F" w:rsidP="00C2791F">
            <w:pPr>
              <w:jc w:val="center"/>
              <w:rPr>
                <w:rFonts w:eastAsiaTheme="minorEastAsia"/>
                <w:sz w:val="20"/>
                <w:szCs w:val="20"/>
              </w:rPr>
            </w:pPr>
            <m:oMathPara>
              <m:oMath>
                <m:r>
                  <m:rPr>
                    <m:sty m:val="p"/>
                  </m:rPr>
                  <w:rPr>
                    <w:rFonts w:ascii="Cambria Math" w:eastAsiaTheme="minorEastAsia" w:hAnsi="Cambria Math"/>
                    <w:sz w:val="20"/>
                    <w:szCs w:val="20"/>
                  </w:rPr>
                  <m:t>Δ</m:t>
                </m:r>
                <m:r>
                  <w:rPr>
                    <w:rFonts w:ascii="Cambria Math" w:eastAsiaTheme="minorEastAsia" w:hAnsi="Cambria Math"/>
                    <w:sz w:val="20"/>
                    <w:szCs w:val="20"/>
                  </w:rPr>
                  <m:t>G</m:t>
                </m:r>
                <m:sSub>
                  <m:sSubPr>
                    <m:ctrlPr>
                      <w:rPr>
                        <w:rFonts w:ascii="Cambria Math" w:eastAsiaTheme="minorEastAsia" w:hAnsi="Cambria Math"/>
                        <w:i/>
                        <w:sz w:val="20"/>
                        <w:szCs w:val="20"/>
                      </w:rPr>
                    </m:ctrlPr>
                  </m:sSubPr>
                  <m:e>
                    <m:r>
                      <w:rPr>
                        <w:rFonts w:ascii="Cambria Math" w:eastAsiaTheme="minorEastAsia" w:hAnsi="Cambria Math"/>
                        <w:sz w:val="20"/>
                        <w:szCs w:val="20"/>
                      </w:rPr>
                      <m:t>°</m:t>
                    </m:r>
                  </m:e>
                  <m:sub>
                    <m:r>
                      <w:rPr>
                        <w:rFonts w:ascii="Cambria Math" w:eastAsiaTheme="minorEastAsia" w:hAnsi="Cambria Math"/>
                        <w:sz w:val="20"/>
                        <w:szCs w:val="20"/>
                      </w:rPr>
                      <m:t>surf</m:t>
                    </m:r>
                  </m:sub>
                </m:sSub>
                <m:r>
                  <w:rPr>
                    <w:rFonts w:ascii="Cambria Math" w:eastAsiaTheme="minorEastAsia" w:hAnsi="Cambria Math"/>
                    <w:sz w:val="20"/>
                    <w:szCs w:val="20"/>
                  </w:rPr>
                  <m:t>=3σ⋅</m:t>
                </m:r>
                <m:f>
                  <m:fPr>
                    <m:ctrlPr>
                      <w:rPr>
                        <w:rFonts w:ascii="Cambria Math" w:eastAsiaTheme="minorEastAsia" w:hAnsi="Cambria Math"/>
                        <w:i/>
                        <w:sz w:val="20"/>
                        <w:szCs w:val="20"/>
                      </w:rPr>
                    </m:ctrlPr>
                  </m:fPr>
                  <m:num>
                    <m:r>
                      <w:rPr>
                        <w:rFonts w:ascii="Cambria Math" w:eastAsiaTheme="minorEastAsia" w:hAnsi="Cambria Math"/>
                        <w:sz w:val="20"/>
                        <w:szCs w:val="20"/>
                      </w:rPr>
                      <m:t>M</m:t>
                    </m:r>
                  </m:num>
                  <m:den>
                    <m:r>
                      <w:rPr>
                        <w:rFonts w:ascii="Cambria Math" w:eastAsiaTheme="minorEastAsia" w:hAnsi="Cambria Math"/>
                        <w:sz w:val="20"/>
                        <w:szCs w:val="20"/>
                      </w:rPr>
                      <m:t>d⋅r</m:t>
                    </m:r>
                  </m:den>
                </m:f>
              </m:oMath>
            </m:oMathPara>
          </w:p>
        </w:tc>
        <w:tc>
          <w:tcPr>
            <w:tcW w:w="236" w:type="dxa"/>
            <w:vAlign w:val="center"/>
          </w:tcPr>
          <w:p w14:paraId="75C0C389" w14:textId="72E0D952" w:rsidR="00C2791F" w:rsidRPr="00C2791F" w:rsidRDefault="00C2791F" w:rsidP="00C2791F">
            <w:pPr>
              <w:jc w:val="center"/>
              <w:rPr>
                <w:rFonts w:ascii="Times New Roman" w:eastAsiaTheme="minorEastAsia" w:hAnsi="Times New Roman" w:cs="Times New Roman"/>
                <w:sz w:val="20"/>
                <w:szCs w:val="20"/>
              </w:rPr>
            </w:pPr>
            <w:r w:rsidRPr="00C2791F">
              <w:rPr>
                <w:rFonts w:ascii="Times New Roman" w:eastAsiaTheme="minorEastAsia" w:hAnsi="Times New Roman" w:cs="Times New Roman"/>
                <w:sz w:val="20"/>
                <w:szCs w:val="20"/>
              </w:rPr>
              <w:t>(1)</w:t>
            </w:r>
          </w:p>
        </w:tc>
      </w:tr>
    </w:tbl>
    <w:p w14:paraId="28D0743F" w14:textId="4B110715" w:rsidR="00097364" w:rsidRPr="0091331C" w:rsidRDefault="00C2791F" w:rsidP="00AC42FF">
      <w:pPr>
        <w:pStyle w:val="PargrafodaLista"/>
        <w:pBdr>
          <w:top w:val="nil"/>
          <w:left w:val="nil"/>
          <w:bottom w:val="nil"/>
          <w:right w:val="nil"/>
          <w:between w:val="nil"/>
        </w:pBdr>
        <w:spacing w:after="0" w:line="240" w:lineRule="auto"/>
        <w:ind w:left="0" w:firstLine="567"/>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w:t>
      </w:r>
      <w:r w:rsidR="0091331C" w:rsidRPr="0091331C">
        <w:rPr>
          <w:rFonts w:ascii="Times New Roman" w:eastAsia="Times New Roman" w:hAnsi="Times New Roman" w:cs="Times New Roman"/>
          <w:sz w:val="20"/>
          <w:szCs w:val="20"/>
          <w:lang w:val="en-US"/>
        </w:rPr>
        <w:t xml:space="preserve">he computational model was validated against literature data </w:t>
      </w:r>
      <w:r w:rsidR="002E1374" w:rsidRPr="00A12698">
        <w:rPr>
          <w:rFonts w:ascii="Times New Roman" w:eastAsia="Times New Roman" w:hAnsi="Times New Roman" w:cs="Times New Roman"/>
          <w:sz w:val="20"/>
          <w:szCs w:val="20"/>
          <w:lang w:val="en-US"/>
        </w:rPr>
        <w:fldChar w:fldCharType="begin"/>
      </w:r>
      <w:r w:rsidR="002E1374" w:rsidRPr="00A12698">
        <w:rPr>
          <w:rFonts w:ascii="Times New Roman" w:eastAsia="Times New Roman" w:hAnsi="Times New Roman" w:cs="Times New Roman"/>
          <w:sz w:val="20"/>
          <w:szCs w:val="20"/>
          <w:lang w:val="en-US"/>
        </w:rPr>
        <w:instrText xml:space="preserve"> ADDIN ZOTERO_ITEM CSL_CITATION {"citationID":"YMQ6sIBp","properties":{"unsorted":false,"formattedCitation":"(Marquardt et al., 2020)","plainCitation":"(Marquardt et al., 2020)","noteIndex":0},"citationItems":[{"id":507,"uris":["http://zotero.org/users/18772035/items/67XZKPE5"],"itemData":{"id":507,"type":"article-journal","abstract":"Methane decomposition is a promising approach to reduce the carbon footprint of hydrogen production. Solid carbon is one of the products and can improve the economics as a valuable byproduct or it is to be stored. The morphology of the produced carbon affects not only its economic value, but thermodynamic properties as well. Thermodynamic properties of graphite are usually used for modelling and simulation tasks for methane decomposition. In this study, the impact of the produced carbon type on the decomposition of methane is analyzed. Based on experimental data from literature for e.g. amorphous carbon, carbides, carbon filaments and nanotubes, the equilibrium of the methane decomposition reaction in dependence of temperature and carbon type is evaluated. The highest equilibrium methane conversion is observed for multiwall carbon nanotubes and the lowest for coke as carbon product. If another carbon morphology than graphite occurs, the reaction enthalpy is, in average, increased by 17.6%. To evaluate the potential influence on a production process, a methane decomposition process based on an electrically heated moving bed reactor is simulated. The specific electrical energy input and the methane consumption is calculated in dependence of the main process parameters and the produced carbon type. In a base case simulation the specific electrical energy input is 1.13kWh/NmH23. About 60% of the electrical power is required for heating the reactor. The energy input is highly affected by the amount of recycled bed material, the effectiveness of heat transfer, the methane conversion and by the carbon type. In the simulated temperature range of between 800 and 1300 K, the specific electrical energy input for a produced carbon type that differs from graphite is in average increased by 14.2% and by 58% in maximum. Further research on thermodynamic properties of different carbon types and their relevance for different methane pyrolysis processes is required.","citation-key":"marquardt2020","container-title":"Energy Conversion and Management","DOI":"10.1016/j.enconman.2020.113125","ISSN":"01968904","publisher":"Elsevier Ltd","title":"Hydrogen production by methane decomposition: Analysis of thermodynamic carbon properties and process evaluation","volume":"221","author":[{"family":"Marquardt","given":"T."},{"family":"Bode","given":"A."},{"family":"Kabelac","given":"S."}],"issued":{"date-parts":[["2020",10,1]]}}}],"schema":"https://github.com/citation-style-language/schema/raw/master/csl-citation.json"} </w:instrText>
      </w:r>
      <w:r w:rsidR="002E1374" w:rsidRPr="00A12698">
        <w:rPr>
          <w:rFonts w:ascii="Times New Roman" w:eastAsia="Times New Roman" w:hAnsi="Times New Roman" w:cs="Times New Roman"/>
          <w:sz w:val="20"/>
          <w:szCs w:val="20"/>
          <w:lang w:val="en-US"/>
        </w:rPr>
        <w:fldChar w:fldCharType="separate"/>
      </w:r>
      <w:r w:rsidR="002E1374" w:rsidRPr="00A12698">
        <w:rPr>
          <w:rFonts w:ascii="Times New Roman" w:hAnsi="Times New Roman" w:cs="Times New Roman"/>
          <w:sz w:val="20"/>
          <w:lang w:val="en-US"/>
        </w:rPr>
        <w:t>(Marquardt et al., 2020)</w:t>
      </w:r>
      <w:r w:rsidR="002E1374" w:rsidRPr="00A12698">
        <w:rPr>
          <w:rFonts w:ascii="Times New Roman" w:eastAsia="Times New Roman" w:hAnsi="Times New Roman" w:cs="Times New Roman"/>
          <w:sz w:val="20"/>
          <w:szCs w:val="20"/>
          <w:lang w:val="en-US"/>
        </w:rPr>
        <w:fldChar w:fldCharType="end"/>
      </w:r>
      <w:r w:rsidR="00A12698">
        <w:rPr>
          <w:rFonts w:ascii="Times New Roman" w:eastAsia="Times New Roman" w:hAnsi="Times New Roman" w:cs="Times New Roman"/>
          <w:sz w:val="20"/>
          <w:szCs w:val="20"/>
          <w:lang w:val="en-US"/>
        </w:rPr>
        <w:t xml:space="preserve"> </w:t>
      </w:r>
      <w:r w:rsidR="0091331C" w:rsidRPr="0091331C">
        <w:rPr>
          <w:rFonts w:ascii="Times New Roman" w:eastAsia="Times New Roman" w:hAnsi="Times New Roman" w:cs="Times New Roman"/>
          <w:sz w:val="20"/>
          <w:szCs w:val="20"/>
          <w:lang w:val="en-US"/>
        </w:rPr>
        <w:t>for graphite and coke formation. The model exhibited statistical agreement, yielding R</w:t>
      </w:r>
      <w:r w:rsidR="00C34055">
        <w:rPr>
          <w:rFonts w:ascii="Times New Roman" w:eastAsia="Times New Roman" w:hAnsi="Times New Roman" w:cs="Times New Roman"/>
          <w:sz w:val="20"/>
          <w:szCs w:val="20"/>
          <w:lang w:val="en-US"/>
        </w:rPr>
        <w:t>²</w:t>
      </w:r>
      <w:r w:rsidR="0091331C" w:rsidRPr="0091331C">
        <w:rPr>
          <w:rFonts w:ascii="Times New Roman" w:eastAsia="Times New Roman" w:hAnsi="Times New Roman" w:cs="Times New Roman"/>
          <w:sz w:val="20"/>
          <w:szCs w:val="20"/>
          <w:lang w:val="en-US"/>
        </w:rPr>
        <w:t xml:space="preserve"> values</w:t>
      </w:r>
      <w:r w:rsidR="00A12698">
        <w:rPr>
          <w:rFonts w:ascii="Times New Roman" w:eastAsia="Times New Roman" w:hAnsi="Times New Roman" w:cs="Times New Roman"/>
          <w:sz w:val="20"/>
          <w:szCs w:val="20"/>
          <w:lang w:val="en-US"/>
        </w:rPr>
        <w:t xml:space="preserve"> gr</w:t>
      </w:r>
      <w:r w:rsidR="004011E6">
        <w:rPr>
          <w:rFonts w:ascii="Times New Roman" w:eastAsia="Times New Roman" w:hAnsi="Times New Roman" w:cs="Times New Roman"/>
          <w:sz w:val="20"/>
          <w:szCs w:val="20"/>
          <w:lang w:val="en-US"/>
        </w:rPr>
        <w:t>e</w:t>
      </w:r>
      <w:r w:rsidR="00A12698">
        <w:rPr>
          <w:rFonts w:ascii="Times New Roman" w:eastAsia="Times New Roman" w:hAnsi="Times New Roman" w:cs="Times New Roman"/>
          <w:sz w:val="20"/>
          <w:szCs w:val="20"/>
          <w:lang w:val="en-US"/>
        </w:rPr>
        <w:t>ater than</w:t>
      </w:r>
      <w:r w:rsidR="0091331C" w:rsidRPr="0091331C">
        <w:rPr>
          <w:rFonts w:ascii="Times New Roman" w:eastAsia="Times New Roman" w:hAnsi="Times New Roman" w:cs="Times New Roman"/>
          <w:sz w:val="20"/>
          <w:szCs w:val="20"/>
          <w:lang w:val="en-US"/>
        </w:rPr>
        <w:t xml:space="preserve"> 0.99</w:t>
      </w:r>
      <w:r w:rsidR="00A12698">
        <w:rPr>
          <w:rFonts w:ascii="Times New Roman" w:eastAsia="Times New Roman" w:hAnsi="Times New Roman" w:cs="Times New Roman"/>
          <w:sz w:val="20"/>
          <w:szCs w:val="20"/>
          <w:lang w:val="en-US"/>
        </w:rPr>
        <w:t>6</w:t>
      </w:r>
      <w:r w:rsidR="0091331C" w:rsidRPr="0091331C">
        <w:rPr>
          <w:rFonts w:ascii="Times New Roman" w:eastAsia="Times New Roman" w:hAnsi="Times New Roman" w:cs="Times New Roman"/>
          <w:sz w:val="20"/>
          <w:szCs w:val="20"/>
          <w:lang w:val="en-US"/>
        </w:rPr>
        <w:t>.</w:t>
      </w:r>
      <w:r w:rsidR="00173A23">
        <w:rPr>
          <w:rFonts w:ascii="Times New Roman" w:eastAsia="Times New Roman" w:hAnsi="Times New Roman" w:cs="Times New Roman"/>
          <w:sz w:val="20"/>
          <w:szCs w:val="20"/>
          <w:lang w:val="en-US"/>
        </w:rPr>
        <w:t xml:space="preserve"> </w:t>
      </w:r>
      <w:r w:rsidR="0091331C" w:rsidRPr="00823FF7">
        <w:rPr>
          <w:rFonts w:ascii="Times New Roman" w:eastAsia="Times New Roman" w:hAnsi="Times New Roman" w:cs="Times New Roman"/>
          <w:sz w:val="20"/>
          <w:szCs w:val="20"/>
          <w:lang w:val="en-US"/>
        </w:rPr>
        <w:t>For N100</w:t>
      </w:r>
      <w:r w:rsidR="004011E6" w:rsidRPr="00823FF7">
        <w:rPr>
          <w:rFonts w:ascii="Times New Roman" w:eastAsia="Times New Roman" w:hAnsi="Times New Roman" w:cs="Times New Roman"/>
          <w:sz w:val="20"/>
          <w:szCs w:val="20"/>
          <w:lang w:val="en-US"/>
        </w:rPr>
        <w:t>, N339 and N990 CB</w:t>
      </w:r>
      <w:r w:rsidR="0091331C" w:rsidRPr="00823FF7">
        <w:rPr>
          <w:rFonts w:ascii="Times New Roman" w:eastAsia="Times New Roman" w:hAnsi="Times New Roman" w:cs="Times New Roman"/>
          <w:sz w:val="20"/>
          <w:szCs w:val="20"/>
          <w:lang w:val="en-US"/>
        </w:rPr>
        <w:t xml:space="preserve"> the model predicted a maximum </w:t>
      </w:r>
      <w:r w:rsidR="004011E6" w:rsidRPr="00823FF7">
        <w:rPr>
          <w:rFonts w:ascii="Times New Roman" w:eastAsia="Times New Roman" w:hAnsi="Times New Roman" w:cs="Times New Roman"/>
          <w:sz w:val="20"/>
          <w:szCs w:val="20"/>
          <w:lang w:val="en-US"/>
        </w:rPr>
        <w:t xml:space="preserve">deviation of </w:t>
      </w:r>
      <w:r w:rsidR="0091331C" w:rsidRPr="00823FF7">
        <w:rPr>
          <w:rFonts w:ascii="Times New Roman" w:eastAsia="Times New Roman" w:hAnsi="Times New Roman" w:cs="Times New Roman"/>
          <w:sz w:val="20"/>
          <w:szCs w:val="20"/>
          <w:lang w:val="en-US"/>
        </w:rPr>
        <w:t>methane conversion</w:t>
      </w:r>
      <w:r w:rsidR="004011E6" w:rsidRPr="00823FF7">
        <w:rPr>
          <w:rFonts w:ascii="Times New Roman" w:eastAsia="Times New Roman" w:hAnsi="Times New Roman" w:cs="Times New Roman"/>
          <w:sz w:val="20"/>
          <w:szCs w:val="20"/>
          <w:lang w:val="en-US"/>
        </w:rPr>
        <w:t>, compared to graphite,</w:t>
      </w:r>
      <w:r w:rsidR="0091331C" w:rsidRPr="00823FF7">
        <w:rPr>
          <w:rFonts w:ascii="Times New Roman" w:eastAsia="Times New Roman" w:hAnsi="Times New Roman" w:cs="Times New Roman"/>
          <w:sz w:val="20"/>
          <w:szCs w:val="20"/>
          <w:lang w:val="en-US"/>
        </w:rPr>
        <w:t xml:space="preserve"> of </w:t>
      </w:r>
      <w:r w:rsidR="000B5A7E" w:rsidRPr="00823FF7">
        <w:rPr>
          <w:rFonts w:ascii="Times New Roman" w:eastAsia="Times New Roman" w:hAnsi="Times New Roman" w:cs="Times New Roman"/>
          <w:sz w:val="20"/>
          <w:szCs w:val="20"/>
          <w:lang w:val="en-US"/>
        </w:rPr>
        <w:t>-</w:t>
      </w:r>
      <w:r w:rsidR="0091331C" w:rsidRPr="00823FF7">
        <w:rPr>
          <w:rFonts w:ascii="Times New Roman" w:eastAsia="Times New Roman" w:hAnsi="Times New Roman" w:cs="Times New Roman"/>
          <w:sz w:val="20"/>
          <w:szCs w:val="20"/>
          <w:lang w:val="en-US"/>
        </w:rPr>
        <w:t>22.62</w:t>
      </w:r>
      <w:r w:rsidR="004011E6" w:rsidRPr="00823FF7">
        <w:rPr>
          <w:rFonts w:ascii="Times New Roman" w:eastAsia="Times New Roman" w:hAnsi="Times New Roman" w:cs="Times New Roman"/>
          <w:sz w:val="20"/>
          <w:szCs w:val="20"/>
          <w:lang w:val="en-US"/>
        </w:rPr>
        <w:t xml:space="preserve">, </w:t>
      </w:r>
      <w:r w:rsidR="000B5A7E" w:rsidRPr="00823FF7">
        <w:rPr>
          <w:rFonts w:ascii="Times New Roman" w:eastAsia="Times New Roman" w:hAnsi="Times New Roman" w:cs="Times New Roman"/>
          <w:sz w:val="20"/>
          <w:szCs w:val="20"/>
          <w:lang w:val="en-US"/>
        </w:rPr>
        <w:t>-</w:t>
      </w:r>
      <w:r w:rsidR="004011E6" w:rsidRPr="00823FF7">
        <w:rPr>
          <w:rFonts w:ascii="Times New Roman" w:eastAsia="Times New Roman" w:hAnsi="Times New Roman" w:cs="Times New Roman"/>
          <w:sz w:val="20"/>
          <w:szCs w:val="20"/>
          <w:lang w:val="en-US"/>
        </w:rPr>
        <w:t xml:space="preserve">14.88 and </w:t>
      </w:r>
      <w:r w:rsidR="000B5A7E" w:rsidRPr="00823FF7">
        <w:rPr>
          <w:rFonts w:ascii="Times New Roman" w:eastAsia="Times New Roman" w:hAnsi="Times New Roman" w:cs="Times New Roman"/>
          <w:sz w:val="20"/>
          <w:szCs w:val="20"/>
          <w:lang w:val="en-US"/>
        </w:rPr>
        <w:t>-</w:t>
      </w:r>
      <w:r w:rsidR="004011E6" w:rsidRPr="00823FF7">
        <w:rPr>
          <w:rFonts w:ascii="Times New Roman" w:eastAsia="Times New Roman" w:hAnsi="Times New Roman" w:cs="Times New Roman"/>
          <w:sz w:val="20"/>
          <w:szCs w:val="20"/>
          <w:lang w:val="en-US"/>
        </w:rPr>
        <w:t>1.</w:t>
      </w:r>
      <w:r w:rsidR="000B5A7E" w:rsidRPr="00823FF7">
        <w:rPr>
          <w:rFonts w:ascii="Times New Roman" w:eastAsia="Times New Roman" w:hAnsi="Times New Roman" w:cs="Times New Roman"/>
          <w:sz w:val="20"/>
          <w:szCs w:val="20"/>
          <w:lang w:val="en-US"/>
        </w:rPr>
        <w:t>3</w:t>
      </w:r>
      <w:r w:rsidR="004011E6" w:rsidRPr="00823FF7">
        <w:rPr>
          <w:rFonts w:ascii="Times New Roman" w:eastAsia="Times New Roman" w:hAnsi="Times New Roman" w:cs="Times New Roman"/>
          <w:sz w:val="20"/>
          <w:szCs w:val="20"/>
          <w:lang w:val="en-US"/>
        </w:rPr>
        <w:t>9 percentual points, respectvly,</w:t>
      </w:r>
      <w:r w:rsidR="0091331C" w:rsidRPr="00823FF7">
        <w:rPr>
          <w:rFonts w:ascii="Times New Roman" w:eastAsia="Times New Roman" w:hAnsi="Times New Roman" w:cs="Times New Roman"/>
          <w:sz w:val="20"/>
          <w:szCs w:val="20"/>
          <w:lang w:val="en-US"/>
        </w:rPr>
        <w:t xml:space="preserve"> at 873 K</w:t>
      </w:r>
      <w:r w:rsidR="004011E6" w:rsidRPr="00823FF7">
        <w:rPr>
          <w:rFonts w:ascii="Times New Roman" w:eastAsia="Times New Roman" w:hAnsi="Times New Roman" w:cs="Times New Roman"/>
          <w:sz w:val="20"/>
          <w:szCs w:val="20"/>
          <w:lang w:val="en-US"/>
        </w:rPr>
        <w:t>.</w:t>
      </w:r>
      <w:r w:rsidR="000B5A7E" w:rsidRPr="00823FF7">
        <w:rPr>
          <w:rFonts w:ascii="Times New Roman" w:eastAsia="Times New Roman" w:hAnsi="Times New Roman" w:cs="Times New Roman"/>
          <w:sz w:val="20"/>
          <w:szCs w:val="20"/>
          <w:lang w:val="en-US"/>
        </w:rPr>
        <w:t xml:space="preserve"> The</w:t>
      </w:r>
      <w:r w:rsidR="0091331C" w:rsidRPr="00823FF7">
        <w:rPr>
          <w:rFonts w:ascii="Times New Roman" w:eastAsia="Times New Roman" w:hAnsi="Times New Roman" w:cs="Times New Roman"/>
          <w:sz w:val="20"/>
          <w:szCs w:val="20"/>
          <w:lang w:val="en-US"/>
        </w:rPr>
        <w:t xml:space="preserve"> average</w:t>
      </w:r>
      <w:r w:rsidR="000B5A7E" w:rsidRPr="00823FF7">
        <w:rPr>
          <w:rFonts w:ascii="Times New Roman" w:eastAsia="Times New Roman" w:hAnsi="Times New Roman" w:cs="Times New Roman"/>
          <w:sz w:val="20"/>
          <w:szCs w:val="20"/>
          <w:lang w:val="en-US"/>
        </w:rPr>
        <w:t xml:space="preserve"> deviation of</w:t>
      </w:r>
      <w:r w:rsidR="0091331C" w:rsidRPr="00823FF7">
        <w:rPr>
          <w:rFonts w:ascii="Times New Roman" w:eastAsia="Times New Roman" w:hAnsi="Times New Roman" w:cs="Times New Roman"/>
          <w:sz w:val="20"/>
          <w:szCs w:val="20"/>
          <w:lang w:val="en-US"/>
        </w:rPr>
        <w:t xml:space="preserve"> </w:t>
      </w:r>
      <w:r w:rsidR="000B5A7E" w:rsidRPr="00823FF7">
        <w:rPr>
          <w:rFonts w:ascii="Times New Roman" w:eastAsia="Times New Roman" w:hAnsi="Times New Roman" w:cs="Times New Roman"/>
          <w:sz w:val="20"/>
          <w:szCs w:val="20"/>
          <w:lang w:val="en-US"/>
        </w:rPr>
        <w:t xml:space="preserve">methane </w:t>
      </w:r>
      <w:r w:rsidR="0091331C" w:rsidRPr="00823FF7">
        <w:rPr>
          <w:rFonts w:ascii="Times New Roman" w:eastAsia="Times New Roman" w:hAnsi="Times New Roman" w:cs="Times New Roman"/>
          <w:sz w:val="20"/>
          <w:szCs w:val="20"/>
          <w:lang w:val="en-US"/>
        </w:rPr>
        <w:t>conversion</w:t>
      </w:r>
      <w:r w:rsidR="000B5A7E" w:rsidRPr="00823FF7">
        <w:rPr>
          <w:rFonts w:ascii="Times New Roman" w:eastAsia="Times New Roman" w:hAnsi="Times New Roman" w:cs="Times New Roman"/>
          <w:sz w:val="20"/>
          <w:szCs w:val="20"/>
          <w:lang w:val="en-US"/>
        </w:rPr>
        <w:t>, across the temperature range, was 7.94, 5.11 and 0.46 percentual points, respectvly, for each CB grade</w:t>
      </w:r>
      <w:r w:rsidR="0091331C" w:rsidRPr="0091331C">
        <w:rPr>
          <w:rFonts w:ascii="Times New Roman" w:eastAsia="Times New Roman" w:hAnsi="Times New Roman" w:cs="Times New Roman"/>
          <w:sz w:val="20"/>
          <w:szCs w:val="20"/>
          <w:lang w:val="en-US"/>
        </w:rPr>
        <w:t>. The standard heat of reaction calculations indicated an average energy penalty of +4.52 kJ/mol</w:t>
      </w:r>
      <w:r w:rsidR="00F82862">
        <w:rPr>
          <w:rFonts w:ascii="Times New Roman" w:eastAsia="Times New Roman" w:hAnsi="Times New Roman" w:cs="Times New Roman"/>
          <w:sz w:val="20"/>
          <w:szCs w:val="20"/>
          <w:lang w:val="en-US"/>
        </w:rPr>
        <w:t xml:space="preserve"> </w:t>
      </w:r>
      <w:r w:rsidR="000B5A7E">
        <w:rPr>
          <w:rFonts w:ascii="Times New Roman" w:eastAsia="Times New Roman" w:hAnsi="Times New Roman" w:cs="Times New Roman"/>
          <w:sz w:val="20"/>
          <w:szCs w:val="20"/>
          <w:lang w:val="en-US"/>
        </w:rPr>
        <w:t>for</w:t>
      </w:r>
      <w:r w:rsidR="0091331C" w:rsidRPr="0091331C">
        <w:rPr>
          <w:rFonts w:ascii="Times New Roman" w:eastAsia="Times New Roman" w:hAnsi="Times New Roman" w:cs="Times New Roman"/>
          <w:sz w:val="20"/>
          <w:szCs w:val="20"/>
          <w:lang w:val="en-US"/>
        </w:rPr>
        <w:t xml:space="preserve"> N100 compared to graphite. N339 and N990 required an additional +2.91 kJ/mol and +0.26 kJ/mol, respectively. These results quantitatively demonstrate that generic graphite thermodynamic assumptions fail to capture the energy demands of industrial CB production.</w:t>
      </w:r>
    </w:p>
    <w:p w14:paraId="063EC277" w14:textId="7089E8F2" w:rsidR="00E42821" w:rsidRPr="00173A23" w:rsidRDefault="006A279C" w:rsidP="00AC42FF">
      <w:pPr>
        <w:pStyle w:val="PargrafodaLista"/>
        <w:pBdr>
          <w:top w:val="nil"/>
          <w:left w:val="nil"/>
          <w:bottom w:val="nil"/>
          <w:right w:val="nil"/>
          <w:between w:val="nil"/>
        </w:pBdr>
        <w:spacing w:after="0" w:line="240" w:lineRule="auto"/>
        <w:ind w:left="0" w:firstLine="567"/>
        <w:jc w:val="both"/>
        <w:rPr>
          <w:rFonts w:ascii="Times New Roman" w:eastAsia="Times New Roman" w:hAnsi="Times New Roman" w:cs="Times New Roman"/>
          <w:sz w:val="20"/>
          <w:szCs w:val="20"/>
          <w:lang w:val="en-US"/>
        </w:rPr>
      </w:pPr>
      <w:r w:rsidRPr="00823FF7">
        <w:rPr>
          <w:rFonts w:ascii="Times New Roman" w:eastAsia="Times New Roman" w:hAnsi="Times New Roman" w:cs="Times New Roman"/>
          <w:sz w:val="20"/>
          <w:szCs w:val="20"/>
          <w:lang w:val="en-US"/>
        </w:rPr>
        <w:t xml:space="preserve">This study </w:t>
      </w:r>
      <w:r w:rsidR="001613CB" w:rsidRPr="00823FF7">
        <w:rPr>
          <w:rFonts w:ascii="Times New Roman" w:eastAsia="Times New Roman" w:hAnsi="Times New Roman" w:cs="Times New Roman"/>
          <w:sz w:val="20"/>
          <w:szCs w:val="20"/>
          <w:lang w:val="en-US"/>
        </w:rPr>
        <w:t xml:space="preserve">enables the modeling of CB production via methane pyrolysis, providing the necessary framework to </w:t>
      </w:r>
      <w:r w:rsidR="00B95DDE" w:rsidRPr="00823FF7">
        <w:rPr>
          <w:rFonts w:ascii="Times New Roman" w:eastAsia="Times New Roman" w:hAnsi="Times New Roman" w:cs="Times New Roman"/>
          <w:sz w:val="20"/>
          <w:szCs w:val="20"/>
          <w:lang w:val="en-US"/>
        </w:rPr>
        <w:t>account for</w:t>
      </w:r>
      <w:r w:rsidR="001613CB" w:rsidRPr="00823FF7">
        <w:rPr>
          <w:rFonts w:ascii="Times New Roman" w:eastAsia="Times New Roman" w:hAnsi="Times New Roman" w:cs="Times New Roman"/>
          <w:sz w:val="20"/>
          <w:szCs w:val="20"/>
          <w:lang w:val="en-US"/>
        </w:rPr>
        <w:t xml:space="preserve"> its thermodynamic behavior</w:t>
      </w:r>
      <w:r w:rsidRPr="006A279C">
        <w:rPr>
          <w:rFonts w:ascii="Times New Roman" w:eastAsia="Times New Roman" w:hAnsi="Times New Roman" w:cs="Times New Roman"/>
          <w:sz w:val="20"/>
          <w:szCs w:val="20"/>
          <w:lang w:val="en-US"/>
        </w:rPr>
        <w:t>. The results demonstrated that smaller primary particles (e.g., N100) significantly lower the equilibrium conversion (up to -22.62%) and increase the heat of reaction (+4.52 kJ/mol). Incorporating morphology-specific thermodynamic estimations is crucial for the precise modeling, reactor design, and techno-economic analysis of sustainable carbon black processes.</w:t>
      </w:r>
    </w:p>
    <w:p w14:paraId="063EC279" w14:textId="52018FAA" w:rsidR="00E42821" w:rsidRPr="005F7527" w:rsidRDefault="005F7527" w:rsidP="000E40E1">
      <w:pPr>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bCs/>
          <w:color w:val="000000"/>
          <w:sz w:val="20"/>
          <w:szCs w:val="20"/>
          <w:lang w:val="en-US"/>
        </w:rPr>
        <w:t>Keywords</w:t>
      </w:r>
      <w:r w:rsidR="00972054" w:rsidRPr="005F7527">
        <w:rPr>
          <w:rFonts w:ascii="Times New Roman" w:eastAsia="Times New Roman" w:hAnsi="Times New Roman" w:cs="Times New Roman"/>
          <w:color w:val="000000"/>
          <w:sz w:val="20"/>
          <w:szCs w:val="20"/>
          <w:lang w:val="en-US"/>
        </w:rPr>
        <w:t xml:space="preserve">: </w:t>
      </w:r>
      <w:r w:rsidRPr="005F7527">
        <w:rPr>
          <w:rFonts w:ascii="Times New Roman" w:eastAsia="Times New Roman" w:hAnsi="Times New Roman" w:cs="Times New Roman"/>
          <w:color w:val="000000"/>
          <w:sz w:val="20"/>
          <w:szCs w:val="20"/>
          <w:lang w:val="en-US"/>
        </w:rPr>
        <w:t>Carbon Black, Methane Pyrolysis, Gibbs energy minimization</w:t>
      </w:r>
      <w:r w:rsidR="00972054" w:rsidRPr="005F7527">
        <w:rPr>
          <w:rFonts w:ascii="Times New Roman" w:eastAsia="Times New Roman" w:hAnsi="Times New Roman" w:cs="Times New Roman"/>
          <w:color w:val="000000"/>
          <w:sz w:val="20"/>
          <w:szCs w:val="20"/>
          <w:lang w:val="en-US"/>
        </w:rPr>
        <w:t>.</w:t>
      </w:r>
    </w:p>
    <w:p w14:paraId="45460C9D" w14:textId="52AF3DB4" w:rsidR="0069393E" w:rsidRDefault="0069393E" w:rsidP="00173A23">
      <w:pPr>
        <w:keepNext/>
        <w:pBdr>
          <w:top w:val="nil"/>
          <w:left w:val="nil"/>
          <w:bottom w:val="nil"/>
          <w:right w:val="nil"/>
          <w:between w:val="nil"/>
        </w:pBdr>
        <w:spacing w:before="120" w:after="60" w:line="240" w:lineRule="auto"/>
        <w:jc w:val="both"/>
        <w:rPr>
          <w:rFonts w:ascii="Times New Roman" w:eastAsia="Times New Roman" w:hAnsi="Times New Roman" w:cs="Times New Roman"/>
          <w:b/>
          <w:bCs/>
          <w:color w:val="000000"/>
          <w:sz w:val="20"/>
          <w:szCs w:val="20"/>
          <w:lang w:val="en-US"/>
        </w:rPr>
      </w:pPr>
      <w:bookmarkStart w:id="0" w:name="_heading=h.q2q10owynr41" w:colFirst="0" w:colLast="0"/>
      <w:bookmarkEnd w:id="0"/>
      <w:r w:rsidRPr="0069393E">
        <w:rPr>
          <w:rFonts w:ascii="Times New Roman" w:eastAsia="Times New Roman" w:hAnsi="Times New Roman" w:cs="Times New Roman"/>
          <w:b/>
          <w:bCs/>
          <w:color w:val="000000"/>
          <w:sz w:val="20"/>
          <w:szCs w:val="20"/>
          <w:lang w:val="en-US"/>
        </w:rPr>
        <w:t xml:space="preserve">Acknowledgments: </w:t>
      </w:r>
      <w:r w:rsidRPr="00823FF7">
        <w:rPr>
          <w:rFonts w:ascii="Times New Roman" w:eastAsia="Times New Roman" w:hAnsi="Times New Roman" w:cs="Times New Roman"/>
          <w:color w:val="000000"/>
          <w:sz w:val="20"/>
          <w:szCs w:val="20"/>
          <w:lang w:val="en-US"/>
        </w:rPr>
        <w:t>Th</w:t>
      </w:r>
      <w:r w:rsidR="000B5A7E" w:rsidRPr="00823FF7">
        <w:rPr>
          <w:rFonts w:ascii="Times New Roman" w:eastAsia="Times New Roman" w:hAnsi="Times New Roman" w:cs="Times New Roman"/>
          <w:color w:val="000000"/>
          <w:sz w:val="20"/>
          <w:szCs w:val="20"/>
          <w:lang w:val="en-US"/>
        </w:rPr>
        <w:t>e authors gratefully acknowledge Petronas for its financial support, ANP, and Research Center for Greenhouse Gas Innovation. The authors also thank CNPq (304346/2025-0) and CAPES.</w:t>
      </w:r>
    </w:p>
    <w:p w14:paraId="063EC27B" w14:textId="70AD5006" w:rsidR="00E42821" w:rsidRPr="001D16FE" w:rsidRDefault="00972054" w:rsidP="00173A23">
      <w:pPr>
        <w:keepNext/>
        <w:pBdr>
          <w:top w:val="nil"/>
          <w:left w:val="nil"/>
          <w:bottom w:val="nil"/>
          <w:right w:val="nil"/>
          <w:between w:val="nil"/>
        </w:pBdr>
        <w:spacing w:after="60" w:line="240" w:lineRule="auto"/>
        <w:jc w:val="both"/>
        <w:rPr>
          <w:rFonts w:ascii="Times New Roman" w:eastAsia="Times New Roman" w:hAnsi="Times New Roman" w:cs="Times New Roman"/>
          <w:b/>
          <w:bCs/>
          <w:color w:val="000000"/>
          <w:sz w:val="20"/>
          <w:szCs w:val="20"/>
          <w:lang w:val="en-US"/>
        </w:rPr>
      </w:pPr>
      <w:r w:rsidRPr="001D16FE">
        <w:rPr>
          <w:rFonts w:ascii="Times New Roman" w:eastAsia="Times New Roman" w:hAnsi="Times New Roman" w:cs="Times New Roman"/>
          <w:b/>
          <w:bCs/>
          <w:color w:val="000000"/>
          <w:sz w:val="20"/>
          <w:szCs w:val="20"/>
          <w:lang w:val="en-US"/>
        </w:rPr>
        <w:t>Refer</w:t>
      </w:r>
      <w:r w:rsidR="0069393E">
        <w:rPr>
          <w:rFonts w:ascii="Times New Roman" w:eastAsia="Times New Roman" w:hAnsi="Times New Roman" w:cs="Times New Roman"/>
          <w:b/>
          <w:bCs/>
          <w:color w:val="000000"/>
          <w:sz w:val="20"/>
          <w:szCs w:val="20"/>
          <w:lang w:val="en-US"/>
        </w:rPr>
        <w:t>ences</w:t>
      </w:r>
    </w:p>
    <w:p w14:paraId="1EE3365C" w14:textId="21B5CA73" w:rsidR="00C2791F" w:rsidRPr="00C2791F" w:rsidRDefault="000E40E1" w:rsidP="00C2791F">
      <w:pPr>
        <w:pStyle w:val="Bibliografia"/>
        <w:spacing w:line="240" w:lineRule="auto"/>
        <w:ind w:left="0" w:firstLine="0"/>
        <w:rPr>
          <w:rFonts w:ascii="Times New Roman" w:hAnsi="Times New Roman" w:cs="Times New Roman"/>
          <w:sz w:val="16"/>
          <w:szCs w:val="16"/>
          <w:lang w:val="en-US"/>
        </w:rPr>
      </w:pPr>
      <w:r w:rsidRPr="00C2791F">
        <w:rPr>
          <w:rFonts w:ascii="Times New Roman" w:hAnsi="Times New Roman" w:cs="Times New Roman"/>
          <w:sz w:val="16"/>
          <w:szCs w:val="16"/>
          <w:lang w:val="en-US"/>
        </w:rPr>
        <w:fldChar w:fldCharType="begin"/>
      </w:r>
      <w:r w:rsidRPr="00C2791F">
        <w:rPr>
          <w:rFonts w:ascii="Times New Roman" w:hAnsi="Times New Roman" w:cs="Times New Roman"/>
          <w:sz w:val="16"/>
          <w:szCs w:val="16"/>
          <w:lang w:val="en-US"/>
        </w:rPr>
        <w:instrText xml:space="preserve"> ADDIN ZOTERO_BIBL {"uncited":[],"omitted":[],"custom":[]} CSL_BIBLIOGRAPHY </w:instrText>
      </w:r>
      <w:r w:rsidRPr="00C2791F">
        <w:rPr>
          <w:rFonts w:ascii="Times New Roman" w:hAnsi="Times New Roman" w:cs="Times New Roman"/>
          <w:sz w:val="16"/>
          <w:szCs w:val="16"/>
          <w:lang w:val="en-US"/>
        </w:rPr>
        <w:fldChar w:fldCharType="separate"/>
      </w:r>
      <w:r w:rsidR="00C2791F" w:rsidRPr="00C2791F">
        <w:rPr>
          <w:rFonts w:ascii="Times New Roman" w:hAnsi="Times New Roman" w:cs="Times New Roman"/>
          <w:sz w:val="16"/>
          <w:szCs w:val="16"/>
          <w:lang w:val="en-US"/>
        </w:rPr>
        <w:t xml:space="preserve">Amdur, A. M., Lkhamsuren, M., Pavlov, V. V., &amp; Barnasan, P. (2014). </w:t>
      </w:r>
      <w:r w:rsidR="00C2791F" w:rsidRPr="00C2791F">
        <w:rPr>
          <w:rFonts w:ascii="Times New Roman" w:hAnsi="Times New Roman" w:cs="Times New Roman"/>
          <w:i/>
          <w:iCs/>
          <w:sz w:val="16"/>
          <w:szCs w:val="16"/>
          <w:lang w:val="en-US"/>
        </w:rPr>
        <w:t>Steel in Translation</w:t>
      </w:r>
      <w:r w:rsidR="00C2791F" w:rsidRPr="00C2791F">
        <w:rPr>
          <w:rFonts w:ascii="Times New Roman" w:hAnsi="Times New Roman" w:cs="Times New Roman"/>
          <w:sz w:val="16"/>
          <w:szCs w:val="16"/>
          <w:lang w:val="en-US"/>
        </w:rPr>
        <w:t xml:space="preserve">, </w:t>
      </w:r>
      <w:r w:rsidR="00C2791F" w:rsidRPr="00C2791F">
        <w:rPr>
          <w:rFonts w:ascii="Times New Roman" w:hAnsi="Times New Roman" w:cs="Times New Roman"/>
          <w:i/>
          <w:iCs/>
          <w:sz w:val="16"/>
          <w:szCs w:val="16"/>
          <w:lang w:val="en-US"/>
        </w:rPr>
        <w:t>44</w:t>
      </w:r>
      <w:r w:rsidR="00C2791F" w:rsidRPr="00C2791F">
        <w:rPr>
          <w:rFonts w:ascii="Times New Roman" w:hAnsi="Times New Roman" w:cs="Times New Roman"/>
          <w:sz w:val="16"/>
          <w:szCs w:val="16"/>
          <w:lang w:val="en-US"/>
        </w:rPr>
        <w:t xml:space="preserve">(6), 408–410. </w:t>
      </w:r>
    </w:p>
    <w:p w14:paraId="0DA921F2" w14:textId="56246961" w:rsidR="00C2791F" w:rsidRPr="00C2791F" w:rsidRDefault="00C2791F" w:rsidP="00C2791F">
      <w:pPr>
        <w:pStyle w:val="Bibliografia"/>
        <w:spacing w:line="240" w:lineRule="auto"/>
        <w:ind w:left="0" w:firstLine="0"/>
        <w:rPr>
          <w:rFonts w:ascii="Times New Roman" w:hAnsi="Times New Roman" w:cs="Times New Roman"/>
          <w:sz w:val="16"/>
          <w:szCs w:val="16"/>
          <w:lang w:val="en-US"/>
        </w:rPr>
      </w:pPr>
      <w:r w:rsidRPr="00C2791F">
        <w:rPr>
          <w:rFonts w:ascii="Times New Roman" w:hAnsi="Times New Roman" w:cs="Times New Roman"/>
          <w:sz w:val="16"/>
          <w:szCs w:val="16"/>
          <w:lang w:val="en-US"/>
        </w:rPr>
        <w:t xml:space="preserve">Chase, M. W. &amp; National Institute of Standards and Technology (U.S.) (Org.). (1998). </w:t>
      </w:r>
      <w:r w:rsidRPr="00C2791F">
        <w:rPr>
          <w:rFonts w:ascii="Times New Roman" w:hAnsi="Times New Roman" w:cs="Times New Roman"/>
          <w:i/>
          <w:iCs/>
          <w:sz w:val="16"/>
          <w:szCs w:val="16"/>
          <w:lang w:val="en-US"/>
        </w:rPr>
        <w:t>NIST-JANAF thermochemical tables</w:t>
      </w:r>
      <w:r w:rsidRPr="00C2791F">
        <w:rPr>
          <w:rFonts w:ascii="Times New Roman" w:hAnsi="Times New Roman" w:cs="Times New Roman"/>
          <w:sz w:val="16"/>
          <w:szCs w:val="16"/>
          <w:lang w:val="en-US"/>
        </w:rPr>
        <w:t xml:space="preserve"> (4th ed). American Chemical Society; American Institute of Physics for the National Institute of Standards and Technology.</w:t>
      </w:r>
    </w:p>
    <w:p w14:paraId="2C87EF12" w14:textId="616586B3" w:rsidR="00C2791F" w:rsidRPr="00C2791F" w:rsidRDefault="00C2791F" w:rsidP="00C2791F">
      <w:pPr>
        <w:pStyle w:val="Bibliografia"/>
        <w:spacing w:line="240" w:lineRule="auto"/>
        <w:ind w:left="0" w:firstLine="0"/>
        <w:rPr>
          <w:rFonts w:ascii="Times New Roman" w:hAnsi="Times New Roman" w:cs="Times New Roman"/>
          <w:sz w:val="16"/>
          <w:szCs w:val="16"/>
          <w:lang w:val="en-US"/>
        </w:rPr>
      </w:pPr>
      <w:r w:rsidRPr="00C2791F">
        <w:rPr>
          <w:rFonts w:ascii="Times New Roman" w:hAnsi="Times New Roman" w:cs="Times New Roman"/>
          <w:sz w:val="16"/>
          <w:szCs w:val="16"/>
        </w:rPr>
        <w:t>Marquardt, T., Bode, A., &amp; Kabelac, S. (2020)</w:t>
      </w:r>
      <w:r w:rsidRPr="00EE308D">
        <w:rPr>
          <w:rFonts w:ascii="Times New Roman" w:hAnsi="Times New Roman" w:cs="Times New Roman"/>
          <w:sz w:val="16"/>
          <w:szCs w:val="16"/>
        </w:rPr>
        <w:t xml:space="preserve">. </w:t>
      </w:r>
      <w:r w:rsidRPr="00C2791F">
        <w:rPr>
          <w:rFonts w:ascii="Times New Roman" w:hAnsi="Times New Roman" w:cs="Times New Roman"/>
          <w:i/>
          <w:iCs/>
          <w:sz w:val="16"/>
          <w:szCs w:val="16"/>
          <w:lang w:val="en-US"/>
        </w:rPr>
        <w:t>Energy Conversion and Management</w:t>
      </w:r>
      <w:r w:rsidRPr="00C2791F">
        <w:rPr>
          <w:rFonts w:ascii="Times New Roman" w:hAnsi="Times New Roman" w:cs="Times New Roman"/>
          <w:sz w:val="16"/>
          <w:szCs w:val="16"/>
          <w:lang w:val="en-US"/>
        </w:rPr>
        <w:t xml:space="preserve">, </w:t>
      </w:r>
      <w:r w:rsidRPr="00C2791F">
        <w:rPr>
          <w:rFonts w:ascii="Times New Roman" w:hAnsi="Times New Roman" w:cs="Times New Roman"/>
          <w:i/>
          <w:iCs/>
          <w:sz w:val="16"/>
          <w:szCs w:val="16"/>
          <w:lang w:val="en-US"/>
        </w:rPr>
        <w:t>221</w:t>
      </w:r>
      <w:r w:rsidRPr="00C2791F">
        <w:rPr>
          <w:rFonts w:ascii="Times New Roman" w:hAnsi="Times New Roman" w:cs="Times New Roman"/>
          <w:sz w:val="16"/>
          <w:szCs w:val="16"/>
          <w:lang w:val="en-US"/>
        </w:rPr>
        <w:t xml:space="preserve">. </w:t>
      </w:r>
    </w:p>
    <w:p w14:paraId="75EB5B2E" w14:textId="4EF54600" w:rsidR="00C2791F" w:rsidRPr="00C2791F" w:rsidRDefault="00C2791F" w:rsidP="00C2791F">
      <w:pPr>
        <w:pStyle w:val="Bibliografia"/>
        <w:spacing w:line="240" w:lineRule="auto"/>
        <w:ind w:left="0" w:firstLine="0"/>
        <w:rPr>
          <w:rFonts w:ascii="Times New Roman" w:hAnsi="Times New Roman" w:cs="Times New Roman"/>
          <w:sz w:val="16"/>
          <w:szCs w:val="16"/>
        </w:rPr>
      </w:pPr>
      <w:r w:rsidRPr="00C2791F">
        <w:rPr>
          <w:rFonts w:ascii="Times New Roman" w:hAnsi="Times New Roman" w:cs="Times New Roman"/>
          <w:sz w:val="16"/>
          <w:szCs w:val="16"/>
          <w:lang w:val="en-US"/>
        </w:rPr>
        <w:t xml:space="preserve">Wang, M., Gray, C. A., Reznek, S. A., Mahmud, K., &amp; Kutsovsky, Y. (2003). Carbon Black. Em Kirk-Othmer (Org.), </w:t>
      </w:r>
      <w:r w:rsidRPr="00C2791F">
        <w:rPr>
          <w:rFonts w:ascii="Times New Roman" w:hAnsi="Times New Roman" w:cs="Times New Roman"/>
          <w:i/>
          <w:iCs/>
          <w:sz w:val="16"/>
          <w:szCs w:val="16"/>
          <w:lang w:val="en-US"/>
        </w:rPr>
        <w:t>Kirk-Othmer Encyclopedia of Chemical Technology</w:t>
      </w:r>
      <w:r w:rsidRPr="00C2791F">
        <w:rPr>
          <w:rFonts w:ascii="Times New Roman" w:hAnsi="Times New Roman" w:cs="Times New Roman"/>
          <w:sz w:val="16"/>
          <w:szCs w:val="16"/>
          <w:lang w:val="en-US"/>
        </w:rPr>
        <w:t xml:space="preserve"> (1</w:t>
      </w:r>
      <w:r w:rsidRPr="00C2791F">
        <w:rPr>
          <w:rFonts w:ascii="Times New Roman" w:hAnsi="Times New Roman" w:cs="Times New Roman"/>
          <w:sz w:val="16"/>
          <w:szCs w:val="16"/>
          <w:vertAlign w:val="superscript"/>
          <w:lang w:val="en-US"/>
        </w:rPr>
        <w:t>o</w:t>
      </w:r>
      <w:r w:rsidRPr="00C2791F">
        <w:rPr>
          <w:rFonts w:ascii="Times New Roman" w:hAnsi="Times New Roman" w:cs="Times New Roman"/>
          <w:sz w:val="16"/>
          <w:szCs w:val="16"/>
          <w:lang w:val="en-US"/>
        </w:rPr>
        <w:t xml:space="preserve"> ed.). </w:t>
      </w:r>
      <w:r w:rsidRPr="00C2791F">
        <w:rPr>
          <w:rFonts w:ascii="Times New Roman" w:hAnsi="Times New Roman" w:cs="Times New Roman"/>
          <w:sz w:val="16"/>
          <w:szCs w:val="16"/>
        </w:rPr>
        <w:t xml:space="preserve">Wiley. </w:t>
      </w:r>
    </w:p>
    <w:p w14:paraId="063EC27E" w14:textId="769114E1" w:rsidR="00E42821" w:rsidRPr="001D16FE" w:rsidRDefault="000E40E1" w:rsidP="00C2791F">
      <w:pPr>
        <w:spacing w:after="0" w:line="240" w:lineRule="auto"/>
        <w:rPr>
          <w:sz w:val="20"/>
          <w:szCs w:val="20"/>
          <w:lang w:val="en-US"/>
        </w:rPr>
      </w:pPr>
      <w:r w:rsidRPr="00C2791F">
        <w:rPr>
          <w:rFonts w:ascii="Times New Roman" w:hAnsi="Times New Roman" w:cs="Times New Roman"/>
          <w:sz w:val="16"/>
          <w:szCs w:val="16"/>
          <w:lang w:val="en-US"/>
        </w:rPr>
        <w:fldChar w:fldCharType="end"/>
      </w:r>
    </w:p>
    <w:sectPr w:rsidR="00E42821" w:rsidRPr="001D16FE">
      <w:headerReference w:type="even" r:id="rId8"/>
      <w:headerReference w:type="default" r:id="rId9"/>
      <w:footerReference w:type="even" r:id="rId10"/>
      <w:footerReference w:type="default" r:id="rId11"/>
      <w:headerReference w:type="first" r:id="rId12"/>
      <w:footerReference w:type="first" r:id="rId13"/>
      <w:pgSz w:w="11906" w:h="16838"/>
      <w:pgMar w:top="2268" w:right="1418" w:bottom="1418" w:left="1418" w:header="170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EFD2D" w14:textId="77777777" w:rsidR="00955F82" w:rsidRDefault="00955F82">
      <w:pPr>
        <w:spacing w:after="0" w:line="240" w:lineRule="auto"/>
      </w:pPr>
      <w:r>
        <w:separator/>
      </w:r>
    </w:p>
  </w:endnote>
  <w:endnote w:type="continuationSeparator" w:id="0">
    <w:p w14:paraId="0E06B578" w14:textId="77777777" w:rsidR="00955F82" w:rsidRDefault="00955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BB3046E-349A-4626-85D2-135FDDBF4C3C}"/>
    <w:embedBold r:id="rId2" w:fontKey="{F29975CB-FF9C-424D-B868-5C8E3FB3A28F}"/>
    <w:embedItalic r:id="rId3" w:fontKey="{F1F3D322-EC70-41AE-9F21-CDB9E0CAFB22}"/>
  </w:font>
  <w:font w:name="Cambria">
    <w:panose1 w:val="02040503050406030204"/>
    <w:charset w:val="00"/>
    <w:family w:val="roman"/>
    <w:pitch w:val="variable"/>
    <w:sig w:usb0="E00006FF" w:usb1="420024FF" w:usb2="02000000" w:usb3="00000000" w:csb0="0000019F" w:csb1="00000000"/>
    <w:embedRegular r:id="rId4" w:fontKey="{EA9C66B2-2E4B-4375-A6A4-295D47C41AE8}"/>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embedRegular r:id="rId5" w:fontKey="{F8EEF6F2-4700-4799-87C4-C3737640ABCE}"/>
  </w:font>
  <w:font w:name="Tahoma">
    <w:panose1 w:val="020B0604030504040204"/>
    <w:charset w:val="00"/>
    <w:family w:val="swiss"/>
    <w:pitch w:val="variable"/>
    <w:sig w:usb0="E1002EFF" w:usb1="C000605B" w:usb2="00000029" w:usb3="00000000" w:csb0="000101FF" w:csb1="00000000"/>
    <w:embedRegular r:id="rId6" w:fontKey="{6EA17864-8519-4211-8795-23889118C2A1}"/>
  </w:font>
  <w:font w:name="Georgia">
    <w:panose1 w:val="02040502050405020303"/>
    <w:charset w:val="00"/>
    <w:family w:val="roman"/>
    <w:pitch w:val="variable"/>
    <w:sig w:usb0="00000287" w:usb1="00000000" w:usb2="00000000" w:usb3="00000000" w:csb0="0000009F" w:csb1="00000000"/>
    <w:embedItalic r:id="rId7" w:fontKey="{04DAECC6-AF88-40E1-9C56-B329A8BC2366}"/>
  </w:font>
  <w:font w:name="Cambria Math">
    <w:panose1 w:val="02040503050406030204"/>
    <w:charset w:val="00"/>
    <w:family w:val="roman"/>
    <w:pitch w:val="variable"/>
    <w:sig w:usb0="E00006FF" w:usb1="420024FF" w:usb2="02000000" w:usb3="00000000" w:csb0="0000019F" w:csb1="00000000"/>
    <w:embedRegular r:id="rId8" w:fontKey="{209084FF-BEF4-42BC-8A62-D6EB0D4D7881}"/>
    <w:embedItalic r:id="rId9" w:fontKey="{C682961B-5CA5-4016-B271-018A132A47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EC281" w14:textId="77777777" w:rsidR="00E42821" w:rsidRDefault="00972054">
    <w:pPr>
      <w:pBdr>
        <w:top w:val="nil"/>
        <w:left w:val="nil"/>
        <w:bottom w:val="nil"/>
        <w:right w:val="nil"/>
        <w:between w:val="nil"/>
      </w:pBdr>
      <w:tabs>
        <w:tab w:val="center" w:pos="3600"/>
        <w:tab w:val="right" w:pos="7200"/>
      </w:tabs>
      <w:jc w:val="right"/>
      <w:rPr>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fldChar w:fldCharType="end"/>
    </w:r>
  </w:p>
  <w:p w14:paraId="063EC282" w14:textId="77777777" w:rsidR="00E42821" w:rsidRDefault="00E42821">
    <w:pPr>
      <w:pBdr>
        <w:top w:val="nil"/>
        <w:left w:val="nil"/>
        <w:bottom w:val="nil"/>
        <w:right w:val="nil"/>
        <w:between w:val="nil"/>
      </w:pBdr>
      <w:tabs>
        <w:tab w:val="center" w:pos="3600"/>
        <w:tab w:val="right" w:pos="720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EC283" w14:textId="77777777" w:rsidR="00E42821" w:rsidRDefault="00972054">
    <w:pPr>
      <w:pBdr>
        <w:top w:val="nil"/>
        <w:left w:val="nil"/>
        <w:bottom w:val="nil"/>
        <w:right w:val="nil"/>
        <w:between w:val="nil"/>
      </w:pBdr>
      <w:tabs>
        <w:tab w:val="center" w:pos="3600"/>
        <w:tab w:val="right" w:pos="7200"/>
      </w:tabs>
      <w:jc w:val="center"/>
      <w:rPr>
        <w:color w:val="000000"/>
        <w:sz w:val="20"/>
        <w:szCs w:val="20"/>
      </w:rPr>
    </w:pPr>
    <w:r>
      <w:rPr>
        <w:noProof/>
      </w:rPr>
      <w:drawing>
        <wp:anchor distT="0" distB="0" distL="114300" distR="114300" simplePos="0" relativeHeight="251661312" behindDoc="0" locked="0" layoutInCell="1" hidden="0" allowOverlap="1" wp14:anchorId="063EC28B" wp14:editId="063EC28C">
          <wp:simplePos x="0" y="0"/>
          <wp:positionH relativeFrom="column">
            <wp:posOffset>732789</wp:posOffset>
          </wp:positionH>
          <wp:positionV relativeFrom="paragraph">
            <wp:posOffset>-136626</wp:posOffset>
          </wp:positionV>
          <wp:extent cx="4293870" cy="735965"/>
          <wp:effectExtent l="0" t="0" r="0" b="0"/>
          <wp:wrapNone/>
          <wp:docPr id="205531935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4293870" cy="735965"/>
                  </a:xfrm>
                  <a:prstGeom prst="rect">
                    <a:avLst/>
                  </a:prstGeom>
                  <a:ln/>
                </pic:spPr>
              </pic:pic>
            </a:graphicData>
          </a:graphic>
        </wp:anchor>
      </w:drawing>
    </w:r>
  </w:p>
  <w:p w14:paraId="063EC284" w14:textId="77777777" w:rsidR="00E42821" w:rsidRDefault="00E42821">
    <w:pPr>
      <w:pBdr>
        <w:top w:val="nil"/>
        <w:left w:val="nil"/>
        <w:bottom w:val="nil"/>
        <w:right w:val="nil"/>
        <w:between w:val="nil"/>
      </w:pBdr>
      <w:tabs>
        <w:tab w:val="center" w:pos="3600"/>
        <w:tab w:val="right" w:pos="7200"/>
      </w:tabs>
      <w:spacing w:after="0" w:line="240" w:lineRule="auto"/>
      <w:ind w:firstLine="567"/>
      <w:jc w:val="both"/>
      <w:rPr>
        <w:rFonts w:ascii="Times New Roman" w:eastAsia="Times New Roman" w:hAnsi="Times New Roman" w:cs="Times New Roman"/>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EC286" w14:textId="77777777" w:rsidR="00E42821" w:rsidRDefault="00972054">
    <w:pPr>
      <w:pBdr>
        <w:top w:val="nil"/>
        <w:left w:val="nil"/>
        <w:bottom w:val="nil"/>
        <w:right w:val="nil"/>
        <w:between w:val="nil"/>
      </w:pBdr>
      <w:tabs>
        <w:tab w:val="center" w:pos="3600"/>
        <w:tab w:val="right" w:pos="7200"/>
      </w:tabs>
      <w:spacing w:after="0" w:line="240" w:lineRule="auto"/>
      <w:ind w:firstLine="567"/>
      <w:jc w:val="center"/>
      <w:rPr>
        <w:rFonts w:ascii="Times New Roman" w:eastAsia="Times New Roman" w:hAnsi="Times New Roman" w:cs="Times New Roman"/>
        <w:color w:val="000000"/>
        <w:sz w:val="20"/>
        <w:szCs w:val="20"/>
      </w:rPr>
    </w:pPr>
    <w:r>
      <w:rPr>
        <w:noProof/>
      </w:rPr>
      <w:drawing>
        <wp:inline distT="0" distB="0" distL="0" distR="0" wp14:anchorId="063EC28F" wp14:editId="063EC290">
          <wp:extent cx="4499610" cy="627380"/>
          <wp:effectExtent l="0" t="0" r="0" b="0"/>
          <wp:docPr id="2055319357" name="image1.png" descr="Logotipo, nome da empres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1.png" descr="Logotipo, nome da empresa&#10;&#10;O conteúdo gerado por IA pode estar incorreto."/>
                  <pic:cNvPicPr preferRelativeResize="0"/>
                </pic:nvPicPr>
                <pic:blipFill>
                  <a:blip r:embed="rId1"/>
                  <a:srcRect/>
                  <a:stretch>
                    <a:fillRect/>
                  </a:stretch>
                </pic:blipFill>
                <pic:spPr>
                  <a:xfrm>
                    <a:off x="0" y="0"/>
                    <a:ext cx="4499610" cy="62738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9DE11" w14:textId="77777777" w:rsidR="00955F82" w:rsidRDefault="00955F82">
      <w:pPr>
        <w:spacing w:after="0" w:line="240" w:lineRule="auto"/>
      </w:pPr>
      <w:r>
        <w:separator/>
      </w:r>
    </w:p>
  </w:footnote>
  <w:footnote w:type="continuationSeparator" w:id="0">
    <w:p w14:paraId="3DB60228" w14:textId="77777777" w:rsidR="00955F82" w:rsidRDefault="00955F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EC27F" w14:textId="77777777" w:rsidR="00E42821" w:rsidRDefault="00972054">
    <w:pPr>
      <w:pBdr>
        <w:top w:val="nil"/>
        <w:left w:val="nil"/>
        <w:bottom w:val="nil"/>
        <w:right w:val="nil"/>
        <w:between w:val="nil"/>
      </w:pBdr>
      <w:tabs>
        <w:tab w:val="left" w:pos="2133"/>
        <w:tab w:val="center" w:pos="3600"/>
        <w:tab w:val="right" w:pos="7200"/>
        <w:tab w:val="right" w:pos="7088"/>
      </w:tabs>
      <w:spacing w:after="0" w:line="240" w:lineRule="auto"/>
      <w:jc w:val="both"/>
      <w:rPr>
        <w:rFonts w:ascii="Times New Roman" w:eastAsia="Times New Roman" w:hAnsi="Times New Roman" w:cs="Times New Roman"/>
        <w:i/>
        <w:iCs/>
        <w:color w:val="000000"/>
        <w:sz w:val="20"/>
        <w:szCs w:val="20"/>
      </w:rPr>
    </w:pPr>
    <w:r>
      <w:rPr>
        <w:noProof/>
      </w:rPr>
      <w:drawing>
        <wp:anchor distT="0" distB="0" distL="0" distR="0" simplePos="0" relativeHeight="251660288" behindDoc="0" locked="0" layoutInCell="1" hidden="0" allowOverlap="1" wp14:anchorId="063EC287" wp14:editId="063EC288">
          <wp:simplePos x="0" y="0"/>
          <wp:positionH relativeFrom="column">
            <wp:posOffset>-917361</wp:posOffset>
          </wp:positionH>
          <wp:positionV relativeFrom="paragraph">
            <wp:posOffset>-1071667</wp:posOffset>
          </wp:positionV>
          <wp:extent cx="7599638" cy="1439662"/>
          <wp:effectExtent l="0" t="0" r="0" b="0"/>
          <wp:wrapSquare wrapText="bothSides" distT="0" distB="0" distL="0" distR="0"/>
          <wp:docPr id="2055319356" name="image4.png" descr="Ícone&#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4.png" descr="Ícone&#10;&#10;O conteúdo gerado por IA pode estar incorreto."/>
                  <pic:cNvPicPr preferRelativeResize="0"/>
                </pic:nvPicPr>
                <pic:blipFill>
                  <a:blip r:embed="rId1"/>
                  <a:srcRect b="23599"/>
                  <a:stretch>
                    <a:fillRect/>
                  </a:stretch>
                </pic:blipFill>
                <pic:spPr>
                  <a:xfrm>
                    <a:off x="0" y="0"/>
                    <a:ext cx="7599638" cy="1439662"/>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EC280" w14:textId="77777777" w:rsidR="00E42821" w:rsidRDefault="00972054">
    <w:pPr>
      <w:pBdr>
        <w:top w:val="nil"/>
        <w:left w:val="nil"/>
        <w:bottom w:val="nil"/>
        <w:right w:val="nil"/>
        <w:between w:val="nil"/>
      </w:pBdr>
      <w:tabs>
        <w:tab w:val="center" w:pos="3600"/>
        <w:tab w:val="right" w:pos="7200"/>
        <w:tab w:val="right" w:pos="7088"/>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drawing>
        <wp:anchor distT="0" distB="0" distL="114300" distR="114300" simplePos="0" relativeHeight="251658240" behindDoc="0" locked="0" layoutInCell="1" hidden="0" allowOverlap="1" wp14:anchorId="063EC289" wp14:editId="063EC28A">
          <wp:simplePos x="0" y="0"/>
          <wp:positionH relativeFrom="margin">
            <wp:posOffset>-920749</wp:posOffset>
          </wp:positionH>
          <wp:positionV relativeFrom="topMargin">
            <wp:posOffset>-840</wp:posOffset>
          </wp:positionV>
          <wp:extent cx="7596505" cy="1432560"/>
          <wp:effectExtent l="0" t="0" r="0" b="0"/>
          <wp:wrapSquare wrapText="bothSides" distT="0" distB="0" distL="114300" distR="114300"/>
          <wp:docPr id="205531935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96505" cy="143256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EC285" w14:textId="77777777" w:rsidR="00E42821" w:rsidRDefault="00972054">
    <w:pPr>
      <w:tabs>
        <w:tab w:val="right" w:pos="7086"/>
      </w:tabs>
      <w:spacing w:after="0" w:line="240" w:lineRule="auto"/>
      <w:jc w:val="right"/>
      <w:rPr>
        <w:rFonts w:ascii="Times New Roman" w:eastAsia="Times New Roman" w:hAnsi="Times New Roman" w:cs="Times New Roman"/>
        <w:b/>
        <w:bCs/>
      </w:rPr>
    </w:pPr>
    <w:r>
      <w:rPr>
        <w:noProof/>
      </w:rPr>
      <w:drawing>
        <wp:anchor distT="0" distB="0" distL="114300" distR="114300" simplePos="0" relativeHeight="251659264" behindDoc="0" locked="0" layoutInCell="1" hidden="0" allowOverlap="1" wp14:anchorId="063EC28D" wp14:editId="063EC28E">
          <wp:simplePos x="0" y="0"/>
          <wp:positionH relativeFrom="column">
            <wp:posOffset>-900429</wp:posOffset>
          </wp:positionH>
          <wp:positionV relativeFrom="paragraph">
            <wp:posOffset>-1080134</wp:posOffset>
          </wp:positionV>
          <wp:extent cx="7596505" cy="1432560"/>
          <wp:effectExtent l="0" t="0" r="0" b="0"/>
          <wp:wrapSquare wrapText="bothSides" distT="0" distB="0" distL="114300" distR="114300"/>
          <wp:docPr id="205531936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96505" cy="14325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42370"/>
    <w:multiLevelType w:val="multilevel"/>
    <w:tmpl w:val="899211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CB81815"/>
    <w:multiLevelType w:val="hybridMultilevel"/>
    <w:tmpl w:val="0240904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5CE2762"/>
    <w:multiLevelType w:val="multilevel"/>
    <w:tmpl w:val="39A25B42"/>
    <w:lvl w:ilvl="0">
      <w:start w:val="1"/>
      <w:numFmt w:val="decimal"/>
      <w:pStyle w:val="Els-reference"/>
      <w:lvlText w:val="%1."/>
      <w:lvlJc w:val="left"/>
      <w:pPr>
        <w:tabs>
          <w:tab w:val="num" w:pos="720"/>
        </w:tabs>
        <w:ind w:left="720" w:hanging="720"/>
      </w:pPr>
    </w:lvl>
    <w:lvl w:ilvl="1">
      <w:start w:val="1"/>
      <w:numFmt w:val="decimal"/>
      <w:pStyle w:val="Els-1storder-head"/>
      <w:lvlText w:val="%2."/>
      <w:lvlJc w:val="left"/>
      <w:pPr>
        <w:tabs>
          <w:tab w:val="num" w:pos="1440"/>
        </w:tabs>
        <w:ind w:left="1440" w:hanging="720"/>
      </w:pPr>
    </w:lvl>
    <w:lvl w:ilvl="2">
      <w:start w:val="1"/>
      <w:numFmt w:val="decimal"/>
      <w:pStyle w:val="Els-2ndorder-head"/>
      <w:lvlText w:val="%3."/>
      <w:lvlJc w:val="left"/>
      <w:pPr>
        <w:tabs>
          <w:tab w:val="num" w:pos="2160"/>
        </w:tabs>
        <w:ind w:left="2160" w:hanging="720"/>
      </w:pPr>
    </w:lvl>
    <w:lvl w:ilvl="3">
      <w:start w:val="1"/>
      <w:numFmt w:val="decimal"/>
      <w:pStyle w:val="Els-3rdorder-head"/>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26285954">
    <w:abstractNumId w:val="0"/>
  </w:num>
  <w:num w:numId="2" w16cid:durableId="894580267">
    <w:abstractNumId w:val="2"/>
  </w:num>
  <w:num w:numId="3" w16cid:durableId="14079980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525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821"/>
    <w:rsid w:val="000874C9"/>
    <w:rsid w:val="00097364"/>
    <w:rsid w:val="000B5A7E"/>
    <w:rsid w:val="000E40E1"/>
    <w:rsid w:val="001613CB"/>
    <w:rsid w:val="00173A23"/>
    <w:rsid w:val="001858A2"/>
    <w:rsid w:val="0019100B"/>
    <w:rsid w:val="001D16FE"/>
    <w:rsid w:val="001D7F9A"/>
    <w:rsid w:val="00222EDB"/>
    <w:rsid w:val="00240B86"/>
    <w:rsid w:val="002476BC"/>
    <w:rsid w:val="00252732"/>
    <w:rsid w:val="002E1374"/>
    <w:rsid w:val="003A4E98"/>
    <w:rsid w:val="003F00A5"/>
    <w:rsid w:val="004011E6"/>
    <w:rsid w:val="00404615"/>
    <w:rsid w:val="005239C7"/>
    <w:rsid w:val="005B60F2"/>
    <w:rsid w:val="005E1AD9"/>
    <w:rsid w:val="005F7527"/>
    <w:rsid w:val="00663A40"/>
    <w:rsid w:val="00663F9D"/>
    <w:rsid w:val="0069393E"/>
    <w:rsid w:val="006A279C"/>
    <w:rsid w:val="00780AD2"/>
    <w:rsid w:val="00823FF7"/>
    <w:rsid w:val="00846C02"/>
    <w:rsid w:val="008D68D5"/>
    <w:rsid w:val="008E07B6"/>
    <w:rsid w:val="0091331C"/>
    <w:rsid w:val="00955F82"/>
    <w:rsid w:val="00972054"/>
    <w:rsid w:val="00995A2F"/>
    <w:rsid w:val="00A12698"/>
    <w:rsid w:val="00A40954"/>
    <w:rsid w:val="00A5511B"/>
    <w:rsid w:val="00A84E36"/>
    <w:rsid w:val="00AA2082"/>
    <w:rsid w:val="00AB400A"/>
    <w:rsid w:val="00AC42FF"/>
    <w:rsid w:val="00B70814"/>
    <w:rsid w:val="00B95DDE"/>
    <w:rsid w:val="00BA2F10"/>
    <w:rsid w:val="00C24424"/>
    <w:rsid w:val="00C2791F"/>
    <w:rsid w:val="00C3013C"/>
    <w:rsid w:val="00C34055"/>
    <w:rsid w:val="00C52C27"/>
    <w:rsid w:val="00DA7FFA"/>
    <w:rsid w:val="00DF7E80"/>
    <w:rsid w:val="00E42821"/>
    <w:rsid w:val="00E937A4"/>
    <w:rsid w:val="00EE308D"/>
    <w:rsid w:val="00F828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EC268"/>
  <w15:docId w15:val="{22D091F9-1BF8-4F22-B425-A787E70CA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pt-BR" w:eastAsia="pt-B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mbria" w:eastAsia="Cambria" w:hAnsi="Cambria" w:cs="Cambria"/>
      <w:color w:val="366091"/>
      <w:sz w:val="32"/>
      <w:szCs w:val="32"/>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spacing w:before="240" w:after="60"/>
      <w:outlineLvl w:val="2"/>
    </w:pPr>
    <w:rPr>
      <w:rFonts w:ascii="Arial" w:eastAsia="Arial" w:hAnsi="Arial" w:cs="Arial"/>
      <w:b/>
      <w:bCs/>
      <w:sz w:val="26"/>
      <w:szCs w:val="26"/>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styleId="Legenda">
    <w:name w:val="caption"/>
    <w:basedOn w:val="Els-caption"/>
    <w:next w:val="Els-caption"/>
    <w:qFormat/>
    <w:rsid w:val="008B0184"/>
  </w:style>
  <w:style w:type="paragraph" w:customStyle="1" w:styleId="Els-caption">
    <w:name w:val="Els-caption"/>
    <w:rsid w:val="008B0184"/>
    <w:pPr>
      <w:keepLines/>
      <w:spacing w:before="100" w:after="120"/>
    </w:pPr>
    <w:rPr>
      <w:sz w:val="18"/>
      <w:lang w:val="en-US" w:eastAsia="en-US"/>
    </w:rPr>
  </w:style>
  <w:style w:type="paragraph" w:customStyle="1" w:styleId="Els-1storder-head">
    <w:name w:val="Els-1storder-head"/>
    <w:basedOn w:val="Els-body-text"/>
    <w:next w:val="Els-body-text"/>
    <w:rsid w:val="008B0184"/>
    <w:pPr>
      <w:keepNext/>
      <w:numPr>
        <w:ilvl w:val="1"/>
        <w:numId w:val="2"/>
      </w:numPr>
      <w:suppressAutoHyphens/>
      <w:spacing w:before="240" w:after="60" w:line="240" w:lineRule="exact"/>
    </w:pPr>
    <w:rPr>
      <w:b/>
      <w:sz w:val="22"/>
    </w:rPr>
  </w:style>
  <w:style w:type="paragraph" w:customStyle="1" w:styleId="Els-body-text">
    <w:name w:val="Els-body-text"/>
    <w:rsid w:val="008B0184"/>
    <w:rPr>
      <w:lang w:val="en-US" w:eastAsia="en-US"/>
    </w:rPr>
  </w:style>
  <w:style w:type="paragraph" w:customStyle="1" w:styleId="Els-2ndorder-head">
    <w:name w:val="Els-2ndorder-head"/>
    <w:basedOn w:val="Els-body-text"/>
    <w:next w:val="Els-body-text"/>
    <w:rsid w:val="008B0184"/>
    <w:pPr>
      <w:keepNext/>
      <w:numPr>
        <w:ilvl w:val="2"/>
        <w:numId w:val="2"/>
      </w:numPr>
      <w:suppressAutoHyphens/>
      <w:spacing w:before="80"/>
    </w:pPr>
    <w:rPr>
      <w:i/>
    </w:rPr>
  </w:style>
  <w:style w:type="paragraph" w:customStyle="1" w:styleId="Els-3rdorder-head">
    <w:name w:val="Els-3rdorder-head"/>
    <w:basedOn w:val="Els-body-text"/>
    <w:next w:val="Els-body-text"/>
    <w:rsid w:val="008B0184"/>
    <w:pPr>
      <w:keepNext/>
      <w:numPr>
        <w:ilvl w:val="3"/>
        <w:numId w:val="2"/>
      </w:numPr>
      <w:suppressAutoHyphens/>
      <w:spacing w:before="60"/>
    </w:pPr>
    <w:rPr>
      <w:i/>
    </w:rPr>
  </w:style>
  <w:style w:type="paragraph" w:customStyle="1" w:styleId="Els-Affiliation">
    <w:name w:val="Els-Affiliation"/>
    <w:rsid w:val="008B0184"/>
    <w:pPr>
      <w:suppressAutoHyphens/>
      <w:spacing w:line="240" w:lineRule="exact"/>
    </w:pPr>
    <w:rPr>
      <w:i/>
      <w:noProof/>
      <w:lang w:eastAsia="en-US"/>
    </w:rPr>
  </w:style>
  <w:style w:type="paragraph" w:customStyle="1" w:styleId="Els-Author">
    <w:name w:val="Els-Author"/>
    <w:next w:val="Els-Affiliation"/>
    <w:rsid w:val="008B0184"/>
    <w:pPr>
      <w:keepNext/>
      <w:suppressAutoHyphens/>
      <w:spacing w:after="60" w:line="310" w:lineRule="exact"/>
    </w:pPr>
    <w:rPr>
      <w:noProof/>
      <w:sz w:val="22"/>
      <w:lang w:eastAsia="en-US"/>
    </w:rPr>
  </w:style>
  <w:style w:type="paragraph" w:customStyle="1" w:styleId="Els-bulletlist">
    <w:name w:val="Els-bulletlist"/>
    <w:basedOn w:val="Els-body-text"/>
    <w:rsid w:val="008B0184"/>
    <w:pPr>
      <w:tabs>
        <w:tab w:val="left" w:pos="240"/>
        <w:tab w:val="num" w:pos="360"/>
      </w:tabs>
      <w:ind w:left="240" w:hanging="240"/>
    </w:pPr>
  </w:style>
  <w:style w:type="paragraph" w:customStyle="1" w:styleId="Els-chem-equation">
    <w:name w:val="Els-chem-equation"/>
    <w:basedOn w:val="Els-body-text"/>
    <w:next w:val="Els-body-text"/>
    <w:rsid w:val="008B0184"/>
    <w:pPr>
      <w:tabs>
        <w:tab w:val="right" w:pos="7088"/>
      </w:tabs>
      <w:spacing w:before="120" w:after="120"/>
    </w:pPr>
    <w:rPr>
      <w:noProof/>
      <w:lang w:val="en-GB"/>
    </w:rPr>
  </w:style>
  <w:style w:type="paragraph" w:customStyle="1" w:styleId="Els-equation">
    <w:name w:val="Els-equation"/>
    <w:basedOn w:val="Els-body-text"/>
    <w:next w:val="Els-body-text"/>
    <w:rsid w:val="008B0184"/>
    <w:pPr>
      <w:tabs>
        <w:tab w:val="right" w:pos="7088"/>
      </w:tabs>
      <w:spacing w:before="120" w:after="120"/>
    </w:pPr>
    <w:rPr>
      <w:i/>
      <w:noProof/>
      <w:lang w:val="en-GB"/>
    </w:rPr>
  </w:style>
  <w:style w:type="paragraph" w:customStyle="1" w:styleId="Els-footnote">
    <w:name w:val="Els-footnote"/>
    <w:rsid w:val="008B0184"/>
    <w:pPr>
      <w:keepLines/>
      <w:widowControl w:val="0"/>
      <w:ind w:left="120" w:hanging="120"/>
    </w:pPr>
    <w:rPr>
      <w:sz w:val="18"/>
      <w:lang w:val="en-US" w:eastAsia="en-US"/>
    </w:rPr>
  </w:style>
  <w:style w:type="paragraph" w:customStyle="1" w:styleId="Els-numlist">
    <w:name w:val="Els-numlist"/>
    <w:basedOn w:val="Els-body-text"/>
    <w:rsid w:val="008B0184"/>
    <w:pPr>
      <w:tabs>
        <w:tab w:val="left" w:pos="240"/>
        <w:tab w:val="num" w:pos="360"/>
      </w:tabs>
      <w:ind w:left="240" w:hanging="240"/>
    </w:pPr>
  </w:style>
  <w:style w:type="paragraph" w:customStyle="1" w:styleId="Els-reference">
    <w:name w:val="Els-reference"/>
    <w:rsid w:val="008B0184"/>
    <w:pPr>
      <w:numPr>
        <w:numId w:val="3"/>
      </w:numPr>
      <w:ind w:left="482"/>
    </w:pPr>
    <w:rPr>
      <w:noProof/>
      <w:sz w:val="18"/>
      <w:lang w:eastAsia="en-US"/>
    </w:rPr>
  </w:style>
  <w:style w:type="paragraph" w:customStyle="1" w:styleId="Els-reference-head">
    <w:name w:val="Els-reference-head"/>
    <w:basedOn w:val="Els-body-text"/>
    <w:next w:val="Els-referenceno-number"/>
    <w:rsid w:val="008B0184"/>
    <w:pPr>
      <w:keepNext/>
      <w:spacing w:before="240" w:after="60"/>
    </w:pPr>
    <w:rPr>
      <w:b/>
      <w:sz w:val="22"/>
      <w:szCs w:val="22"/>
    </w:rPr>
  </w:style>
  <w:style w:type="paragraph" w:customStyle="1" w:styleId="Els-table-text">
    <w:name w:val="Els-table-text"/>
    <w:rsid w:val="008B0184"/>
    <w:pPr>
      <w:keepNext/>
      <w:spacing w:after="80" w:line="240" w:lineRule="exact"/>
    </w:pPr>
    <w:rPr>
      <w:sz w:val="18"/>
      <w:lang w:val="en-US" w:eastAsia="en-US"/>
    </w:rPr>
  </w:style>
  <w:style w:type="paragraph" w:customStyle="1" w:styleId="Els-Title">
    <w:name w:val="Els-Title"/>
    <w:next w:val="Els-Author"/>
    <w:rsid w:val="008B0184"/>
    <w:pPr>
      <w:suppressAutoHyphens/>
      <w:spacing w:before="240" w:after="120" w:line="360" w:lineRule="exact"/>
    </w:pPr>
    <w:rPr>
      <w:b/>
      <w:sz w:val="32"/>
      <w:lang w:val="en-US" w:eastAsia="en-US"/>
    </w:rPr>
  </w:style>
  <w:style w:type="character" w:styleId="Refdenotadefim">
    <w:name w:val="endnote reference"/>
    <w:basedOn w:val="Fontepargpadro"/>
    <w:semiHidden/>
    <w:rsid w:val="008B0184"/>
    <w:rPr>
      <w:vertAlign w:val="superscript"/>
    </w:rPr>
  </w:style>
  <w:style w:type="paragraph" w:styleId="Cabealho">
    <w:name w:val="header"/>
    <w:link w:val="CabealhoChar"/>
    <w:uiPriority w:val="99"/>
    <w:rsid w:val="008B0184"/>
    <w:pPr>
      <w:tabs>
        <w:tab w:val="center" w:pos="3600"/>
        <w:tab w:val="right" w:pos="7200"/>
      </w:tabs>
      <w:spacing w:line="200" w:lineRule="atLeast"/>
    </w:pPr>
    <w:rPr>
      <w:noProof/>
      <w:lang w:eastAsia="en-US"/>
    </w:rPr>
  </w:style>
  <w:style w:type="paragraph" w:styleId="Rodap">
    <w:name w:val="footer"/>
    <w:basedOn w:val="Cabealho"/>
    <w:link w:val="RodapChar"/>
    <w:uiPriority w:val="99"/>
    <w:rsid w:val="008B0184"/>
  </w:style>
  <w:style w:type="character" w:styleId="Refdenotaderodap">
    <w:name w:val="footnote reference"/>
    <w:semiHidden/>
    <w:rsid w:val="008B0184"/>
    <w:rPr>
      <w:vertAlign w:val="superscript"/>
    </w:rPr>
  </w:style>
  <w:style w:type="paragraph" w:styleId="Textodenotaderodap">
    <w:name w:val="footnote text"/>
    <w:basedOn w:val="Normal"/>
    <w:semiHidden/>
    <w:rsid w:val="008B0184"/>
    <w:rPr>
      <w:rFonts w:ascii="Univers" w:hAnsi="Univers"/>
    </w:rPr>
  </w:style>
  <w:style w:type="character" w:styleId="Hyperlink">
    <w:name w:val="Hyperlink"/>
    <w:basedOn w:val="Fontepargpadro"/>
    <w:rsid w:val="008B0184"/>
    <w:rPr>
      <w:color w:val="0000FF"/>
      <w:u w:val="single"/>
    </w:rPr>
  </w:style>
  <w:style w:type="character" w:customStyle="1" w:styleId="MTEquationSection">
    <w:name w:val="MTEquationSection"/>
    <w:basedOn w:val="Fontepargpadro"/>
    <w:rsid w:val="008B0184"/>
    <w:rPr>
      <w:vanish/>
      <w:color w:val="FF0000"/>
    </w:rPr>
  </w:style>
  <w:style w:type="character" w:styleId="Nmerodepgina">
    <w:name w:val="page number"/>
    <w:basedOn w:val="Fontepargpadro"/>
    <w:rsid w:val="008B0184"/>
    <w:rPr>
      <w:sz w:val="20"/>
      <w:szCs w:val="20"/>
    </w:rPr>
  </w:style>
  <w:style w:type="paragraph" w:customStyle="1" w:styleId="Els-Chapterno">
    <w:name w:val="Els-Chapter no"/>
    <w:rsid w:val="008B0184"/>
    <w:pPr>
      <w:tabs>
        <w:tab w:val="num" w:pos="720"/>
      </w:tabs>
      <w:spacing w:before="907" w:line="260" w:lineRule="exact"/>
      <w:ind w:left="720" w:hanging="720"/>
    </w:pPr>
    <w:rPr>
      <w:lang w:val="en-US" w:eastAsia="en-US"/>
    </w:rPr>
  </w:style>
  <w:style w:type="paragraph" w:customStyle="1" w:styleId="Els-referenceno-number">
    <w:name w:val="Els-reference no-number"/>
    <w:basedOn w:val="Els-reference"/>
    <w:rsid w:val="008B0184"/>
    <w:pPr>
      <w:numPr>
        <w:numId w:val="0"/>
      </w:numPr>
      <w:ind w:left="240" w:hanging="240"/>
    </w:pPr>
  </w:style>
  <w:style w:type="character" w:customStyle="1" w:styleId="Els-captionChar">
    <w:name w:val="Els-caption Char"/>
    <w:basedOn w:val="Fontepargpadro"/>
    <w:rsid w:val="008B0184"/>
    <w:rPr>
      <w:sz w:val="18"/>
      <w:lang w:val="en-US" w:eastAsia="en-US" w:bidi="ar-SA"/>
    </w:rPr>
  </w:style>
  <w:style w:type="character" w:styleId="Refdecomentrio">
    <w:name w:val="annotation reference"/>
    <w:basedOn w:val="Fontepargpadro"/>
    <w:semiHidden/>
    <w:rsid w:val="008B0184"/>
    <w:rPr>
      <w:sz w:val="16"/>
      <w:szCs w:val="16"/>
    </w:rPr>
  </w:style>
  <w:style w:type="paragraph" w:styleId="Textodecomentrio">
    <w:name w:val="annotation text"/>
    <w:basedOn w:val="Normal"/>
    <w:semiHidden/>
    <w:rsid w:val="008B0184"/>
  </w:style>
  <w:style w:type="paragraph" w:styleId="Assuntodocomentrio">
    <w:name w:val="annotation subject"/>
    <w:basedOn w:val="Textodecomentrio"/>
    <w:next w:val="Textodecomentrio"/>
    <w:semiHidden/>
    <w:rsid w:val="008B0184"/>
    <w:rPr>
      <w:b/>
      <w:bCs/>
    </w:rPr>
  </w:style>
  <w:style w:type="paragraph" w:styleId="Textodebalo">
    <w:name w:val="Balloon Text"/>
    <w:basedOn w:val="Normal"/>
    <w:semiHidden/>
    <w:rsid w:val="008B0184"/>
    <w:rPr>
      <w:rFonts w:ascii="Tahoma" w:hAnsi="Tahoma" w:cs="Tahoma"/>
      <w:sz w:val="16"/>
      <w:szCs w:val="16"/>
    </w:rPr>
  </w:style>
  <w:style w:type="paragraph" w:customStyle="1" w:styleId="Els-Abstract">
    <w:name w:val="Els-Abstract"/>
    <w:basedOn w:val="Els-1storder-head"/>
    <w:next w:val="Els-body-text"/>
    <w:autoRedefine/>
    <w:rsid w:val="00402878"/>
    <w:pPr>
      <w:numPr>
        <w:ilvl w:val="0"/>
        <w:numId w:val="0"/>
      </w:numPr>
      <w:jc w:val="center"/>
    </w:pPr>
    <w:rPr>
      <w:sz w:val="20"/>
      <w:szCs w:val="18"/>
      <w:lang w:val="pt-BR"/>
    </w:rPr>
  </w:style>
  <w:style w:type="paragraph" w:styleId="SemEspaamento">
    <w:name w:val="No Spacing"/>
    <w:uiPriority w:val="1"/>
    <w:qFormat/>
    <w:rsid w:val="00684389"/>
    <w:rPr>
      <w:rFonts w:asciiTheme="minorHAnsi" w:eastAsiaTheme="minorHAnsi" w:hAnsiTheme="minorHAnsi" w:cstheme="minorBidi"/>
      <w:sz w:val="22"/>
      <w:szCs w:val="22"/>
      <w:lang w:eastAsia="en-US"/>
    </w:rPr>
  </w:style>
  <w:style w:type="character" w:styleId="TextodoEspaoReservado">
    <w:name w:val="Placeholder Text"/>
    <w:basedOn w:val="Fontepargpadro"/>
    <w:uiPriority w:val="99"/>
    <w:semiHidden/>
    <w:rsid w:val="00A658BE"/>
    <w:rPr>
      <w:color w:val="808080"/>
    </w:rPr>
  </w:style>
  <w:style w:type="table" w:styleId="Tabelacomgrade">
    <w:name w:val="Table Grid"/>
    <w:basedOn w:val="Tabelanormal"/>
    <w:uiPriority w:val="39"/>
    <w:rsid w:val="003F69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rsid w:val="000A4877"/>
    <w:rPr>
      <w:noProof/>
      <w:lang w:eastAsia="en-US"/>
    </w:rPr>
  </w:style>
  <w:style w:type="character" w:customStyle="1" w:styleId="hlfld-contribauthor">
    <w:name w:val="hlfld-contribauthor"/>
    <w:basedOn w:val="Fontepargpadro"/>
    <w:rsid w:val="00FA2CC0"/>
  </w:style>
  <w:style w:type="paragraph" w:customStyle="1" w:styleId="comma-separator">
    <w:name w:val="comma-separator"/>
    <w:basedOn w:val="Normal"/>
    <w:rsid w:val="00FA2CC0"/>
    <w:pPr>
      <w:spacing w:before="100" w:beforeAutospacing="1" w:after="100" w:afterAutospacing="1"/>
    </w:pPr>
    <w:rPr>
      <w:rFonts w:ascii="Times New Roman" w:eastAsia="Times New Roman" w:hAnsi="Times New Roman" w:cs="Times New Roman"/>
    </w:rPr>
  </w:style>
  <w:style w:type="character" w:customStyle="1" w:styleId="comma-separator1">
    <w:name w:val="comma-separator1"/>
    <w:basedOn w:val="Fontepargpadro"/>
    <w:rsid w:val="00FA2CC0"/>
  </w:style>
  <w:style w:type="character" w:customStyle="1" w:styleId="Ttulo1Char">
    <w:name w:val="Título 1 Char"/>
    <w:basedOn w:val="Fontepargpadro"/>
    <w:rsid w:val="00FA2CC0"/>
    <w:rPr>
      <w:rFonts w:asciiTheme="majorHAnsi" w:eastAsiaTheme="majorEastAsia" w:hAnsiTheme="majorHAnsi" w:cstheme="majorBidi"/>
      <w:color w:val="365F91" w:themeColor="accent1" w:themeShade="BF"/>
      <w:kern w:val="2"/>
      <w:sz w:val="32"/>
      <w:szCs w:val="32"/>
      <w:lang w:val="pt-BR" w:eastAsia="en-US"/>
    </w:rPr>
  </w:style>
  <w:style w:type="character" w:customStyle="1" w:styleId="hlfld-title">
    <w:name w:val="hlfld-title"/>
    <w:basedOn w:val="Fontepargpadro"/>
    <w:rsid w:val="00FA2CC0"/>
  </w:style>
  <w:style w:type="character" w:customStyle="1" w:styleId="cit-title">
    <w:name w:val="cit-title"/>
    <w:basedOn w:val="Fontepargpadro"/>
    <w:rsid w:val="00FA2CC0"/>
  </w:style>
  <w:style w:type="character" w:customStyle="1" w:styleId="cit-year-info">
    <w:name w:val="cit-year-info"/>
    <w:basedOn w:val="Fontepargpadro"/>
    <w:rsid w:val="00FA2CC0"/>
  </w:style>
  <w:style w:type="character" w:customStyle="1" w:styleId="cit-volume">
    <w:name w:val="cit-volume"/>
    <w:basedOn w:val="Fontepargpadro"/>
    <w:rsid w:val="00FA2CC0"/>
  </w:style>
  <w:style w:type="character" w:customStyle="1" w:styleId="cit-issue">
    <w:name w:val="cit-issue"/>
    <w:basedOn w:val="Fontepargpadro"/>
    <w:rsid w:val="00FA2CC0"/>
  </w:style>
  <w:style w:type="character" w:customStyle="1" w:styleId="cit-pagerange">
    <w:name w:val="cit-pagerange"/>
    <w:basedOn w:val="Fontepargpadro"/>
    <w:rsid w:val="00FA2CC0"/>
  </w:style>
  <w:style w:type="paragraph" w:styleId="Reviso">
    <w:name w:val="Revision"/>
    <w:hidden/>
    <w:uiPriority w:val="99"/>
    <w:semiHidden/>
    <w:rsid w:val="000444D4"/>
    <w:rPr>
      <w:rFonts w:asciiTheme="minorHAnsi" w:eastAsiaTheme="minorHAnsi" w:hAnsiTheme="minorHAnsi" w:cstheme="minorBidi"/>
      <w:kern w:val="2"/>
      <w:sz w:val="22"/>
      <w:szCs w:val="22"/>
      <w:lang w:eastAsia="en-US"/>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customStyle="1" w:styleId="RodapChar">
    <w:name w:val="Rodapé Char"/>
    <w:basedOn w:val="Fontepargpadro"/>
    <w:link w:val="Rodap"/>
    <w:uiPriority w:val="99"/>
    <w:rsid w:val="00DB5EC1"/>
    <w:rPr>
      <w:noProof/>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PargrafodaLista">
    <w:name w:val="List Paragraph"/>
    <w:basedOn w:val="Normal"/>
    <w:uiPriority w:val="34"/>
    <w:qFormat/>
    <w:rsid w:val="00222EDB"/>
    <w:pPr>
      <w:ind w:left="720"/>
      <w:contextualSpacing/>
    </w:pPr>
  </w:style>
  <w:style w:type="paragraph" w:styleId="Bibliografia">
    <w:name w:val="Bibliography"/>
    <w:basedOn w:val="Normal"/>
    <w:next w:val="Normal"/>
    <w:uiPriority w:val="37"/>
    <w:unhideWhenUsed/>
    <w:rsid w:val="00A40954"/>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uB9eoJSaVwUAiHslW5cJDIq2MQ==">CgMxLjAyDmgucTJxMTBvd3lucjQxOAByITFiUWttRjZmano1OVVJSFNXUTRXR0NOUWxpWUc1WnpRdg==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2398</Words>
  <Characters>12950</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Reis</dc:creator>
  <cp:lastModifiedBy>Joao Felipe Maués de Azevedo</cp:lastModifiedBy>
  <cp:revision>3</cp:revision>
  <dcterms:created xsi:type="dcterms:W3CDTF">2026-03-30T20:17:00Z</dcterms:created>
  <dcterms:modified xsi:type="dcterms:W3CDTF">2026-03-31T14:05:00Z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Enabled">
    <vt:lpwstr>true</vt:lpwstr>
  </property>
  <property fmtid="{D5CDD505-2E9C-101B-9397-08002B2CF9AE}" pid="3" name="MSIP_Label_549ac42a-3eb4-4074-b885-aea26bd6241e_SetDate">
    <vt:lpwstr>2021-11-04T09:12:24Z</vt:lpwstr>
  </property>
  <property fmtid="{D5CDD505-2E9C-101B-9397-08002B2CF9AE}" pid="4" name="MSIP_Label_549ac42a-3eb4-4074-b885-aea26bd6241e_Method">
    <vt:lpwstr>Standard</vt:lpwstr>
  </property>
  <property fmtid="{D5CDD505-2E9C-101B-9397-08002B2CF9AE}" pid="5" name="MSIP_Label_549ac42a-3eb4-4074-b885-aea26bd6241e_Name">
    <vt:lpwstr>General Business</vt:lpwstr>
  </property>
  <property fmtid="{D5CDD505-2E9C-101B-9397-08002B2CF9AE}" pid="6" name="MSIP_Label_549ac42a-3eb4-4074-b885-aea26bd6241e_SiteId">
    <vt:lpwstr>9274ee3f-9425-4109-a27f-9fb15c10675d</vt:lpwstr>
  </property>
  <property fmtid="{D5CDD505-2E9C-101B-9397-08002B2CF9AE}" pid="7" name="MSIP_Label_549ac42a-3eb4-4074-b885-aea26bd6241e_ActionId">
    <vt:lpwstr>5587a44c-12f0-4d84-98cd-f79dcdb8b2fc</vt:lpwstr>
  </property>
  <property fmtid="{D5CDD505-2E9C-101B-9397-08002B2CF9AE}" pid="8" name="MSIP_Label_549ac42a-3eb4-4074-b885-aea26bd6241e_ContentBits">
    <vt:lpwstr>0</vt:lpwstr>
  </property>
  <property fmtid="{D5CDD505-2E9C-101B-9397-08002B2CF9AE}" pid="9" name="ZOTERO_PREF_1">
    <vt:lpwstr>&lt;data data-version="3" zotero-version="8.0.4"&gt;&lt;session id="RufNmAoS"/&gt;&lt;style id="http://www.zotero.org/styles/apa" locale="pt-BR" hasBibliography="1" bibliographyStyleHasBeenSet="1"/&gt;&lt;prefs&gt;&lt;pref name="fieldType" value="Field"/&gt;&lt;/prefs&gt;&lt;/data&gt;</vt:lpwstr>
  </property>
</Properties>
</file>