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7F4E18" w14:textId="25FF125B" w:rsidR="00247A81" w:rsidRDefault="004B538F">
      <w:pPr>
        <w:pBdr>
          <w:top w:val="nil"/>
          <w:left w:val="nil"/>
          <w:bottom w:val="nil"/>
          <w:right w:val="nil"/>
          <w:between w:val="nil"/>
        </w:pBdr>
        <w:spacing w:before="240" w:after="120" w:line="36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</w:rPr>
      </w:pPr>
      <w:r w:rsidRPr="004B538F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</w:rPr>
        <w:t xml:space="preserve">Clusterização com Roteamento </w:t>
      </w:r>
      <w:proofErr w:type="spellStart"/>
      <w:r w:rsidRPr="004B538F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</w:rPr>
        <w:t>Intra-Cluster</w:t>
      </w:r>
      <w:proofErr w:type="spellEnd"/>
      <w:r w:rsidRPr="004B538F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</w:rPr>
        <w:t xml:space="preserve"> para Planejamento Integrado de Produção e Distribuição de Gases Industriais</w:t>
      </w:r>
    </w:p>
    <w:p w14:paraId="4E558CB9" w14:textId="04B16E0A" w:rsidR="004B538F" w:rsidRPr="004B538F" w:rsidRDefault="004B538F">
      <w:pPr>
        <w:keepNext/>
        <w:pBdr>
          <w:top w:val="nil"/>
          <w:left w:val="nil"/>
          <w:bottom w:val="nil"/>
          <w:right w:val="nil"/>
          <w:between w:val="nil"/>
        </w:pBdr>
        <w:spacing w:after="60" w:line="310" w:lineRule="auto"/>
        <w:jc w:val="center"/>
        <w:rPr>
          <w:rFonts w:ascii="Times New Roman" w:eastAsia="Times New Roman" w:hAnsi="Times New Roman" w:cs="Times New Roman"/>
          <w:color w:val="000000"/>
          <w:sz w:val="22"/>
          <w:szCs w:val="22"/>
          <w:vertAlign w:val="superscript"/>
        </w:rPr>
      </w:pPr>
      <w:r w:rsidRPr="004B538F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Ulysses Guilherme </w:t>
      </w:r>
      <w:proofErr w:type="spellStart"/>
      <w:r w:rsidRPr="004B538F">
        <w:rPr>
          <w:rFonts w:ascii="Times New Roman" w:eastAsia="Times New Roman" w:hAnsi="Times New Roman" w:cs="Times New Roman"/>
          <w:color w:val="000000"/>
          <w:sz w:val="22"/>
          <w:szCs w:val="22"/>
        </w:rPr>
        <w:t>Ferreira</w:t>
      </w:r>
      <w:r>
        <w:rPr>
          <w:rFonts w:ascii="Times New Roman" w:eastAsia="Times New Roman" w:hAnsi="Times New Roman" w:cs="Times New Roman"/>
          <w:color w:val="000000"/>
          <w:sz w:val="22"/>
          <w:szCs w:val="22"/>
          <w:vertAlign w:val="superscript"/>
        </w:rPr>
        <w:t>a</w:t>
      </w:r>
      <w:proofErr w:type="spellEnd"/>
      <w:r w:rsidRPr="004B538F">
        <w:rPr>
          <w:rFonts w:ascii="Times New Roman" w:eastAsia="Times New Roman" w:hAnsi="Times New Roman" w:cs="Times New Roman"/>
          <w:color w:val="000000"/>
          <w:sz w:val="22"/>
          <w:szCs w:val="22"/>
        </w:rPr>
        <w:t>*, Luís Cláudio Oliveira-</w:t>
      </w:r>
      <w:proofErr w:type="spellStart"/>
      <w:r w:rsidRPr="004B538F">
        <w:rPr>
          <w:rFonts w:ascii="Times New Roman" w:eastAsia="Times New Roman" w:hAnsi="Times New Roman" w:cs="Times New Roman"/>
          <w:color w:val="000000"/>
          <w:sz w:val="22"/>
          <w:szCs w:val="22"/>
        </w:rPr>
        <w:t>Lopes</w:t>
      </w:r>
      <w:r>
        <w:rPr>
          <w:rFonts w:ascii="Times New Roman" w:eastAsia="Times New Roman" w:hAnsi="Times New Roman" w:cs="Times New Roman"/>
          <w:color w:val="000000"/>
          <w:sz w:val="22"/>
          <w:szCs w:val="22"/>
          <w:vertAlign w:val="superscript"/>
        </w:rPr>
        <w:t>a</w:t>
      </w:r>
      <w:proofErr w:type="spellEnd"/>
      <w:r w:rsidRPr="004B538F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Thiago Vaz da </w:t>
      </w:r>
      <w:proofErr w:type="spellStart"/>
      <w:r w:rsidRPr="004B538F">
        <w:rPr>
          <w:rFonts w:ascii="Times New Roman" w:eastAsia="Times New Roman" w:hAnsi="Times New Roman" w:cs="Times New Roman"/>
          <w:color w:val="000000"/>
          <w:sz w:val="22"/>
          <w:szCs w:val="22"/>
        </w:rPr>
        <w:t>Costa</w:t>
      </w:r>
      <w:r>
        <w:rPr>
          <w:rFonts w:ascii="Times New Roman" w:eastAsia="Times New Roman" w:hAnsi="Times New Roman" w:cs="Times New Roman"/>
          <w:color w:val="000000"/>
          <w:sz w:val="22"/>
          <w:szCs w:val="22"/>
          <w:vertAlign w:val="superscript"/>
        </w:rPr>
        <w:t>a</w:t>
      </w:r>
      <w:proofErr w:type="spellEnd"/>
      <w:r w:rsidRPr="004B538F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Fernando </w:t>
      </w:r>
      <w:proofErr w:type="spellStart"/>
      <w:r w:rsidRPr="004B538F">
        <w:rPr>
          <w:rFonts w:ascii="Times New Roman" w:eastAsia="Times New Roman" w:hAnsi="Times New Roman" w:cs="Times New Roman"/>
          <w:color w:val="000000"/>
          <w:sz w:val="22"/>
          <w:szCs w:val="22"/>
        </w:rPr>
        <w:t>Vines</w:t>
      </w:r>
      <w:proofErr w:type="spellEnd"/>
      <w:r w:rsidRPr="004B538F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4B538F">
        <w:rPr>
          <w:rFonts w:ascii="Times New Roman" w:eastAsia="Times New Roman" w:hAnsi="Times New Roman" w:cs="Times New Roman"/>
          <w:color w:val="000000"/>
          <w:sz w:val="22"/>
          <w:szCs w:val="22"/>
        </w:rPr>
        <w:t>Lima</w:t>
      </w:r>
      <w:r>
        <w:rPr>
          <w:rFonts w:ascii="Times New Roman" w:eastAsia="Times New Roman" w:hAnsi="Times New Roman" w:cs="Times New Roman"/>
          <w:color w:val="000000"/>
          <w:sz w:val="22"/>
          <w:szCs w:val="22"/>
          <w:vertAlign w:val="superscript"/>
        </w:rPr>
        <w:t>b</w:t>
      </w:r>
      <w:proofErr w:type="spellEnd"/>
      <w:r w:rsidRPr="004B538F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Sergio Mauro da Silva </w:t>
      </w:r>
      <w:proofErr w:type="spellStart"/>
      <w:r w:rsidRPr="004B538F">
        <w:rPr>
          <w:rFonts w:ascii="Times New Roman" w:eastAsia="Times New Roman" w:hAnsi="Times New Roman" w:cs="Times New Roman"/>
          <w:color w:val="000000"/>
          <w:sz w:val="22"/>
          <w:szCs w:val="22"/>
        </w:rPr>
        <w:t>Neiro</w:t>
      </w:r>
      <w:r>
        <w:rPr>
          <w:rFonts w:ascii="Times New Roman" w:eastAsia="Times New Roman" w:hAnsi="Times New Roman" w:cs="Times New Roman"/>
          <w:color w:val="000000"/>
          <w:sz w:val="22"/>
          <w:szCs w:val="22"/>
          <w:vertAlign w:val="superscript"/>
        </w:rPr>
        <w:t>a</w:t>
      </w:r>
      <w:proofErr w:type="spellEnd"/>
    </w:p>
    <w:p w14:paraId="45949BFB" w14:textId="103EE57E" w:rsidR="00247A81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vertAlign w:val="superscript"/>
        </w:rPr>
        <w:t>a</w:t>
      </w:r>
      <w:r w:rsidR="004B538F" w:rsidRPr="004B538F">
        <w:rPr>
          <w:i/>
          <w:sz w:val="20"/>
        </w:rPr>
        <w:t xml:space="preserve"> </w:t>
      </w:r>
      <w:r w:rsidR="004B538F" w:rsidRPr="004B538F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Faculdade de Engenharia Química, Universidade Federal de Uberlândia (UFU), Uberlândia-MG, Brasil</w:t>
      </w:r>
    </w:p>
    <w:p w14:paraId="2DB7E15C" w14:textId="133D0A66" w:rsidR="004B538F" w:rsidRPr="004B538F" w:rsidRDefault="00000000" w:rsidP="004B538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lang w:val="en-US"/>
        </w:rPr>
      </w:pPr>
      <w:r w:rsidRPr="004B538F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vertAlign w:val="superscript"/>
          <w:lang w:val="en-US"/>
        </w:rPr>
        <w:t>b</w:t>
      </w:r>
      <w:r w:rsidR="004B538F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lang w:val="en-US"/>
        </w:rPr>
        <w:t xml:space="preserve"> </w:t>
      </w:r>
      <w:r w:rsidR="004B538F" w:rsidRPr="004B538F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lang w:val="en-US"/>
        </w:rPr>
        <w:t>Department of Chemical and Biomedical Engineering, West Virginia University (WVU), Morgantown, WV, United States</w:t>
      </w:r>
    </w:p>
    <w:p w14:paraId="790110A4" w14:textId="76B2574E" w:rsidR="00247A81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*</w:t>
      </w:r>
      <w:r w:rsidR="004B538F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ulysses@ufu.br</w:t>
      </w:r>
    </w:p>
    <w:p w14:paraId="38E84BCE" w14:textId="77777777" w:rsidR="00247A81" w:rsidRDefault="00000000">
      <w:pPr>
        <w:keepNext/>
        <w:pBdr>
          <w:top w:val="nil"/>
          <w:left w:val="nil"/>
          <w:bottom w:val="nil"/>
          <w:right w:val="nil"/>
          <w:between w:val="nil"/>
        </w:pBdr>
        <w:spacing w:before="240" w:after="6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RESUMO</w:t>
      </w:r>
    </w:p>
    <w:p w14:paraId="42B0EACA" w14:textId="77777777" w:rsidR="00247A81" w:rsidRDefault="00247A8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0B3CB878" w14:textId="77777777" w:rsidR="004B538F" w:rsidRPr="004B538F" w:rsidRDefault="004B538F" w:rsidP="004B538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4B538F">
        <w:rPr>
          <w:rFonts w:ascii="Times New Roman" w:eastAsia="Times New Roman" w:hAnsi="Times New Roman" w:cs="Times New Roman"/>
          <w:sz w:val="20"/>
          <w:szCs w:val="20"/>
        </w:rPr>
        <w:t xml:space="preserve">O planejamento operacional de cadeias de suprimentos de gases industriais requer decisões integradas de produção, gestão de inventário, alocação de frota e distribuição, resultando em modelos de Programação Mista Inteira Linear (MILP) de grande porte e elevada complexidade computacional. Abordagens anteriores, como a proposta por Neiro et al. (2022) utilizam uma estrutura em duas etapas baseada na geração prévia de rotas detalhadas e posterior otimização em um modelo integrado de produção e distribuição. Embora eficaz, essa estratégia apresenta limitações de escalabilidade devido ao rápido crescimento do número de rotas candidatas. Mais recentemente, Neiro et al. (2024) propuseram a agregação de clientes em </w:t>
      </w:r>
      <w:proofErr w:type="spellStart"/>
      <w:r w:rsidRPr="004B538F">
        <w:rPr>
          <w:rFonts w:ascii="Times New Roman" w:eastAsia="Times New Roman" w:hAnsi="Times New Roman" w:cs="Times New Roman"/>
          <w:sz w:val="20"/>
          <w:szCs w:val="20"/>
        </w:rPr>
        <w:t>mega-customers</w:t>
      </w:r>
      <w:proofErr w:type="spellEnd"/>
      <w:r w:rsidRPr="004B538F">
        <w:rPr>
          <w:rFonts w:ascii="Times New Roman" w:eastAsia="Times New Roman" w:hAnsi="Times New Roman" w:cs="Times New Roman"/>
          <w:sz w:val="20"/>
          <w:szCs w:val="20"/>
        </w:rPr>
        <w:t xml:space="preserve"> via K-</w:t>
      </w:r>
      <w:proofErr w:type="spellStart"/>
      <w:r w:rsidRPr="004B538F">
        <w:rPr>
          <w:rFonts w:ascii="Times New Roman" w:eastAsia="Times New Roman" w:hAnsi="Times New Roman" w:cs="Times New Roman"/>
          <w:sz w:val="20"/>
          <w:szCs w:val="20"/>
        </w:rPr>
        <w:t>Means</w:t>
      </w:r>
      <w:proofErr w:type="spellEnd"/>
      <w:r w:rsidRPr="004B538F">
        <w:rPr>
          <w:rFonts w:ascii="Times New Roman" w:eastAsia="Times New Roman" w:hAnsi="Times New Roman" w:cs="Times New Roman"/>
          <w:sz w:val="20"/>
          <w:szCs w:val="20"/>
        </w:rPr>
        <w:t>, reduzindo significativamente a dimensão do problema, porém à custa da perda de detalhamento na distribuição. Neste trabalho, propõe-se uma abordagem que combina os benefícios da agrupamento (</w:t>
      </w:r>
      <w:proofErr w:type="spellStart"/>
      <w:r w:rsidRPr="004B538F">
        <w:rPr>
          <w:rFonts w:ascii="Times New Roman" w:eastAsia="Times New Roman" w:hAnsi="Times New Roman" w:cs="Times New Roman"/>
          <w:sz w:val="20"/>
          <w:szCs w:val="20"/>
        </w:rPr>
        <w:t>clustering</w:t>
      </w:r>
      <w:proofErr w:type="spellEnd"/>
      <w:r w:rsidRPr="004B538F">
        <w:rPr>
          <w:rFonts w:ascii="Times New Roman" w:eastAsia="Times New Roman" w:hAnsi="Times New Roman" w:cs="Times New Roman"/>
          <w:sz w:val="20"/>
          <w:szCs w:val="20"/>
        </w:rPr>
        <w:t xml:space="preserve">) com o roteamento detalhado </w:t>
      </w:r>
      <w:proofErr w:type="spellStart"/>
      <w:r w:rsidRPr="004B538F">
        <w:rPr>
          <w:rFonts w:ascii="Times New Roman" w:eastAsia="Times New Roman" w:hAnsi="Times New Roman" w:cs="Times New Roman"/>
          <w:sz w:val="20"/>
          <w:szCs w:val="20"/>
        </w:rPr>
        <w:t>intra-cluster</w:t>
      </w:r>
      <w:proofErr w:type="spellEnd"/>
      <w:r w:rsidRPr="004B538F">
        <w:rPr>
          <w:rFonts w:ascii="Times New Roman" w:eastAsia="Times New Roman" w:hAnsi="Times New Roman" w:cs="Times New Roman"/>
          <w:sz w:val="20"/>
          <w:szCs w:val="20"/>
        </w:rPr>
        <w:t>, A metodologia é estruturada em quatro fases sequenciais: (i) identificação das necessidades de reabastecimento dos clientes (</w:t>
      </w:r>
      <w:proofErr w:type="spellStart"/>
      <w:r w:rsidRPr="004B538F">
        <w:rPr>
          <w:rFonts w:ascii="Times New Roman" w:eastAsia="Times New Roman" w:hAnsi="Times New Roman" w:cs="Times New Roman"/>
          <w:sz w:val="20"/>
          <w:szCs w:val="20"/>
        </w:rPr>
        <w:t>ii</w:t>
      </w:r>
      <w:proofErr w:type="spellEnd"/>
      <w:r w:rsidRPr="004B538F">
        <w:rPr>
          <w:rFonts w:ascii="Times New Roman" w:eastAsia="Times New Roman" w:hAnsi="Times New Roman" w:cs="Times New Roman"/>
          <w:sz w:val="20"/>
          <w:szCs w:val="20"/>
        </w:rPr>
        <w:t>) formação de clusters via K-</w:t>
      </w:r>
      <w:proofErr w:type="spellStart"/>
      <w:r w:rsidRPr="004B538F">
        <w:rPr>
          <w:rFonts w:ascii="Times New Roman" w:eastAsia="Times New Roman" w:hAnsi="Times New Roman" w:cs="Times New Roman"/>
          <w:sz w:val="20"/>
          <w:szCs w:val="20"/>
        </w:rPr>
        <w:t>Means</w:t>
      </w:r>
      <w:proofErr w:type="spellEnd"/>
      <w:r w:rsidRPr="004B538F">
        <w:rPr>
          <w:rFonts w:ascii="Times New Roman" w:eastAsia="Times New Roman" w:hAnsi="Times New Roman" w:cs="Times New Roman"/>
          <w:sz w:val="20"/>
          <w:szCs w:val="20"/>
        </w:rPr>
        <w:t xml:space="preserve"> com balanceamento pelo algoritmo Húngaro, limitando o número máximo de clientes por grupo, (</w:t>
      </w:r>
      <w:proofErr w:type="spellStart"/>
      <w:r w:rsidRPr="004B538F">
        <w:rPr>
          <w:rFonts w:ascii="Times New Roman" w:eastAsia="Times New Roman" w:hAnsi="Times New Roman" w:cs="Times New Roman"/>
          <w:sz w:val="20"/>
          <w:szCs w:val="20"/>
        </w:rPr>
        <w:t>iii</w:t>
      </w:r>
      <w:proofErr w:type="spellEnd"/>
      <w:r w:rsidRPr="004B538F">
        <w:rPr>
          <w:rFonts w:ascii="Times New Roman" w:eastAsia="Times New Roman" w:hAnsi="Times New Roman" w:cs="Times New Roman"/>
          <w:sz w:val="20"/>
          <w:szCs w:val="20"/>
        </w:rPr>
        <w:t>) otimização integrada da produção e distribuição considerando os agrupamentos, e (</w:t>
      </w:r>
      <w:proofErr w:type="spellStart"/>
      <w:r w:rsidRPr="004B538F">
        <w:rPr>
          <w:rFonts w:ascii="Times New Roman" w:eastAsia="Times New Roman" w:hAnsi="Times New Roman" w:cs="Times New Roman"/>
          <w:sz w:val="20"/>
          <w:szCs w:val="20"/>
        </w:rPr>
        <w:t>iv</w:t>
      </w:r>
      <w:proofErr w:type="spellEnd"/>
      <w:r w:rsidRPr="004B538F">
        <w:rPr>
          <w:rFonts w:ascii="Times New Roman" w:eastAsia="Times New Roman" w:hAnsi="Times New Roman" w:cs="Times New Roman"/>
          <w:sz w:val="20"/>
          <w:szCs w:val="20"/>
        </w:rPr>
        <w:t xml:space="preserve">) roteamento </w:t>
      </w:r>
      <w:proofErr w:type="spellStart"/>
      <w:r w:rsidRPr="004B538F">
        <w:rPr>
          <w:rFonts w:ascii="Times New Roman" w:eastAsia="Times New Roman" w:hAnsi="Times New Roman" w:cs="Times New Roman"/>
          <w:sz w:val="20"/>
          <w:szCs w:val="20"/>
        </w:rPr>
        <w:t>intra-cluster</w:t>
      </w:r>
      <w:proofErr w:type="spellEnd"/>
      <w:r w:rsidRPr="004B538F">
        <w:rPr>
          <w:rFonts w:ascii="Times New Roman" w:eastAsia="Times New Roman" w:hAnsi="Times New Roman" w:cs="Times New Roman"/>
          <w:sz w:val="20"/>
          <w:szCs w:val="20"/>
        </w:rPr>
        <w:t xml:space="preserve"> utilizando restrições de eliminação de </w:t>
      </w:r>
      <w:proofErr w:type="spellStart"/>
      <w:r w:rsidRPr="004B538F">
        <w:rPr>
          <w:rFonts w:ascii="Times New Roman" w:eastAsia="Times New Roman" w:hAnsi="Times New Roman" w:cs="Times New Roman"/>
          <w:sz w:val="20"/>
          <w:szCs w:val="20"/>
        </w:rPr>
        <w:t>subtour</w:t>
      </w:r>
      <w:proofErr w:type="spellEnd"/>
      <w:r w:rsidRPr="004B538F">
        <w:rPr>
          <w:rFonts w:ascii="Times New Roman" w:eastAsia="Times New Roman" w:hAnsi="Times New Roman" w:cs="Times New Roman"/>
          <w:sz w:val="20"/>
          <w:szCs w:val="20"/>
        </w:rPr>
        <w:t xml:space="preserve"> por Miller-Tucker-</w:t>
      </w:r>
      <w:proofErr w:type="spellStart"/>
      <w:r w:rsidRPr="004B538F">
        <w:rPr>
          <w:rFonts w:ascii="Times New Roman" w:eastAsia="Times New Roman" w:hAnsi="Times New Roman" w:cs="Times New Roman"/>
          <w:sz w:val="20"/>
          <w:szCs w:val="20"/>
        </w:rPr>
        <w:t>Zemlin</w:t>
      </w:r>
      <w:proofErr w:type="spellEnd"/>
      <w:r w:rsidRPr="004B538F">
        <w:rPr>
          <w:rFonts w:ascii="Times New Roman" w:eastAsia="Times New Roman" w:hAnsi="Times New Roman" w:cs="Times New Roman"/>
          <w:sz w:val="20"/>
          <w:szCs w:val="20"/>
        </w:rPr>
        <w:t xml:space="preserve"> (1960) para determinar a sequência ótima de entregas dentro de cada cluster. A abordagem é aplicada a uma rede de distribuição composta por múltiplas plantas, seis caminhões e 84 clientes ao longo de em um horizonte de 30 dias. A clusterização reduz a dimensão combinatória do problema de roteamento, enquanto a etapa de roteamento </w:t>
      </w:r>
      <w:proofErr w:type="spellStart"/>
      <w:r w:rsidRPr="004B538F">
        <w:rPr>
          <w:rFonts w:ascii="Times New Roman" w:eastAsia="Times New Roman" w:hAnsi="Times New Roman" w:cs="Times New Roman"/>
          <w:sz w:val="20"/>
          <w:szCs w:val="20"/>
        </w:rPr>
        <w:t>intra-cluster</w:t>
      </w:r>
      <w:proofErr w:type="spellEnd"/>
      <w:r w:rsidRPr="004B538F">
        <w:rPr>
          <w:rFonts w:ascii="Times New Roman" w:eastAsia="Times New Roman" w:hAnsi="Times New Roman" w:cs="Times New Roman"/>
          <w:sz w:val="20"/>
          <w:szCs w:val="20"/>
        </w:rPr>
        <w:t xml:space="preserve"> reintroduz o detalhamento operacional das rotas, permitindo maior precisão na estimativa de distâncias e utilização da frota. A metodologia é comparada com as abordagens propostas por Neiro et al. (2022, 2024) para avaliar o compromisso entre qualidade da solução, precisão das rotas e tratabilidade computacional. Resultados preliminares indicam que a metodologia proposta é capaz de reduzir substancialmente o esforço computacional em relação à geração explícita de rotas, mantendo elevada qualidade das soluções e melhor representação logística quando comparada à abordagem baseada apenas em </w:t>
      </w:r>
      <w:proofErr w:type="spellStart"/>
      <w:r w:rsidRPr="004B538F">
        <w:rPr>
          <w:rFonts w:ascii="Times New Roman" w:eastAsia="Times New Roman" w:hAnsi="Times New Roman" w:cs="Times New Roman"/>
          <w:sz w:val="20"/>
          <w:szCs w:val="20"/>
        </w:rPr>
        <w:t>mega-customers</w:t>
      </w:r>
      <w:proofErr w:type="spellEnd"/>
      <w:r w:rsidRPr="004B538F">
        <w:rPr>
          <w:rFonts w:ascii="Times New Roman" w:eastAsia="Times New Roman" w:hAnsi="Times New Roman" w:cs="Times New Roman"/>
          <w:sz w:val="20"/>
          <w:szCs w:val="20"/>
        </w:rPr>
        <w:t>. Dessa forma, o método oferece um trade-off atrativo entre fidelidade operacional e tratabilidade computacional para problemas de planejamento de cadeias de suprimentos de gases industriais.</w:t>
      </w:r>
    </w:p>
    <w:p w14:paraId="3435B3BA" w14:textId="77777777" w:rsidR="004B538F" w:rsidRDefault="004B538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14:paraId="5DF08DA4" w14:textId="23024761" w:rsidR="00247A81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Palavras-chave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: </w:t>
      </w:r>
      <w:r w:rsidR="004B538F" w:rsidRPr="004B538F">
        <w:rPr>
          <w:rFonts w:ascii="Times New Roman" w:eastAsia="Times New Roman" w:hAnsi="Times New Roman" w:cs="Times New Roman"/>
          <w:color w:val="000000"/>
          <w:sz w:val="20"/>
          <w:szCs w:val="20"/>
        </w:rPr>
        <w:t>Cadeia de suprimentos</w:t>
      </w:r>
      <w:r w:rsidR="004B538F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de</w:t>
      </w:r>
      <w:r w:rsidR="004B538F" w:rsidRPr="004B538F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gases industriais, </w:t>
      </w:r>
      <w:r w:rsidR="004B538F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estratégia de </w:t>
      </w:r>
      <w:r w:rsidR="004B538F" w:rsidRPr="004B538F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decomposição, clusterização, </w:t>
      </w:r>
      <w:r w:rsidR="004B538F">
        <w:rPr>
          <w:rFonts w:ascii="Times New Roman" w:eastAsia="Times New Roman" w:hAnsi="Times New Roman" w:cs="Times New Roman"/>
          <w:color w:val="000000"/>
          <w:sz w:val="20"/>
          <w:szCs w:val="20"/>
        </w:rPr>
        <w:t>otimização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.</w:t>
      </w:r>
    </w:p>
    <w:p w14:paraId="7076C3F0" w14:textId="77777777" w:rsidR="00247A81" w:rsidRDefault="00247A8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1747B597" w14:textId="03F99884" w:rsidR="00247A81" w:rsidRDefault="00000000" w:rsidP="004B538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bookmarkStart w:id="0" w:name="_heading=h.q2q10owynr41" w:colFirst="0" w:colLast="0"/>
      <w:bookmarkEnd w:id="0"/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Agradecimentos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:</w:t>
      </w:r>
      <w:r w:rsidR="004B538F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 w:rsidR="004B538F" w:rsidRPr="004B538F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Os autores agradecem à Universidade Federal de Uberlândia pelo apoio </w:t>
      </w:r>
      <w:r w:rsidR="00287A42">
        <w:rPr>
          <w:rFonts w:ascii="Times New Roman" w:eastAsia="Times New Roman" w:hAnsi="Times New Roman" w:cs="Times New Roman"/>
          <w:color w:val="000000"/>
          <w:sz w:val="20"/>
          <w:szCs w:val="20"/>
        </w:rPr>
        <w:t>através do</w:t>
      </w:r>
      <w:r w:rsidR="00287A42" w:rsidRPr="004B538F">
        <w:rPr>
          <w:rFonts w:ascii="Times New Roman" w:eastAsia="Times New Roman" w:hAnsi="Times New Roman" w:cs="Times New Roman"/>
          <w:color w:val="000000"/>
          <w:sz w:val="20"/>
          <w:szCs w:val="20"/>
        </w:rPr>
        <w:t>s recursos disponibilizados</w:t>
      </w:r>
      <w:r w:rsidR="004B538F" w:rsidRPr="004B538F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para o desenvolvimento desta pesquisa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.</w:t>
      </w:r>
    </w:p>
    <w:p w14:paraId="350E2ECF" w14:textId="77777777" w:rsidR="00247A81" w:rsidRPr="004B538F" w:rsidRDefault="00000000">
      <w:pPr>
        <w:keepNext/>
        <w:pBdr>
          <w:top w:val="nil"/>
          <w:left w:val="nil"/>
          <w:bottom w:val="nil"/>
          <w:right w:val="nil"/>
          <w:between w:val="nil"/>
        </w:pBdr>
        <w:spacing w:before="240" w:after="6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en-US"/>
        </w:rPr>
      </w:pPr>
      <w:proofErr w:type="spellStart"/>
      <w:r w:rsidRPr="004B538F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en-US"/>
        </w:rPr>
        <w:t>Referências</w:t>
      </w:r>
      <w:proofErr w:type="spellEnd"/>
    </w:p>
    <w:p w14:paraId="67CB18CB" w14:textId="77777777" w:rsidR="00701DA3" w:rsidRPr="00701DA3" w:rsidRDefault="00701DA3" w:rsidP="00701DA3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 w:rsidRPr="00701DA3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S. M. S. Neiro, T. Madan, J. M. Pinto e C. T. Maravelias: Integrated production and distribution planning for industrial gases supply chains, </w:t>
      </w:r>
      <w:proofErr w:type="spellStart"/>
      <w:r w:rsidRPr="00701DA3">
        <w:rPr>
          <w:rFonts w:ascii="Times New Roman" w:eastAsia="Times New Roman" w:hAnsi="Times New Roman" w:cs="Times New Roman"/>
          <w:sz w:val="20"/>
          <w:szCs w:val="20"/>
          <w:lang w:val="en-US"/>
        </w:rPr>
        <w:t>Comput</w:t>
      </w:r>
      <w:proofErr w:type="spellEnd"/>
      <w:r w:rsidRPr="00701DA3">
        <w:rPr>
          <w:rFonts w:ascii="Times New Roman" w:eastAsia="Times New Roman" w:hAnsi="Times New Roman" w:cs="Times New Roman"/>
          <w:sz w:val="20"/>
          <w:szCs w:val="20"/>
          <w:lang w:val="en-US"/>
        </w:rPr>
        <w:t>. Chem. Eng. (161), 107778, 2022.</w:t>
      </w:r>
    </w:p>
    <w:p w14:paraId="75830B38" w14:textId="77777777" w:rsidR="00701DA3" w:rsidRPr="00701DA3" w:rsidRDefault="00701DA3" w:rsidP="00701DA3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 w:rsidRPr="00701DA3">
        <w:rPr>
          <w:rFonts w:ascii="Times New Roman" w:eastAsia="Times New Roman" w:hAnsi="Times New Roman" w:cs="Times New Roman"/>
          <w:sz w:val="20"/>
          <w:szCs w:val="20"/>
          <w:lang w:val="en-US"/>
        </w:rPr>
        <w:t>S. M. S. Neiro, T. Madan, C. T. Maravelias e J. M. Pinto: A nationwide planning model for argon supply chains with coordinated production and distribution, Digit. Chem. Eng. (100201), 2024.</w:t>
      </w:r>
    </w:p>
    <w:p w14:paraId="3F525DA1" w14:textId="77777777" w:rsidR="00701DA3" w:rsidRPr="00701DA3" w:rsidRDefault="00701DA3" w:rsidP="00701DA3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 w:rsidRPr="00701DA3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C. E. Miller, A. W. Tucker e R. A. </w:t>
      </w:r>
      <w:proofErr w:type="spellStart"/>
      <w:r w:rsidRPr="00701DA3">
        <w:rPr>
          <w:rFonts w:ascii="Times New Roman" w:eastAsia="Times New Roman" w:hAnsi="Times New Roman" w:cs="Times New Roman"/>
          <w:sz w:val="20"/>
          <w:szCs w:val="20"/>
          <w:lang w:val="en-US"/>
        </w:rPr>
        <w:t>Zemlin</w:t>
      </w:r>
      <w:proofErr w:type="spellEnd"/>
      <w:r w:rsidRPr="00701DA3">
        <w:rPr>
          <w:rFonts w:ascii="Times New Roman" w:eastAsia="Times New Roman" w:hAnsi="Times New Roman" w:cs="Times New Roman"/>
          <w:sz w:val="20"/>
          <w:szCs w:val="20"/>
          <w:lang w:val="en-US"/>
        </w:rPr>
        <w:t>: Integer programming formulation of traveling salesman problems, J. ACM (7), 326–329, 1960.</w:t>
      </w:r>
    </w:p>
    <w:sectPr w:rsidR="00701DA3" w:rsidRPr="00701DA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268" w:right="1418" w:bottom="1418" w:left="1418" w:header="1701" w:footer="567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56F444" w14:textId="77777777" w:rsidR="00F25A1C" w:rsidRDefault="00F25A1C">
      <w:pPr>
        <w:spacing w:after="0" w:line="240" w:lineRule="auto"/>
      </w:pPr>
      <w:r>
        <w:separator/>
      </w:r>
    </w:p>
  </w:endnote>
  <w:endnote w:type="continuationSeparator" w:id="0">
    <w:p w14:paraId="37016C35" w14:textId="77777777" w:rsidR="00F25A1C" w:rsidRDefault="00F25A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1" w:fontKey="{33B31DA3-0A7A-4752-B799-C91CD347193D}"/>
    <w:embedBold r:id="rId2" w:fontKey="{F0E11978-7679-422F-AA58-CD20FBB63BB5}"/>
    <w:embedItalic r:id="rId3" w:fontKey="{419D77B1-6332-4406-86DA-BF0E583AE430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4" w:fontKey="{4799EF09-0E55-412E-BFB5-AD53B79D839D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Univers">
    <w:charset w:val="00"/>
    <w:family w:val="swiss"/>
    <w:pitch w:val="variable"/>
    <w:sig w:usb0="80000287" w:usb1="00000000" w:usb2="00000000" w:usb3="00000000" w:csb0="0000000F" w:csb1="00000000"/>
    <w:embedRegular r:id="rId5" w:fontKey="{53F7BBF8-AD6A-4339-AB3D-4230618357E4}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6" w:fontKey="{5B9F4CD6-C73C-4E82-805F-0DF95A9B0095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7" w:fontKey="{F49F003B-03D0-4782-A5A2-A95C44B33B07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248418" w14:textId="77777777" w:rsidR="00247A81" w:rsidRDefault="00000000">
    <w:pPr>
      <w:pBdr>
        <w:top w:val="nil"/>
        <w:left w:val="nil"/>
        <w:bottom w:val="nil"/>
        <w:right w:val="nil"/>
        <w:between w:val="nil"/>
      </w:pBdr>
      <w:tabs>
        <w:tab w:val="center" w:pos="3600"/>
        <w:tab w:val="right" w:pos="7200"/>
      </w:tabs>
      <w:jc w:val="right"/>
      <w:rPr>
        <w:color w:val="000000"/>
      </w:rPr>
    </w:pPr>
    <w:r>
      <w:rPr>
        <w:rFonts w:ascii="Times New Roman" w:eastAsia="Times New Roman" w:hAnsi="Times New Roman" w:cs="Times New Roman"/>
        <w:color w:val="000000"/>
      </w:rPr>
      <w:fldChar w:fldCharType="begin"/>
    </w:r>
    <w:r>
      <w:rPr>
        <w:rFonts w:ascii="Times New Roman" w:eastAsia="Times New Roman" w:hAnsi="Times New Roman" w:cs="Times New Roman"/>
        <w:color w:val="000000"/>
      </w:rPr>
      <w:instrText>PAGE</w:instrText>
    </w:r>
    <w:r>
      <w:rPr>
        <w:rFonts w:ascii="Times New Roman" w:eastAsia="Times New Roman" w:hAnsi="Times New Roman" w:cs="Times New Roman"/>
        <w:color w:val="000000"/>
      </w:rPr>
      <w:fldChar w:fldCharType="separate"/>
    </w:r>
    <w:r>
      <w:rPr>
        <w:rFonts w:ascii="Times New Roman" w:eastAsia="Times New Roman" w:hAnsi="Times New Roman" w:cs="Times New Roman"/>
        <w:color w:val="000000"/>
      </w:rPr>
      <w:fldChar w:fldCharType="end"/>
    </w:r>
  </w:p>
  <w:p w14:paraId="77EC65BB" w14:textId="77777777" w:rsidR="00247A81" w:rsidRDefault="00247A81">
    <w:pPr>
      <w:pBdr>
        <w:top w:val="nil"/>
        <w:left w:val="nil"/>
        <w:bottom w:val="nil"/>
        <w:right w:val="nil"/>
        <w:between w:val="nil"/>
      </w:pBdr>
      <w:tabs>
        <w:tab w:val="center" w:pos="3600"/>
        <w:tab w:val="right" w:pos="7200"/>
      </w:tabs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D3196E" w14:textId="77777777" w:rsidR="00247A81" w:rsidRDefault="00000000">
    <w:pPr>
      <w:pBdr>
        <w:top w:val="nil"/>
        <w:left w:val="nil"/>
        <w:bottom w:val="nil"/>
        <w:right w:val="nil"/>
        <w:between w:val="nil"/>
      </w:pBdr>
      <w:tabs>
        <w:tab w:val="center" w:pos="3600"/>
        <w:tab w:val="right" w:pos="7200"/>
      </w:tabs>
      <w:jc w:val="center"/>
      <w:rPr>
        <w:color w:val="000000"/>
        <w:sz w:val="20"/>
        <w:szCs w:val="20"/>
      </w:rPr>
    </w:pPr>
    <w:r>
      <w:rPr>
        <w:noProof/>
      </w:rPr>
      <w:drawing>
        <wp:anchor distT="0" distB="0" distL="114300" distR="114300" simplePos="0" relativeHeight="251661312" behindDoc="0" locked="0" layoutInCell="1" hidden="0" allowOverlap="1" wp14:anchorId="23F0CC7E" wp14:editId="67E1B8D1">
          <wp:simplePos x="0" y="0"/>
          <wp:positionH relativeFrom="column">
            <wp:posOffset>732789</wp:posOffset>
          </wp:positionH>
          <wp:positionV relativeFrom="paragraph">
            <wp:posOffset>-136626</wp:posOffset>
          </wp:positionV>
          <wp:extent cx="4293870" cy="735965"/>
          <wp:effectExtent l="0" t="0" r="0" b="0"/>
          <wp:wrapNone/>
          <wp:docPr id="2055319359" name="image5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5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293870" cy="73596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75836208" w14:textId="77777777" w:rsidR="00247A81" w:rsidRDefault="00247A81">
    <w:pPr>
      <w:pBdr>
        <w:top w:val="nil"/>
        <w:left w:val="nil"/>
        <w:bottom w:val="nil"/>
        <w:right w:val="nil"/>
        <w:between w:val="nil"/>
      </w:pBdr>
      <w:tabs>
        <w:tab w:val="center" w:pos="3600"/>
        <w:tab w:val="right" w:pos="7200"/>
      </w:tabs>
      <w:spacing w:after="0" w:line="240" w:lineRule="auto"/>
      <w:ind w:firstLine="567"/>
      <w:jc w:val="both"/>
      <w:rPr>
        <w:rFonts w:ascii="Times New Roman" w:eastAsia="Times New Roman" w:hAnsi="Times New Roman" w:cs="Times New Roman"/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7AF6C7" w14:textId="77777777" w:rsidR="00247A81" w:rsidRDefault="00000000">
    <w:pPr>
      <w:pBdr>
        <w:top w:val="nil"/>
        <w:left w:val="nil"/>
        <w:bottom w:val="nil"/>
        <w:right w:val="nil"/>
        <w:between w:val="nil"/>
      </w:pBdr>
      <w:tabs>
        <w:tab w:val="center" w:pos="3600"/>
        <w:tab w:val="right" w:pos="7200"/>
      </w:tabs>
      <w:spacing w:after="0" w:line="240" w:lineRule="auto"/>
      <w:ind w:firstLine="567"/>
      <w:jc w:val="center"/>
      <w:rPr>
        <w:rFonts w:ascii="Times New Roman" w:eastAsia="Times New Roman" w:hAnsi="Times New Roman" w:cs="Times New Roman"/>
        <w:color w:val="000000"/>
        <w:sz w:val="20"/>
        <w:szCs w:val="20"/>
      </w:rPr>
    </w:pPr>
    <w:r>
      <w:rPr>
        <w:noProof/>
      </w:rPr>
      <w:drawing>
        <wp:inline distT="0" distB="0" distL="0" distR="0" wp14:anchorId="14EB5655" wp14:editId="235BBC38">
          <wp:extent cx="4499610" cy="627380"/>
          <wp:effectExtent l="0" t="0" r="0" b="0"/>
          <wp:docPr id="2055319357" name="image1.png" descr="Logotipo, nome da empresa&#10;&#10;O conteúdo gerado por IA pode estar incorreto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Logotipo, nome da empresa&#10;&#10;O conteúdo gerado por IA pode estar incorreto.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499610" cy="62738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3676EE" w14:textId="77777777" w:rsidR="00F25A1C" w:rsidRDefault="00F25A1C">
      <w:pPr>
        <w:spacing w:after="0" w:line="240" w:lineRule="auto"/>
      </w:pPr>
      <w:r>
        <w:separator/>
      </w:r>
    </w:p>
  </w:footnote>
  <w:footnote w:type="continuationSeparator" w:id="0">
    <w:p w14:paraId="57292F95" w14:textId="77777777" w:rsidR="00F25A1C" w:rsidRDefault="00F25A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6E8FE7" w14:textId="77777777" w:rsidR="00247A81" w:rsidRDefault="00000000">
    <w:pPr>
      <w:pBdr>
        <w:top w:val="nil"/>
        <w:left w:val="nil"/>
        <w:bottom w:val="nil"/>
        <w:right w:val="nil"/>
        <w:between w:val="nil"/>
      </w:pBdr>
      <w:tabs>
        <w:tab w:val="left" w:pos="2133"/>
        <w:tab w:val="center" w:pos="3600"/>
        <w:tab w:val="right" w:pos="7200"/>
        <w:tab w:val="right" w:pos="7088"/>
      </w:tabs>
      <w:spacing w:after="0" w:line="240" w:lineRule="auto"/>
      <w:jc w:val="both"/>
      <w:rPr>
        <w:rFonts w:ascii="Times New Roman" w:eastAsia="Times New Roman" w:hAnsi="Times New Roman" w:cs="Times New Roman"/>
        <w:i/>
        <w:iCs/>
        <w:color w:val="000000"/>
        <w:sz w:val="20"/>
        <w:szCs w:val="20"/>
      </w:rPr>
    </w:pPr>
    <w:r>
      <w:rPr>
        <w:noProof/>
      </w:rPr>
      <w:drawing>
        <wp:anchor distT="0" distB="0" distL="0" distR="0" simplePos="0" relativeHeight="251660288" behindDoc="0" locked="0" layoutInCell="1" hidden="0" allowOverlap="1" wp14:anchorId="2FAFD804" wp14:editId="07FEF15D">
          <wp:simplePos x="0" y="0"/>
          <wp:positionH relativeFrom="column">
            <wp:posOffset>-917361</wp:posOffset>
          </wp:positionH>
          <wp:positionV relativeFrom="paragraph">
            <wp:posOffset>-1071667</wp:posOffset>
          </wp:positionV>
          <wp:extent cx="7599638" cy="1439662"/>
          <wp:effectExtent l="0" t="0" r="0" b="0"/>
          <wp:wrapSquare wrapText="bothSides" distT="0" distB="0" distL="0" distR="0"/>
          <wp:docPr id="2055319356" name="image4.png" descr="Ícone&#10;&#10;O conteúdo gerado por IA pode estar incorreto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4.png" descr="Ícone&#10;&#10;O conteúdo gerado por IA pode estar incorreto."/>
                  <pic:cNvPicPr preferRelativeResize="0"/>
                </pic:nvPicPr>
                <pic:blipFill>
                  <a:blip r:embed="rId1"/>
                  <a:srcRect b="23599"/>
                  <a:stretch>
                    <a:fillRect/>
                  </a:stretch>
                </pic:blipFill>
                <pic:spPr>
                  <a:xfrm>
                    <a:off x="0" y="0"/>
                    <a:ext cx="7599638" cy="1439662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630BFA" w14:textId="77777777" w:rsidR="00247A81" w:rsidRDefault="00000000">
    <w:pPr>
      <w:pBdr>
        <w:top w:val="nil"/>
        <w:left w:val="nil"/>
        <w:bottom w:val="nil"/>
        <w:right w:val="nil"/>
        <w:between w:val="nil"/>
      </w:pBdr>
      <w:tabs>
        <w:tab w:val="center" w:pos="3600"/>
        <w:tab w:val="right" w:pos="7200"/>
        <w:tab w:val="right" w:pos="7088"/>
      </w:tabs>
      <w:spacing w:after="0" w:line="240" w:lineRule="auto"/>
      <w:rPr>
        <w:rFonts w:ascii="Times New Roman" w:eastAsia="Times New Roman" w:hAnsi="Times New Roman" w:cs="Times New Roman"/>
        <w:color w:val="000000"/>
      </w:rPr>
    </w:pPr>
    <w:r>
      <w:rPr>
        <w:rFonts w:ascii="Times New Roman" w:eastAsia="Times New Roman" w:hAnsi="Times New Roman" w:cs="Times New Roman"/>
        <w:noProof/>
        <w:color w:val="000000"/>
      </w:rPr>
      <w:drawing>
        <wp:anchor distT="0" distB="0" distL="114300" distR="114300" simplePos="0" relativeHeight="251658240" behindDoc="0" locked="0" layoutInCell="1" hidden="0" allowOverlap="1" wp14:anchorId="5A7E4371" wp14:editId="38EE2AE8">
          <wp:simplePos x="0" y="0"/>
          <wp:positionH relativeFrom="margin">
            <wp:posOffset>-920749</wp:posOffset>
          </wp:positionH>
          <wp:positionV relativeFrom="topMargin">
            <wp:posOffset>-840</wp:posOffset>
          </wp:positionV>
          <wp:extent cx="7596505" cy="1432560"/>
          <wp:effectExtent l="0" t="0" r="0" b="0"/>
          <wp:wrapSquare wrapText="bothSides" distT="0" distB="0" distL="114300" distR="114300"/>
          <wp:docPr id="2055319358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596505" cy="14325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A15BB2" w14:textId="77777777" w:rsidR="00247A81" w:rsidRDefault="00000000">
    <w:pPr>
      <w:tabs>
        <w:tab w:val="right" w:pos="7086"/>
      </w:tabs>
      <w:spacing w:after="0" w:line="240" w:lineRule="auto"/>
      <w:jc w:val="right"/>
      <w:rPr>
        <w:rFonts w:ascii="Times New Roman" w:eastAsia="Times New Roman" w:hAnsi="Times New Roman" w:cs="Times New Roman"/>
        <w:b/>
        <w:bCs/>
      </w:rPr>
    </w:pPr>
    <w:r>
      <w:rPr>
        <w:noProof/>
      </w:rPr>
      <w:drawing>
        <wp:anchor distT="0" distB="0" distL="114300" distR="114300" simplePos="0" relativeHeight="251659264" behindDoc="0" locked="0" layoutInCell="1" hidden="0" allowOverlap="1" wp14:anchorId="597C08DC" wp14:editId="066CBF16">
          <wp:simplePos x="0" y="0"/>
          <wp:positionH relativeFrom="column">
            <wp:posOffset>-900429</wp:posOffset>
          </wp:positionH>
          <wp:positionV relativeFrom="paragraph">
            <wp:posOffset>-1080134</wp:posOffset>
          </wp:positionV>
          <wp:extent cx="7596505" cy="1432560"/>
          <wp:effectExtent l="0" t="0" r="0" b="0"/>
          <wp:wrapSquare wrapText="bothSides" distT="0" distB="0" distL="114300" distR="114300"/>
          <wp:docPr id="2055319360" name="image3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596505" cy="14325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F6290A"/>
    <w:multiLevelType w:val="multilevel"/>
    <w:tmpl w:val="408E16C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73BD5770"/>
    <w:multiLevelType w:val="multilevel"/>
    <w:tmpl w:val="4ED83240"/>
    <w:lvl w:ilvl="0">
      <w:start w:val="1"/>
      <w:numFmt w:val="decimal"/>
      <w:pStyle w:val="Els-reference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Els-1storder-head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Els-2ndorder-head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Els-3rdorder-head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787163966">
    <w:abstractNumId w:val="0"/>
  </w:num>
  <w:num w:numId="2" w16cid:durableId="255066936">
    <w:abstractNumId w:val="1"/>
  </w:num>
  <w:num w:numId="3" w16cid:durableId="99360283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TrueTypeFont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7A81"/>
    <w:rsid w:val="00247A81"/>
    <w:rsid w:val="00287A42"/>
    <w:rsid w:val="004B538F"/>
    <w:rsid w:val="00701DA3"/>
    <w:rsid w:val="00974F9D"/>
    <w:rsid w:val="00C61120"/>
    <w:rsid w:val="00F25A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512718"/>
  <w15:docId w15:val="{346BC443-6A28-4D40-A0C9-A8A4E8E217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4"/>
        <w:szCs w:val="24"/>
        <w:lang w:val="pt-BR" w:eastAsia="en-US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240"/>
      <w:outlineLvl w:val="0"/>
    </w:pPr>
    <w:rPr>
      <w:rFonts w:ascii="Cambria" w:eastAsia="Cambria" w:hAnsi="Cambria" w:cs="Cambria"/>
      <w:color w:val="366091"/>
      <w:sz w:val="32"/>
      <w:szCs w:val="32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spacing w:before="240" w:after="60"/>
      <w:outlineLvl w:val="2"/>
    </w:pPr>
    <w:rPr>
      <w:rFonts w:ascii="Arial" w:eastAsia="Arial" w:hAnsi="Arial" w:cs="Arial"/>
      <w:b/>
      <w:bCs/>
      <w:sz w:val="26"/>
      <w:szCs w:val="26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Legenda">
    <w:name w:val="caption"/>
    <w:basedOn w:val="Els-caption"/>
    <w:next w:val="Els-caption"/>
    <w:qFormat/>
    <w:rsid w:val="008B0184"/>
  </w:style>
  <w:style w:type="paragraph" w:customStyle="1" w:styleId="Els-caption">
    <w:name w:val="Els-caption"/>
    <w:rsid w:val="008B0184"/>
    <w:pPr>
      <w:keepLines/>
      <w:spacing w:before="100" w:after="120"/>
    </w:pPr>
    <w:rPr>
      <w:sz w:val="18"/>
      <w:lang w:val="en-US"/>
    </w:rPr>
  </w:style>
  <w:style w:type="paragraph" w:customStyle="1" w:styleId="Els-1storder-head">
    <w:name w:val="Els-1storder-head"/>
    <w:basedOn w:val="Els-body-text"/>
    <w:next w:val="Els-body-text"/>
    <w:rsid w:val="008B0184"/>
    <w:pPr>
      <w:keepNext/>
      <w:numPr>
        <w:ilvl w:val="1"/>
        <w:numId w:val="2"/>
      </w:numPr>
      <w:suppressAutoHyphens/>
      <w:spacing w:before="240" w:after="60" w:line="240" w:lineRule="exact"/>
    </w:pPr>
    <w:rPr>
      <w:b/>
      <w:sz w:val="22"/>
    </w:rPr>
  </w:style>
  <w:style w:type="paragraph" w:customStyle="1" w:styleId="Els-body-text">
    <w:name w:val="Els-body-text"/>
    <w:rsid w:val="008B0184"/>
    <w:rPr>
      <w:lang w:val="en-US"/>
    </w:rPr>
  </w:style>
  <w:style w:type="paragraph" w:customStyle="1" w:styleId="Els-2ndorder-head">
    <w:name w:val="Els-2ndorder-head"/>
    <w:basedOn w:val="Els-body-text"/>
    <w:next w:val="Els-body-text"/>
    <w:rsid w:val="008B0184"/>
    <w:pPr>
      <w:keepNext/>
      <w:numPr>
        <w:ilvl w:val="2"/>
        <w:numId w:val="2"/>
      </w:numPr>
      <w:suppressAutoHyphens/>
      <w:spacing w:before="80"/>
    </w:pPr>
    <w:rPr>
      <w:i/>
    </w:rPr>
  </w:style>
  <w:style w:type="paragraph" w:customStyle="1" w:styleId="Els-3rdorder-head">
    <w:name w:val="Els-3rdorder-head"/>
    <w:basedOn w:val="Els-body-text"/>
    <w:next w:val="Els-body-text"/>
    <w:rsid w:val="008B0184"/>
    <w:pPr>
      <w:keepNext/>
      <w:numPr>
        <w:ilvl w:val="3"/>
        <w:numId w:val="2"/>
      </w:numPr>
      <w:suppressAutoHyphens/>
      <w:spacing w:before="60"/>
    </w:pPr>
    <w:rPr>
      <w:i/>
    </w:rPr>
  </w:style>
  <w:style w:type="paragraph" w:customStyle="1" w:styleId="Els-Affiliation">
    <w:name w:val="Els-Affiliation"/>
    <w:rsid w:val="008B0184"/>
    <w:pPr>
      <w:suppressAutoHyphens/>
      <w:spacing w:line="240" w:lineRule="exact"/>
    </w:pPr>
    <w:rPr>
      <w:i/>
      <w:noProof/>
    </w:rPr>
  </w:style>
  <w:style w:type="paragraph" w:customStyle="1" w:styleId="Els-Author">
    <w:name w:val="Els-Author"/>
    <w:next w:val="Els-Affiliation"/>
    <w:rsid w:val="008B0184"/>
    <w:pPr>
      <w:keepNext/>
      <w:suppressAutoHyphens/>
      <w:spacing w:after="60" w:line="310" w:lineRule="exact"/>
    </w:pPr>
    <w:rPr>
      <w:noProof/>
      <w:sz w:val="22"/>
    </w:rPr>
  </w:style>
  <w:style w:type="paragraph" w:customStyle="1" w:styleId="Els-bulletlist">
    <w:name w:val="Els-bulletlist"/>
    <w:basedOn w:val="Els-body-text"/>
    <w:rsid w:val="008B0184"/>
    <w:pPr>
      <w:tabs>
        <w:tab w:val="left" w:pos="240"/>
        <w:tab w:val="num" w:pos="360"/>
      </w:tabs>
      <w:ind w:left="240" w:hanging="240"/>
    </w:pPr>
  </w:style>
  <w:style w:type="paragraph" w:customStyle="1" w:styleId="Els-chem-equation">
    <w:name w:val="Els-chem-equation"/>
    <w:basedOn w:val="Els-body-text"/>
    <w:next w:val="Els-body-text"/>
    <w:rsid w:val="008B0184"/>
    <w:pPr>
      <w:tabs>
        <w:tab w:val="right" w:pos="7088"/>
      </w:tabs>
      <w:spacing w:before="120" w:after="120"/>
    </w:pPr>
    <w:rPr>
      <w:noProof/>
      <w:lang w:val="en-GB"/>
    </w:rPr>
  </w:style>
  <w:style w:type="paragraph" w:customStyle="1" w:styleId="Els-equation">
    <w:name w:val="Els-equation"/>
    <w:basedOn w:val="Els-body-text"/>
    <w:next w:val="Els-body-text"/>
    <w:rsid w:val="008B0184"/>
    <w:pPr>
      <w:tabs>
        <w:tab w:val="right" w:pos="7088"/>
      </w:tabs>
      <w:spacing w:before="120" w:after="120"/>
    </w:pPr>
    <w:rPr>
      <w:i/>
      <w:noProof/>
      <w:lang w:val="en-GB"/>
    </w:rPr>
  </w:style>
  <w:style w:type="paragraph" w:customStyle="1" w:styleId="Els-footnote">
    <w:name w:val="Els-footnote"/>
    <w:rsid w:val="008B0184"/>
    <w:pPr>
      <w:keepLines/>
      <w:widowControl w:val="0"/>
      <w:ind w:left="120" w:hanging="120"/>
    </w:pPr>
    <w:rPr>
      <w:sz w:val="18"/>
      <w:lang w:val="en-US"/>
    </w:rPr>
  </w:style>
  <w:style w:type="paragraph" w:customStyle="1" w:styleId="Els-numlist">
    <w:name w:val="Els-numlist"/>
    <w:basedOn w:val="Els-body-text"/>
    <w:rsid w:val="008B0184"/>
    <w:pPr>
      <w:tabs>
        <w:tab w:val="left" w:pos="240"/>
        <w:tab w:val="num" w:pos="360"/>
      </w:tabs>
      <w:ind w:left="240" w:hanging="240"/>
    </w:pPr>
  </w:style>
  <w:style w:type="paragraph" w:customStyle="1" w:styleId="Els-reference">
    <w:name w:val="Els-reference"/>
    <w:rsid w:val="008B0184"/>
    <w:pPr>
      <w:numPr>
        <w:numId w:val="3"/>
      </w:numPr>
      <w:ind w:left="482"/>
    </w:pPr>
    <w:rPr>
      <w:noProof/>
      <w:sz w:val="18"/>
    </w:rPr>
  </w:style>
  <w:style w:type="paragraph" w:customStyle="1" w:styleId="Els-reference-head">
    <w:name w:val="Els-reference-head"/>
    <w:basedOn w:val="Els-body-text"/>
    <w:next w:val="Els-referenceno-number"/>
    <w:rsid w:val="008B0184"/>
    <w:pPr>
      <w:keepNext/>
      <w:spacing w:before="240" w:after="60"/>
    </w:pPr>
    <w:rPr>
      <w:b/>
      <w:sz w:val="22"/>
      <w:szCs w:val="22"/>
    </w:rPr>
  </w:style>
  <w:style w:type="paragraph" w:customStyle="1" w:styleId="Els-table-text">
    <w:name w:val="Els-table-text"/>
    <w:rsid w:val="008B0184"/>
    <w:pPr>
      <w:keepNext/>
      <w:spacing w:after="80" w:line="240" w:lineRule="exact"/>
    </w:pPr>
    <w:rPr>
      <w:sz w:val="18"/>
      <w:lang w:val="en-US"/>
    </w:rPr>
  </w:style>
  <w:style w:type="paragraph" w:customStyle="1" w:styleId="Els-Title">
    <w:name w:val="Els-Title"/>
    <w:next w:val="Els-Author"/>
    <w:rsid w:val="008B0184"/>
    <w:pPr>
      <w:suppressAutoHyphens/>
      <w:spacing w:before="240" w:after="120" w:line="360" w:lineRule="exact"/>
    </w:pPr>
    <w:rPr>
      <w:b/>
      <w:sz w:val="32"/>
      <w:lang w:val="en-US"/>
    </w:rPr>
  </w:style>
  <w:style w:type="character" w:styleId="Refdenotadefim">
    <w:name w:val="endnote reference"/>
    <w:basedOn w:val="Fontepargpadro"/>
    <w:semiHidden/>
    <w:rsid w:val="008B0184"/>
    <w:rPr>
      <w:vertAlign w:val="superscript"/>
    </w:rPr>
  </w:style>
  <w:style w:type="paragraph" w:styleId="Cabealho">
    <w:name w:val="header"/>
    <w:link w:val="CabealhoChar"/>
    <w:uiPriority w:val="99"/>
    <w:rsid w:val="008B0184"/>
    <w:pPr>
      <w:tabs>
        <w:tab w:val="center" w:pos="3600"/>
        <w:tab w:val="right" w:pos="7200"/>
      </w:tabs>
      <w:spacing w:line="200" w:lineRule="atLeast"/>
    </w:pPr>
    <w:rPr>
      <w:noProof/>
    </w:rPr>
  </w:style>
  <w:style w:type="paragraph" w:styleId="Rodap">
    <w:name w:val="footer"/>
    <w:basedOn w:val="Cabealho"/>
    <w:link w:val="RodapChar"/>
    <w:uiPriority w:val="99"/>
    <w:rsid w:val="008B0184"/>
  </w:style>
  <w:style w:type="character" w:styleId="Refdenotaderodap">
    <w:name w:val="footnote reference"/>
    <w:semiHidden/>
    <w:rsid w:val="008B0184"/>
    <w:rPr>
      <w:vertAlign w:val="superscript"/>
    </w:rPr>
  </w:style>
  <w:style w:type="paragraph" w:styleId="Textodenotaderodap">
    <w:name w:val="footnote text"/>
    <w:basedOn w:val="Normal"/>
    <w:semiHidden/>
    <w:rsid w:val="008B0184"/>
    <w:rPr>
      <w:rFonts w:ascii="Univers" w:hAnsi="Univers"/>
    </w:rPr>
  </w:style>
  <w:style w:type="character" w:styleId="Hyperlink">
    <w:name w:val="Hyperlink"/>
    <w:basedOn w:val="Fontepargpadro"/>
    <w:rsid w:val="008B0184"/>
    <w:rPr>
      <w:color w:val="0000FF"/>
      <w:u w:val="single"/>
    </w:rPr>
  </w:style>
  <w:style w:type="character" w:customStyle="1" w:styleId="MTEquationSection">
    <w:name w:val="MTEquationSection"/>
    <w:basedOn w:val="Fontepargpadro"/>
    <w:rsid w:val="008B0184"/>
    <w:rPr>
      <w:vanish/>
      <w:color w:val="FF0000"/>
    </w:rPr>
  </w:style>
  <w:style w:type="character" w:styleId="Nmerodepgina">
    <w:name w:val="page number"/>
    <w:basedOn w:val="Fontepargpadro"/>
    <w:rsid w:val="008B0184"/>
    <w:rPr>
      <w:sz w:val="20"/>
      <w:szCs w:val="20"/>
    </w:rPr>
  </w:style>
  <w:style w:type="paragraph" w:customStyle="1" w:styleId="Els-Chapterno">
    <w:name w:val="Els-Chapter no"/>
    <w:rsid w:val="008B0184"/>
    <w:pPr>
      <w:tabs>
        <w:tab w:val="num" w:pos="720"/>
      </w:tabs>
      <w:spacing w:before="907" w:line="260" w:lineRule="exact"/>
      <w:ind w:left="720" w:hanging="720"/>
    </w:pPr>
    <w:rPr>
      <w:lang w:val="en-US"/>
    </w:rPr>
  </w:style>
  <w:style w:type="paragraph" w:customStyle="1" w:styleId="Els-referenceno-number">
    <w:name w:val="Els-reference no-number"/>
    <w:basedOn w:val="Els-reference"/>
    <w:rsid w:val="008B0184"/>
    <w:pPr>
      <w:numPr>
        <w:numId w:val="0"/>
      </w:numPr>
      <w:ind w:left="240" w:hanging="240"/>
    </w:pPr>
  </w:style>
  <w:style w:type="character" w:customStyle="1" w:styleId="Els-captionChar">
    <w:name w:val="Els-caption Char"/>
    <w:basedOn w:val="Fontepargpadro"/>
    <w:rsid w:val="008B0184"/>
    <w:rPr>
      <w:sz w:val="18"/>
      <w:lang w:val="en-US" w:eastAsia="en-US" w:bidi="ar-SA"/>
    </w:rPr>
  </w:style>
  <w:style w:type="character" w:styleId="Refdecomentrio">
    <w:name w:val="annotation reference"/>
    <w:basedOn w:val="Fontepargpadro"/>
    <w:semiHidden/>
    <w:rsid w:val="008B0184"/>
    <w:rPr>
      <w:sz w:val="16"/>
      <w:szCs w:val="16"/>
    </w:rPr>
  </w:style>
  <w:style w:type="paragraph" w:styleId="Textodecomentrio">
    <w:name w:val="annotation text"/>
    <w:basedOn w:val="Normal"/>
    <w:semiHidden/>
    <w:rsid w:val="008B0184"/>
  </w:style>
  <w:style w:type="paragraph" w:styleId="Assuntodocomentrio">
    <w:name w:val="annotation subject"/>
    <w:basedOn w:val="Textodecomentrio"/>
    <w:next w:val="Textodecomentrio"/>
    <w:semiHidden/>
    <w:rsid w:val="008B0184"/>
    <w:rPr>
      <w:b/>
      <w:bCs/>
    </w:rPr>
  </w:style>
  <w:style w:type="paragraph" w:styleId="Textodebalo">
    <w:name w:val="Balloon Text"/>
    <w:basedOn w:val="Normal"/>
    <w:semiHidden/>
    <w:rsid w:val="008B0184"/>
    <w:rPr>
      <w:rFonts w:ascii="Tahoma" w:hAnsi="Tahoma" w:cs="Tahoma"/>
      <w:sz w:val="16"/>
      <w:szCs w:val="16"/>
    </w:rPr>
  </w:style>
  <w:style w:type="paragraph" w:customStyle="1" w:styleId="Els-Abstract">
    <w:name w:val="Els-Abstract"/>
    <w:basedOn w:val="Els-1storder-head"/>
    <w:next w:val="Els-body-text"/>
    <w:autoRedefine/>
    <w:rsid w:val="00402878"/>
    <w:pPr>
      <w:numPr>
        <w:ilvl w:val="0"/>
        <w:numId w:val="0"/>
      </w:numPr>
      <w:jc w:val="center"/>
    </w:pPr>
    <w:rPr>
      <w:sz w:val="20"/>
      <w:szCs w:val="18"/>
      <w:lang w:val="pt-BR"/>
    </w:rPr>
  </w:style>
  <w:style w:type="paragraph" w:styleId="SemEspaamento">
    <w:name w:val="No Spacing"/>
    <w:uiPriority w:val="1"/>
    <w:qFormat/>
    <w:rsid w:val="00684389"/>
    <w:rPr>
      <w:rFonts w:asciiTheme="minorHAnsi" w:eastAsiaTheme="minorHAnsi" w:hAnsiTheme="minorHAnsi" w:cstheme="minorBidi"/>
      <w:sz w:val="22"/>
      <w:szCs w:val="22"/>
    </w:rPr>
  </w:style>
  <w:style w:type="character" w:styleId="TextodoEspaoReservado">
    <w:name w:val="Placeholder Text"/>
    <w:basedOn w:val="Fontepargpadro"/>
    <w:uiPriority w:val="99"/>
    <w:semiHidden/>
    <w:rsid w:val="00A658BE"/>
    <w:rPr>
      <w:color w:val="808080"/>
    </w:rPr>
  </w:style>
  <w:style w:type="table" w:styleId="Tabelacomgrade">
    <w:name w:val="Table Grid"/>
    <w:basedOn w:val="Tabelanormal"/>
    <w:rsid w:val="003F690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basedOn w:val="Fontepargpadro"/>
    <w:link w:val="Cabealho"/>
    <w:uiPriority w:val="99"/>
    <w:rsid w:val="000A4877"/>
    <w:rPr>
      <w:noProof/>
      <w:lang w:eastAsia="en-US"/>
    </w:rPr>
  </w:style>
  <w:style w:type="character" w:customStyle="1" w:styleId="hlfld-contribauthor">
    <w:name w:val="hlfld-contribauthor"/>
    <w:basedOn w:val="Fontepargpadro"/>
    <w:rsid w:val="00FA2CC0"/>
  </w:style>
  <w:style w:type="paragraph" w:customStyle="1" w:styleId="comma-separator">
    <w:name w:val="comma-separator"/>
    <w:basedOn w:val="Normal"/>
    <w:rsid w:val="00FA2CC0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customStyle="1" w:styleId="comma-separator1">
    <w:name w:val="comma-separator1"/>
    <w:basedOn w:val="Fontepargpadro"/>
    <w:rsid w:val="00FA2CC0"/>
  </w:style>
  <w:style w:type="character" w:customStyle="1" w:styleId="Ttulo1Char">
    <w:name w:val="Título 1 Char"/>
    <w:basedOn w:val="Fontepargpadro"/>
    <w:rsid w:val="00FA2CC0"/>
    <w:rPr>
      <w:rFonts w:asciiTheme="majorHAnsi" w:eastAsiaTheme="majorEastAsia" w:hAnsiTheme="majorHAnsi" w:cstheme="majorBidi"/>
      <w:color w:val="365F91" w:themeColor="accent1" w:themeShade="BF"/>
      <w:kern w:val="2"/>
      <w:sz w:val="32"/>
      <w:szCs w:val="32"/>
      <w:lang w:val="pt-BR" w:eastAsia="en-US"/>
    </w:rPr>
  </w:style>
  <w:style w:type="character" w:customStyle="1" w:styleId="hlfld-title">
    <w:name w:val="hlfld-title"/>
    <w:basedOn w:val="Fontepargpadro"/>
    <w:rsid w:val="00FA2CC0"/>
  </w:style>
  <w:style w:type="character" w:customStyle="1" w:styleId="cit-title">
    <w:name w:val="cit-title"/>
    <w:basedOn w:val="Fontepargpadro"/>
    <w:rsid w:val="00FA2CC0"/>
  </w:style>
  <w:style w:type="character" w:customStyle="1" w:styleId="cit-year-info">
    <w:name w:val="cit-year-info"/>
    <w:basedOn w:val="Fontepargpadro"/>
    <w:rsid w:val="00FA2CC0"/>
  </w:style>
  <w:style w:type="character" w:customStyle="1" w:styleId="cit-volume">
    <w:name w:val="cit-volume"/>
    <w:basedOn w:val="Fontepargpadro"/>
    <w:rsid w:val="00FA2CC0"/>
  </w:style>
  <w:style w:type="character" w:customStyle="1" w:styleId="cit-issue">
    <w:name w:val="cit-issue"/>
    <w:basedOn w:val="Fontepargpadro"/>
    <w:rsid w:val="00FA2CC0"/>
  </w:style>
  <w:style w:type="character" w:customStyle="1" w:styleId="cit-pagerange">
    <w:name w:val="cit-pagerange"/>
    <w:basedOn w:val="Fontepargpadro"/>
    <w:rsid w:val="00FA2CC0"/>
  </w:style>
  <w:style w:type="paragraph" w:styleId="Reviso">
    <w:name w:val="Revision"/>
    <w:hidden/>
    <w:uiPriority w:val="99"/>
    <w:semiHidden/>
    <w:rsid w:val="000444D4"/>
    <w:rPr>
      <w:rFonts w:asciiTheme="minorHAnsi" w:eastAsiaTheme="minorHAnsi" w:hAnsiTheme="minorHAnsi" w:cstheme="minorBidi"/>
      <w:kern w:val="2"/>
      <w:sz w:val="22"/>
      <w:szCs w:val="22"/>
    </w:rPr>
  </w:style>
  <w:style w:type="table" w:customStyle="1" w:styleId="a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odapChar">
    <w:name w:val="Rodapé Char"/>
    <w:basedOn w:val="Fontepargpadro"/>
    <w:link w:val="Rodap"/>
    <w:uiPriority w:val="99"/>
    <w:rsid w:val="00DB5EC1"/>
    <w:rPr>
      <w:noProof/>
      <w:lang w:eastAsia="en-US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XuB9eoJSaVwUAiHslW5cJDIq2MQ==">CgMxLjAyDmgucTJxMTBvd3lucjQxOAByITFiUWttRjZmano1OVVJSFNXUTRXR0NOUWxpWUc1WnpRdg==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536</Words>
  <Characters>3330</Characters>
  <Application>Microsoft Office Word</Application>
  <DocSecurity>0</DocSecurity>
  <Lines>47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 Reis</dc:creator>
  <cp:lastModifiedBy>Sergio Mauro da Silva Neiro</cp:lastModifiedBy>
  <cp:revision>3</cp:revision>
  <dcterms:created xsi:type="dcterms:W3CDTF">2026-01-30T01:29:00Z</dcterms:created>
  <dcterms:modified xsi:type="dcterms:W3CDTF">2026-04-15T19:23:00Z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549ac42a-3eb4-4074-b885-aea26bd6241e_Enabled">
    <vt:lpwstr>true</vt:lpwstr>
  </property>
  <property fmtid="{D5CDD505-2E9C-101B-9397-08002B2CF9AE}" pid="3" name="MSIP_Label_549ac42a-3eb4-4074-b885-aea26bd6241e_SetDate">
    <vt:lpwstr>2021-11-04T09:12:24Z</vt:lpwstr>
  </property>
  <property fmtid="{D5CDD505-2E9C-101B-9397-08002B2CF9AE}" pid="4" name="MSIP_Label_549ac42a-3eb4-4074-b885-aea26bd6241e_Method">
    <vt:lpwstr>Standard</vt:lpwstr>
  </property>
  <property fmtid="{D5CDD505-2E9C-101B-9397-08002B2CF9AE}" pid="5" name="MSIP_Label_549ac42a-3eb4-4074-b885-aea26bd6241e_Name">
    <vt:lpwstr>General Business</vt:lpwstr>
  </property>
  <property fmtid="{D5CDD505-2E9C-101B-9397-08002B2CF9AE}" pid="6" name="MSIP_Label_549ac42a-3eb4-4074-b885-aea26bd6241e_SiteId">
    <vt:lpwstr>9274ee3f-9425-4109-a27f-9fb15c10675d</vt:lpwstr>
  </property>
  <property fmtid="{D5CDD505-2E9C-101B-9397-08002B2CF9AE}" pid="7" name="MSIP_Label_549ac42a-3eb4-4074-b885-aea26bd6241e_ActionId">
    <vt:lpwstr>5587a44c-12f0-4d84-98cd-f79dcdb8b2fc</vt:lpwstr>
  </property>
  <property fmtid="{D5CDD505-2E9C-101B-9397-08002B2CF9AE}" pid="8" name="MSIP_Label_549ac42a-3eb4-4074-b885-aea26bd6241e_ContentBits">
    <vt:lpwstr>0</vt:lpwstr>
  </property>
</Properties>
</file>