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77D97E" w14:textId="029C36DA" w:rsidR="00485D5A" w:rsidRPr="000E1EDB" w:rsidRDefault="00485D5A" w:rsidP="00485D5A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0E1EDB">
        <w:rPr>
          <w:rFonts w:ascii="Times New Roman" w:hAnsi="Times New Roman" w:cs="Times New Roman"/>
          <w:b/>
          <w:bCs/>
          <w:sz w:val="40"/>
          <w:szCs w:val="40"/>
        </w:rPr>
        <w:t xml:space="preserve">Structural </w:t>
      </w:r>
      <w:r>
        <w:rPr>
          <w:rFonts w:ascii="Times New Roman" w:hAnsi="Times New Roman" w:cs="Times New Roman"/>
          <w:b/>
          <w:bCs/>
          <w:sz w:val="40"/>
          <w:szCs w:val="40"/>
        </w:rPr>
        <w:t>analys</w:t>
      </w:r>
      <w:r w:rsidRPr="000E1EDB">
        <w:rPr>
          <w:rFonts w:ascii="Times New Roman" w:hAnsi="Times New Roman" w:cs="Times New Roman"/>
          <w:b/>
          <w:bCs/>
          <w:sz w:val="40"/>
          <w:szCs w:val="40"/>
        </w:rPr>
        <w:t xml:space="preserve">es of glycolytic enzymes </w:t>
      </w:r>
      <w:r>
        <w:rPr>
          <w:rFonts w:ascii="Times New Roman" w:hAnsi="Times New Roman" w:cs="Times New Roman"/>
          <w:b/>
          <w:bCs/>
          <w:sz w:val="40"/>
          <w:szCs w:val="40"/>
        </w:rPr>
        <w:t>from</w:t>
      </w:r>
      <w:r w:rsidRPr="000E1EDB">
        <w:rPr>
          <w:rFonts w:ascii="Times New Roman" w:hAnsi="Times New Roman" w:cs="Times New Roman"/>
          <w:b/>
          <w:bCs/>
          <w:sz w:val="40"/>
          <w:szCs w:val="40"/>
        </w:rPr>
        <w:t xml:space="preserve"> </w:t>
      </w:r>
      <w:r w:rsidRPr="000E1EDB">
        <w:rPr>
          <w:rFonts w:ascii="Times New Roman" w:hAnsi="Times New Roman" w:cs="Times New Roman"/>
          <w:b/>
          <w:bCs/>
          <w:i/>
          <w:iCs/>
          <w:sz w:val="40"/>
          <w:szCs w:val="40"/>
        </w:rPr>
        <w:t>Trypanosoma cruzi</w:t>
      </w:r>
      <w:r w:rsidRPr="000E1EDB">
        <w:rPr>
          <w:rFonts w:ascii="Times New Roman" w:hAnsi="Times New Roman" w:cs="Times New Roman"/>
          <w:b/>
          <w:bCs/>
          <w:sz w:val="40"/>
          <w:szCs w:val="40"/>
        </w:rPr>
        <w:t xml:space="preserve"> </w:t>
      </w:r>
    </w:p>
    <w:p w14:paraId="46DF72CA" w14:textId="6388082A" w:rsidR="00485D5A" w:rsidRPr="00053F9E" w:rsidRDefault="00485D5A" w:rsidP="00485D5A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53F9E">
        <w:rPr>
          <w:rFonts w:ascii="Times New Roman" w:hAnsi="Times New Roman" w:cs="Times New Roman"/>
          <w:b/>
          <w:bCs/>
          <w:sz w:val="24"/>
          <w:szCs w:val="24"/>
        </w:rPr>
        <w:t>Kenneth Austin</w:t>
      </w:r>
      <w:r w:rsidRPr="00053F9E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a</w:t>
      </w:r>
      <w:r w:rsidRPr="00053F9E">
        <w:rPr>
          <w:rFonts w:ascii="Times New Roman" w:hAnsi="Times New Roman" w:cs="Times New Roman"/>
          <w:b/>
          <w:bCs/>
          <w:sz w:val="24"/>
          <w:szCs w:val="24"/>
        </w:rPr>
        <w:t xml:space="preserve">, T.K. </w:t>
      </w:r>
      <w:proofErr w:type="spellStart"/>
      <w:r w:rsidRPr="00053F9E">
        <w:rPr>
          <w:rFonts w:ascii="Times New Roman" w:hAnsi="Times New Roman" w:cs="Times New Roman"/>
          <w:b/>
          <w:bCs/>
          <w:sz w:val="24"/>
          <w:szCs w:val="24"/>
        </w:rPr>
        <w:t>Craig</w:t>
      </w:r>
      <w:r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b</w:t>
      </w:r>
      <w:proofErr w:type="spellEnd"/>
      <w:r w:rsidRPr="00053F9E">
        <w:rPr>
          <w:rFonts w:ascii="Times New Roman" w:hAnsi="Times New Roman" w:cs="Times New Roman"/>
          <w:b/>
          <w:bCs/>
          <w:sz w:val="24"/>
          <w:szCs w:val="24"/>
        </w:rPr>
        <w:t xml:space="preserve">, T.E. </w:t>
      </w:r>
      <w:proofErr w:type="spellStart"/>
      <w:r w:rsidRPr="00053F9E">
        <w:rPr>
          <w:rFonts w:ascii="Times New Roman" w:hAnsi="Times New Roman" w:cs="Times New Roman"/>
          <w:b/>
          <w:bCs/>
          <w:sz w:val="24"/>
          <w:szCs w:val="24"/>
        </w:rPr>
        <w:t>Edwards</w:t>
      </w:r>
      <w:r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b</w:t>
      </w:r>
      <w:proofErr w:type="spellEnd"/>
      <w:r w:rsidRPr="00053F9E">
        <w:rPr>
          <w:rFonts w:ascii="Times New Roman" w:hAnsi="Times New Roman" w:cs="Times New Roman"/>
          <w:b/>
          <w:bCs/>
          <w:sz w:val="24"/>
          <w:szCs w:val="24"/>
        </w:rPr>
        <w:t>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53F9E">
        <w:rPr>
          <w:rFonts w:ascii="Times New Roman" w:hAnsi="Times New Roman" w:cs="Times New Roman"/>
          <w:b/>
          <w:bCs/>
          <w:sz w:val="24"/>
          <w:szCs w:val="24"/>
        </w:rPr>
        <w:t>B</w:t>
      </w:r>
      <w:r>
        <w:rPr>
          <w:rFonts w:ascii="Times New Roman" w:hAnsi="Times New Roman" w:cs="Times New Roman"/>
          <w:b/>
          <w:bCs/>
          <w:sz w:val="24"/>
          <w:szCs w:val="24"/>
        </w:rPr>
        <w:t>art</w:t>
      </w:r>
      <w:r w:rsidRPr="00053F9E">
        <w:rPr>
          <w:rFonts w:ascii="Times New Roman" w:hAnsi="Times New Roman" w:cs="Times New Roman"/>
          <w:b/>
          <w:bCs/>
          <w:sz w:val="24"/>
          <w:szCs w:val="24"/>
        </w:rPr>
        <w:t xml:space="preserve"> Staker</w:t>
      </w:r>
      <w:r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b</w:t>
      </w:r>
      <w:r w:rsidRPr="00053F9E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5409B9">
        <w:rPr>
          <w:rFonts w:ascii="Times New Roman" w:hAnsi="Times New Roman" w:cs="Times New Roman"/>
          <w:b/>
          <w:bCs/>
          <w:sz w:val="24"/>
          <w:szCs w:val="24"/>
        </w:rPr>
        <w:t>Tom Edwards</w:t>
      </w:r>
      <w:r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c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5409B9">
        <w:rPr>
          <w:rFonts w:ascii="Times New Roman" w:hAnsi="Times New Roman" w:cs="Times New Roman"/>
          <w:b/>
          <w:bCs/>
          <w:sz w:val="24"/>
          <w:szCs w:val="24"/>
        </w:rPr>
        <w:t>Jan Abendroth</w:t>
      </w:r>
      <w:r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c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053F9E">
        <w:rPr>
          <w:rFonts w:ascii="Times New Roman" w:hAnsi="Times New Roman" w:cs="Times New Roman"/>
          <w:b/>
          <w:bCs/>
          <w:sz w:val="24"/>
          <w:szCs w:val="24"/>
        </w:rPr>
        <w:t xml:space="preserve">Sandhya </w:t>
      </w:r>
      <w:proofErr w:type="spellStart"/>
      <w:r w:rsidRPr="00053F9E">
        <w:rPr>
          <w:rFonts w:ascii="Times New Roman" w:hAnsi="Times New Roman" w:cs="Times New Roman"/>
          <w:b/>
          <w:bCs/>
          <w:sz w:val="24"/>
          <w:szCs w:val="24"/>
        </w:rPr>
        <w:t>Subramanian</w:t>
      </w:r>
      <w:r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b</w:t>
      </w:r>
      <w:proofErr w:type="spellEnd"/>
      <w:r w:rsidRPr="00053F9E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bCs/>
          <w:sz w:val="24"/>
          <w:szCs w:val="24"/>
        </w:rPr>
        <w:t>Peter Myler</w:t>
      </w:r>
      <w:r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b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053F9E">
        <w:rPr>
          <w:rFonts w:ascii="Times New Roman" w:hAnsi="Times New Roman" w:cs="Times New Roman"/>
          <w:b/>
          <w:bCs/>
          <w:sz w:val="24"/>
          <w:szCs w:val="24"/>
        </w:rPr>
        <w:t xml:space="preserve">Graham </w:t>
      </w:r>
      <w:proofErr w:type="spellStart"/>
      <w:r w:rsidRPr="00053F9E">
        <w:rPr>
          <w:rFonts w:ascii="Times New Roman" w:hAnsi="Times New Roman" w:cs="Times New Roman"/>
          <w:b/>
          <w:bCs/>
          <w:sz w:val="24"/>
          <w:szCs w:val="24"/>
        </w:rPr>
        <w:t>Chakafana</w:t>
      </w:r>
      <w:r w:rsidRPr="00053F9E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a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*</w:t>
      </w:r>
    </w:p>
    <w:p w14:paraId="05439C2F" w14:textId="77777777" w:rsidR="00485D5A" w:rsidRDefault="00485D5A" w:rsidP="00485D5A">
      <w:pPr>
        <w:jc w:val="both"/>
        <w:rPr>
          <w:rFonts w:ascii="Times New Roman" w:hAnsi="Times New Roman" w:cs="Times New Roman"/>
        </w:rPr>
      </w:pPr>
      <w:r w:rsidRPr="00EC4732">
        <w:rPr>
          <w:rFonts w:ascii="Times New Roman" w:hAnsi="Times New Roman" w:cs="Times New Roman"/>
          <w:vertAlign w:val="superscript"/>
        </w:rPr>
        <w:t>a</w:t>
      </w:r>
      <w:r>
        <w:rPr>
          <w:rFonts w:ascii="Times New Roman" w:hAnsi="Times New Roman" w:cs="Times New Roman"/>
          <w:vertAlign w:val="superscript"/>
        </w:rPr>
        <w:t xml:space="preserve"> </w:t>
      </w:r>
      <w:r w:rsidRPr="004F76BE">
        <w:rPr>
          <w:rFonts w:ascii="Times New Roman" w:hAnsi="Times New Roman" w:cs="Times New Roman"/>
        </w:rPr>
        <w:t>Chemistry and Biochemistry Department, Hampton University, 200 William R Harvey Way, Hampton, Virginia, 23668, United States</w:t>
      </w:r>
    </w:p>
    <w:p w14:paraId="41421D97" w14:textId="547D2167" w:rsidR="00485D5A" w:rsidRDefault="00485D5A" w:rsidP="00485D5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>b</w:t>
      </w:r>
      <w:r w:rsidRPr="004F76BE">
        <w:rPr>
          <w:rFonts w:ascii="Times New Roman" w:hAnsi="Times New Roman" w:cs="Times New Roman"/>
        </w:rPr>
        <w:t xml:space="preserve"> Seattle Structural Genomics Center for Infectious Disease (SSGCID), Seattle, Washington, USA</w:t>
      </w:r>
    </w:p>
    <w:p w14:paraId="2075FA1B" w14:textId="018978B7" w:rsidR="00485D5A" w:rsidRDefault="00485D5A" w:rsidP="00485D5A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vertAlign w:val="superscript"/>
        </w:rPr>
        <w:t xml:space="preserve">c </w:t>
      </w:r>
      <w:r w:rsidRPr="00FF0377">
        <w:rPr>
          <w:rFonts w:ascii="Times New Roman" w:hAnsi="Times New Roman" w:cs="Times New Roman"/>
        </w:rPr>
        <w:t xml:space="preserve">UCB </w:t>
      </w:r>
      <w:proofErr w:type="spellStart"/>
      <w:r w:rsidRPr="00FF0377">
        <w:rPr>
          <w:rFonts w:ascii="Times New Roman" w:hAnsi="Times New Roman" w:cs="Times New Roman"/>
        </w:rPr>
        <w:t>BioSciences</w:t>
      </w:r>
      <w:proofErr w:type="spellEnd"/>
      <w:r w:rsidRPr="00FF0377">
        <w:rPr>
          <w:rFonts w:ascii="Times New Roman" w:hAnsi="Times New Roman" w:cs="Times New Roman"/>
        </w:rPr>
        <w:t xml:space="preserve">, Bainbridge Island, WA 98110, USA </w:t>
      </w:r>
    </w:p>
    <w:p w14:paraId="3C2750E7" w14:textId="0C33B3DB" w:rsidR="00485D5A" w:rsidRPr="00485D5A" w:rsidRDefault="00485D5A" w:rsidP="00485D5A">
      <w:pPr>
        <w:jc w:val="both"/>
        <w:rPr>
          <w:rFonts w:ascii="Times New Roman" w:hAnsi="Times New Roman" w:cs="Times New Roman"/>
        </w:rPr>
      </w:pPr>
      <w:r w:rsidRPr="004F76BE">
        <w:rPr>
          <w:rFonts w:ascii="Times New Roman" w:hAnsi="Times New Roman" w:cs="Times New Roman"/>
        </w:rPr>
        <w:t>*Correspondence e-mail:</w:t>
      </w:r>
      <w:r>
        <w:rPr>
          <w:rFonts w:ascii="Times New Roman" w:hAnsi="Times New Roman" w:cs="Times New Roman"/>
        </w:rPr>
        <w:t xml:space="preserve"> </w:t>
      </w:r>
      <w:hyperlink r:id="rId4" w:history="1">
        <w:r w:rsidRPr="006C27EA">
          <w:rPr>
            <w:rStyle w:val="Hyperlink"/>
            <w:rFonts w:ascii="Times New Roman" w:hAnsi="Times New Roman" w:cs="Times New Roman"/>
          </w:rPr>
          <w:t>graham.chakafana@hamptonu.edu</w:t>
        </w:r>
      </w:hyperlink>
    </w:p>
    <w:p w14:paraId="78396C8F" w14:textId="77777777" w:rsidR="00485D5A" w:rsidRDefault="00485D5A" w:rsidP="00485D5A">
      <w:pPr>
        <w:spacing w:line="360" w:lineRule="auto"/>
        <w:jc w:val="both"/>
        <w:rPr>
          <w:rFonts w:ascii="Times New Roman" w:hAnsi="Times New Roman" w:cs="Times New Roman"/>
          <w:i/>
          <w:iCs/>
          <w:color w:val="000000" w:themeColor="text1"/>
        </w:rPr>
      </w:pPr>
    </w:p>
    <w:p w14:paraId="4A2B116B" w14:textId="05414CF2" w:rsidR="00485D5A" w:rsidRDefault="00485D5A" w:rsidP="00485D5A">
      <w:pPr>
        <w:spacing w:line="360" w:lineRule="auto"/>
        <w:jc w:val="both"/>
        <w:rPr>
          <w:rFonts w:ascii="Times New Roman" w:hAnsi="Times New Roman" w:cs="Times New Roman"/>
          <w:color w:val="000000" w:themeColor="text1"/>
        </w:rPr>
      </w:pPr>
      <w:r w:rsidRPr="00ED7C7B">
        <w:rPr>
          <w:rFonts w:ascii="Times New Roman" w:hAnsi="Times New Roman" w:cs="Times New Roman"/>
          <w:i/>
          <w:iCs/>
          <w:color w:val="000000" w:themeColor="text1"/>
        </w:rPr>
        <w:t>Trypanosoma cruzi</w:t>
      </w:r>
      <w:r w:rsidRPr="00ED7C7B">
        <w:rPr>
          <w:rFonts w:ascii="Times New Roman" w:hAnsi="Times New Roman" w:cs="Times New Roman"/>
          <w:color w:val="000000" w:themeColor="text1"/>
        </w:rPr>
        <w:t xml:space="preserve">, the </w:t>
      </w:r>
      <w:r w:rsidR="00C01BB6">
        <w:rPr>
          <w:rFonts w:ascii="Times New Roman" w:hAnsi="Times New Roman" w:cs="Times New Roman"/>
          <w:color w:val="000000" w:themeColor="text1"/>
        </w:rPr>
        <w:t>disease-causing</w:t>
      </w:r>
      <w:r w:rsidRPr="00ED7C7B">
        <w:rPr>
          <w:rFonts w:ascii="Times New Roman" w:hAnsi="Times New Roman" w:cs="Times New Roman"/>
          <w:color w:val="000000" w:themeColor="text1"/>
        </w:rPr>
        <w:t xml:space="preserve"> agent of Chagas disease, depends on glycolysis for ATP production</w:t>
      </w:r>
      <w:r>
        <w:rPr>
          <w:rFonts w:ascii="Times New Roman" w:hAnsi="Times New Roman" w:cs="Times New Roman"/>
          <w:color w:val="000000" w:themeColor="text1"/>
        </w:rPr>
        <w:t>. As such,</w:t>
      </w:r>
      <w:r w:rsidRPr="00ED7C7B">
        <w:rPr>
          <w:rFonts w:ascii="Times New Roman" w:hAnsi="Times New Roman" w:cs="Times New Roman"/>
          <w:color w:val="000000" w:themeColor="text1"/>
        </w:rPr>
        <w:t xml:space="preserve"> </w:t>
      </w:r>
      <w:r>
        <w:rPr>
          <w:rFonts w:ascii="Times New Roman" w:hAnsi="Times New Roman" w:cs="Times New Roman"/>
          <w:color w:val="000000" w:themeColor="text1"/>
        </w:rPr>
        <w:t xml:space="preserve">the glycolytic </w:t>
      </w:r>
      <w:r w:rsidRPr="00ED7C7B">
        <w:rPr>
          <w:rFonts w:ascii="Times New Roman" w:hAnsi="Times New Roman" w:cs="Times New Roman"/>
          <w:color w:val="000000" w:themeColor="text1"/>
        </w:rPr>
        <w:t>enzymes</w:t>
      </w:r>
      <w:r>
        <w:rPr>
          <w:rFonts w:ascii="Times New Roman" w:hAnsi="Times New Roman" w:cs="Times New Roman"/>
          <w:color w:val="000000" w:themeColor="text1"/>
        </w:rPr>
        <w:t xml:space="preserve"> of this parasite are </w:t>
      </w:r>
      <w:r w:rsidRPr="00ED7C7B">
        <w:rPr>
          <w:rFonts w:ascii="Times New Roman" w:hAnsi="Times New Roman" w:cs="Times New Roman"/>
          <w:color w:val="000000" w:themeColor="text1"/>
        </w:rPr>
        <w:t>attractive targets for</w:t>
      </w:r>
      <w:r w:rsidR="00C01BB6">
        <w:rPr>
          <w:rFonts w:ascii="Times New Roman" w:hAnsi="Times New Roman" w:cs="Times New Roman"/>
          <w:color w:val="000000" w:themeColor="text1"/>
        </w:rPr>
        <w:t xml:space="preserve"> the development of new</w:t>
      </w:r>
      <w:r w:rsidRPr="00ED7C7B">
        <w:rPr>
          <w:rFonts w:ascii="Times New Roman" w:hAnsi="Times New Roman" w:cs="Times New Roman"/>
          <w:color w:val="000000" w:themeColor="text1"/>
        </w:rPr>
        <w:t xml:space="preserve"> therap</w:t>
      </w:r>
      <w:r w:rsidR="00C01BB6">
        <w:rPr>
          <w:rFonts w:ascii="Times New Roman" w:hAnsi="Times New Roman" w:cs="Times New Roman"/>
          <w:color w:val="000000" w:themeColor="text1"/>
        </w:rPr>
        <w:t>ies</w:t>
      </w:r>
      <w:r w:rsidRPr="00ED7C7B">
        <w:rPr>
          <w:rFonts w:ascii="Times New Roman" w:hAnsi="Times New Roman" w:cs="Times New Roman"/>
          <w:color w:val="000000" w:themeColor="text1"/>
        </w:rPr>
        <w:t>.</w:t>
      </w:r>
      <w:r w:rsidRPr="00356AD1">
        <w:rPr>
          <w:rFonts w:ascii="Times New Roman" w:hAnsi="Times New Roman"/>
        </w:rPr>
        <w:t xml:space="preserve"> Despite their essential role in parasite survival, the structural features of </w:t>
      </w:r>
      <w:r w:rsidRPr="00C01BB6">
        <w:rPr>
          <w:rFonts w:ascii="Times New Roman" w:hAnsi="Times New Roman"/>
          <w:i/>
          <w:iCs/>
        </w:rPr>
        <w:t>T. cruzi</w:t>
      </w:r>
      <w:r>
        <w:rPr>
          <w:rFonts w:ascii="Times New Roman" w:hAnsi="Times New Roman"/>
        </w:rPr>
        <w:t xml:space="preserve"> glycolytic enzymes</w:t>
      </w:r>
      <w:r w:rsidRPr="00356AD1">
        <w:rPr>
          <w:rFonts w:ascii="Times New Roman" w:hAnsi="Times New Roman"/>
        </w:rPr>
        <w:t xml:space="preserve"> remain poorly understood. </w:t>
      </w:r>
      <w:r>
        <w:rPr>
          <w:rFonts w:ascii="Times New Roman" w:hAnsi="Times New Roman"/>
        </w:rPr>
        <w:t>In our study,</w:t>
      </w:r>
      <w:r w:rsidRPr="00356AD1">
        <w:rPr>
          <w:rFonts w:ascii="Times New Roman" w:hAnsi="Times New Roman"/>
        </w:rPr>
        <w:t xml:space="preserve"> we present high-resolution </w:t>
      </w:r>
      <w:r>
        <w:rPr>
          <w:rFonts w:ascii="Times New Roman" w:hAnsi="Times New Roman"/>
        </w:rPr>
        <w:t xml:space="preserve">X-ray </w:t>
      </w:r>
      <w:r w:rsidRPr="00356AD1">
        <w:rPr>
          <w:rFonts w:ascii="Times New Roman" w:hAnsi="Times New Roman"/>
        </w:rPr>
        <w:t xml:space="preserve">crystal structures of two central glycolytic enzymes in </w:t>
      </w:r>
      <w:r w:rsidRPr="00356AD1">
        <w:rPr>
          <w:rFonts w:ascii="Times New Roman" w:hAnsi="Times New Roman"/>
          <w:i/>
          <w:iCs/>
        </w:rPr>
        <w:t>T. cruzi</w:t>
      </w:r>
      <w:r w:rsidRPr="00356AD1">
        <w:rPr>
          <w:rFonts w:ascii="Times New Roman" w:hAnsi="Times New Roman"/>
        </w:rPr>
        <w:t>: glucose-6-phosphate isomerase (</w:t>
      </w:r>
      <w:proofErr w:type="spellStart"/>
      <w:r w:rsidRPr="00356AD1">
        <w:rPr>
          <w:rFonts w:ascii="Times New Roman" w:hAnsi="Times New Roman"/>
        </w:rPr>
        <w:t>Tc</w:t>
      </w:r>
      <w:r w:rsidR="00375728">
        <w:rPr>
          <w:rFonts w:ascii="Times New Roman" w:hAnsi="Times New Roman"/>
        </w:rPr>
        <w:t>PGI</w:t>
      </w:r>
      <w:proofErr w:type="spellEnd"/>
      <w:r w:rsidRPr="00356AD1">
        <w:rPr>
          <w:rFonts w:ascii="Times New Roman" w:hAnsi="Times New Roman"/>
        </w:rPr>
        <w:t>, 1.8 Å) and enolase (</w:t>
      </w:r>
      <w:proofErr w:type="spellStart"/>
      <w:r w:rsidRPr="00356AD1">
        <w:rPr>
          <w:rFonts w:ascii="Times New Roman" w:hAnsi="Times New Roman"/>
        </w:rPr>
        <w:t>TcEno</w:t>
      </w:r>
      <w:proofErr w:type="spellEnd"/>
      <w:r w:rsidRPr="00356AD1">
        <w:rPr>
          <w:rFonts w:ascii="Times New Roman" w:hAnsi="Times New Roman"/>
        </w:rPr>
        <w:t>, 2.4 Å).</w:t>
      </w:r>
      <w:r w:rsidRPr="00B673A8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A072DE">
        <w:rPr>
          <w:rFonts w:ascii="Times New Roman" w:hAnsi="Times New Roman" w:cs="Times New Roman"/>
          <w:i/>
          <w:iCs/>
          <w:color w:val="000000" w:themeColor="text1"/>
        </w:rPr>
        <w:t>Tc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="00375728">
        <w:rPr>
          <w:rFonts w:ascii="Times New Roman" w:hAnsi="Times New Roman" w:cs="Times New Roman"/>
          <w:color w:val="000000" w:themeColor="text1"/>
        </w:rPr>
        <w:t>PGI</w:t>
      </w:r>
      <w:r w:rsidRPr="00ED7C7B">
        <w:rPr>
          <w:rFonts w:ascii="Times New Roman" w:hAnsi="Times New Roman" w:cs="Times New Roman"/>
          <w:color w:val="000000" w:themeColor="text1"/>
        </w:rPr>
        <w:t xml:space="preserve"> adopts a dimeric αβα sandwich fold and features a parasite-specific 53-residue N-terminal extension and </w:t>
      </w:r>
      <w:r>
        <w:rPr>
          <w:rFonts w:ascii="Times New Roman" w:hAnsi="Times New Roman" w:cs="Times New Roman"/>
          <w:color w:val="000000" w:themeColor="text1"/>
        </w:rPr>
        <w:t xml:space="preserve">a unique </w:t>
      </w:r>
      <w:r w:rsidRPr="00ED7C7B">
        <w:rPr>
          <w:rFonts w:ascii="Times New Roman" w:hAnsi="Times New Roman" w:cs="Times New Roman"/>
          <w:color w:val="000000" w:themeColor="text1"/>
        </w:rPr>
        <w:t>C-terminal hook region</w:t>
      </w:r>
      <w:r w:rsidR="00C01BB6">
        <w:rPr>
          <w:rFonts w:ascii="Times New Roman" w:hAnsi="Times New Roman" w:cs="Times New Roman"/>
          <w:color w:val="000000" w:themeColor="text1"/>
        </w:rPr>
        <w:t>,</w:t>
      </w:r>
      <w:r>
        <w:rPr>
          <w:rFonts w:ascii="Times New Roman" w:hAnsi="Times New Roman" w:cs="Times New Roman"/>
          <w:color w:val="000000" w:themeColor="text1"/>
        </w:rPr>
        <w:t xml:space="preserve"> which both distinguish it from its</w:t>
      </w:r>
      <w:r w:rsidRPr="00ED7C7B">
        <w:rPr>
          <w:rFonts w:ascii="Times New Roman" w:hAnsi="Times New Roman" w:cs="Times New Roman"/>
          <w:color w:val="000000" w:themeColor="text1"/>
        </w:rPr>
        <w:t xml:space="preserve"> human ortholog. </w:t>
      </w:r>
      <w:r w:rsidRPr="006A4433">
        <w:rPr>
          <w:rFonts w:ascii="Times New Roman" w:hAnsi="Times New Roman" w:cs="Times New Roman"/>
          <w:i/>
          <w:iCs/>
          <w:color w:val="000000" w:themeColor="text1"/>
        </w:rPr>
        <w:t>Tc</w:t>
      </w:r>
      <w:r>
        <w:rPr>
          <w:rFonts w:ascii="Times New Roman" w:hAnsi="Times New Roman" w:cs="Times New Roman"/>
          <w:color w:val="000000" w:themeColor="text1"/>
        </w:rPr>
        <w:t xml:space="preserve"> e</w:t>
      </w:r>
      <w:r w:rsidRPr="00ED7C7B">
        <w:rPr>
          <w:rFonts w:ascii="Times New Roman" w:hAnsi="Times New Roman" w:cs="Times New Roman"/>
          <w:color w:val="000000" w:themeColor="text1"/>
        </w:rPr>
        <w:t>no</w:t>
      </w:r>
      <w:r>
        <w:rPr>
          <w:rFonts w:ascii="Times New Roman" w:hAnsi="Times New Roman" w:cs="Times New Roman"/>
          <w:color w:val="000000" w:themeColor="text1"/>
        </w:rPr>
        <w:t>lase</w:t>
      </w:r>
      <w:r w:rsidRPr="00ED7C7B">
        <w:rPr>
          <w:rFonts w:ascii="Times New Roman" w:hAnsi="Times New Roman" w:cs="Times New Roman"/>
          <w:color w:val="000000" w:themeColor="text1"/>
        </w:rPr>
        <w:t xml:space="preserve"> exhibits the conserved (α/β)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Pr="00ED7C7B">
        <w:rPr>
          <w:rFonts w:ascii="Times New Roman" w:hAnsi="Times New Roman" w:cs="Times New Roman"/>
          <w:color w:val="000000" w:themeColor="text1"/>
        </w:rPr>
        <w:t xml:space="preserve">8 TIM barrel fold but harbors </w:t>
      </w:r>
      <w:r>
        <w:rPr>
          <w:rFonts w:ascii="Times New Roman" w:hAnsi="Times New Roman" w:cs="Times New Roman"/>
          <w:color w:val="000000" w:themeColor="text1"/>
        </w:rPr>
        <w:t>minor</w:t>
      </w:r>
      <w:r w:rsidR="00BB6C60">
        <w:rPr>
          <w:rFonts w:ascii="Times New Roman" w:hAnsi="Times New Roman" w:cs="Times New Roman"/>
          <w:color w:val="000000" w:themeColor="text1"/>
        </w:rPr>
        <w:t>,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Pr="00ED7C7B">
        <w:rPr>
          <w:rFonts w:ascii="Times New Roman" w:hAnsi="Times New Roman" w:cs="Times New Roman"/>
          <w:color w:val="000000" w:themeColor="text1"/>
        </w:rPr>
        <w:t xml:space="preserve">distinct structural deviations, including an extended α17 helix and a structured α1 region, which differentiate it from human isoforms. </w:t>
      </w:r>
      <w:r w:rsidRPr="006D3883">
        <w:rPr>
          <w:rFonts w:ascii="Times New Roman" w:hAnsi="Times New Roman" w:cs="Times New Roman"/>
          <w:color w:val="000000" w:themeColor="text1"/>
        </w:rPr>
        <w:t xml:space="preserve">Both enzymes exhibited high thermal stability, consistent with adaptation to the parasite’s </w:t>
      </w:r>
      <w:r w:rsidR="00BB6C60">
        <w:rPr>
          <w:rFonts w:ascii="Times New Roman" w:hAnsi="Times New Roman" w:cs="Times New Roman"/>
          <w:color w:val="000000" w:themeColor="text1"/>
        </w:rPr>
        <w:t>elaborate</w:t>
      </w:r>
      <w:r w:rsidRPr="006D3883">
        <w:rPr>
          <w:rFonts w:ascii="Times New Roman" w:hAnsi="Times New Roman" w:cs="Times New Roman"/>
          <w:color w:val="000000" w:themeColor="text1"/>
        </w:rPr>
        <w:t xml:space="preserve"> life cycle. Collectively, these findings reveal structural signatures unique to </w:t>
      </w:r>
      <w:r w:rsidRPr="006D3883">
        <w:rPr>
          <w:rFonts w:ascii="Times New Roman" w:hAnsi="Times New Roman" w:cs="Times New Roman"/>
          <w:i/>
          <w:iCs/>
          <w:color w:val="000000" w:themeColor="text1"/>
        </w:rPr>
        <w:t>T. cruzi</w:t>
      </w:r>
      <w:r w:rsidRPr="006D3883">
        <w:rPr>
          <w:rFonts w:ascii="Times New Roman" w:hAnsi="Times New Roman" w:cs="Times New Roman"/>
          <w:color w:val="000000" w:themeColor="text1"/>
        </w:rPr>
        <w:t xml:space="preserve"> glycolytic enzymes</w:t>
      </w:r>
      <w:r w:rsidR="00BA764F">
        <w:rPr>
          <w:rFonts w:ascii="Times New Roman" w:hAnsi="Times New Roman" w:cs="Times New Roman"/>
          <w:color w:val="000000" w:themeColor="text1"/>
        </w:rPr>
        <w:t>,</w:t>
      </w:r>
      <w:r w:rsidRPr="006D3883">
        <w:rPr>
          <w:rFonts w:ascii="Times New Roman" w:hAnsi="Times New Roman" w:cs="Times New Roman"/>
          <w:color w:val="000000" w:themeColor="text1"/>
        </w:rPr>
        <w:t xml:space="preserve"> </w:t>
      </w:r>
      <w:r w:rsidR="00BA764F">
        <w:rPr>
          <w:rFonts w:ascii="Times New Roman" w:hAnsi="Times New Roman" w:cs="Times New Roman"/>
          <w:color w:val="000000" w:themeColor="text1"/>
        </w:rPr>
        <w:t>laying</w:t>
      </w:r>
      <w:r w:rsidRPr="006D3883">
        <w:rPr>
          <w:rFonts w:ascii="Times New Roman" w:hAnsi="Times New Roman" w:cs="Times New Roman"/>
          <w:color w:val="000000" w:themeColor="text1"/>
        </w:rPr>
        <w:t xml:space="preserve"> the groundwork for the development of selective antiparasitic therapeutics.</w:t>
      </w:r>
    </w:p>
    <w:p w14:paraId="1E6A7E8F" w14:textId="77777777" w:rsidR="00B52985" w:rsidRDefault="00B52985"/>
    <w:sectPr w:rsidR="00B52985" w:rsidSect="00485D5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5D5A"/>
    <w:rsid w:val="00062419"/>
    <w:rsid w:val="0013225E"/>
    <w:rsid w:val="00375728"/>
    <w:rsid w:val="00442BB3"/>
    <w:rsid w:val="00485D5A"/>
    <w:rsid w:val="00760BE7"/>
    <w:rsid w:val="00912E61"/>
    <w:rsid w:val="009D110B"/>
    <w:rsid w:val="00B52985"/>
    <w:rsid w:val="00BA764F"/>
    <w:rsid w:val="00BB6C60"/>
    <w:rsid w:val="00C01BB6"/>
    <w:rsid w:val="00E17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E2771"/>
  <w15:chartTrackingRefBased/>
  <w15:docId w15:val="{F74CCBB9-3DE2-41D7-A2B1-9EDBD8131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5D5A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485D5A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85D5A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85D5A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85D5A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85D5A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85D5A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85D5A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85D5A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85D5A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85D5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85D5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85D5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85D5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85D5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85D5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85D5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85D5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85D5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85D5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85D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85D5A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85D5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85D5A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485D5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85D5A"/>
    <w:pPr>
      <w:spacing w:line="278" w:lineRule="auto"/>
      <w:ind w:left="720"/>
      <w:contextualSpacing/>
    </w:pPr>
    <w:rPr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485D5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85D5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85D5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85D5A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485D5A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85D5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graham.chakafana@hamptonu.ed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247</Words>
  <Characters>1582</Characters>
  <Application>Microsoft Office Word</Application>
  <DocSecurity>0</DocSecurity>
  <Lines>21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CHAKAFANA GRAHAM</dc:creator>
  <cp:keywords/>
  <dc:description/>
  <cp:lastModifiedBy>Kenneth M. Austin</cp:lastModifiedBy>
  <cp:revision>9</cp:revision>
  <dcterms:created xsi:type="dcterms:W3CDTF">2025-09-25T18:12:00Z</dcterms:created>
  <dcterms:modified xsi:type="dcterms:W3CDTF">2026-02-25T15:50:00Z</dcterms:modified>
</cp:coreProperties>
</file>