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8E454C" w14:textId="77777777" w:rsidR="00BB77ED" w:rsidRPr="00BB77ED" w:rsidRDefault="00BB77ED" w:rsidP="00821F36">
      <w:pPr>
        <w:jc w:val="both"/>
        <w:rPr>
          <w:rFonts w:ascii="Times New Roman" w:hAnsi="Times New Roman" w:cs="Times New Roman"/>
          <w:b/>
          <w:bCs/>
          <w:sz w:val="24"/>
          <w:szCs w:val="24"/>
        </w:rPr>
      </w:pPr>
      <w:r w:rsidRPr="00BB77ED">
        <w:rPr>
          <w:rFonts w:ascii="Times New Roman" w:hAnsi="Times New Roman" w:cs="Times New Roman"/>
          <w:b/>
          <w:bCs/>
          <w:sz w:val="24"/>
          <w:szCs w:val="24"/>
        </w:rPr>
        <w:t>Numerical Simulation of Wetland Groundwater Hydrodynamics Using a Three-Dimensional MODFLOW Model</w:t>
      </w:r>
    </w:p>
    <w:p w14:paraId="1EFB802B" w14:textId="445FB3CE" w:rsidR="00804B7E" w:rsidRPr="000342D0" w:rsidRDefault="00804B7E" w:rsidP="001D1450">
      <w:pPr>
        <w:spacing w:after="0" w:line="240" w:lineRule="auto"/>
        <w:jc w:val="both"/>
        <w:rPr>
          <w:rFonts w:ascii="Times New Roman" w:hAnsi="Times New Roman" w:cs="Times New Roman"/>
          <w:sz w:val="24"/>
          <w:szCs w:val="24"/>
        </w:rPr>
      </w:pPr>
      <w:r w:rsidRPr="000342D0">
        <w:rPr>
          <w:rFonts w:ascii="Times New Roman" w:hAnsi="Times New Roman" w:cs="Times New Roman"/>
          <w:sz w:val="24"/>
          <w:szCs w:val="24"/>
          <w:vertAlign w:val="superscript"/>
        </w:rPr>
        <w:t>1</w:t>
      </w:r>
      <w:r w:rsidRPr="000342D0">
        <w:rPr>
          <w:rFonts w:ascii="Times New Roman" w:hAnsi="Times New Roman" w:cs="Times New Roman"/>
          <w:sz w:val="24"/>
          <w:szCs w:val="24"/>
        </w:rPr>
        <w:t xml:space="preserve">O. P. </w:t>
      </w:r>
      <w:proofErr w:type="spellStart"/>
      <w:r w:rsidRPr="000342D0">
        <w:rPr>
          <w:rFonts w:ascii="Times New Roman" w:hAnsi="Times New Roman" w:cs="Times New Roman"/>
          <w:sz w:val="24"/>
          <w:szCs w:val="24"/>
        </w:rPr>
        <w:t>Otheremu</w:t>
      </w:r>
      <w:proofErr w:type="spellEnd"/>
      <w:r w:rsidRPr="000342D0">
        <w:rPr>
          <w:rFonts w:ascii="Times New Roman" w:hAnsi="Times New Roman" w:cs="Times New Roman"/>
          <w:sz w:val="24"/>
          <w:szCs w:val="24"/>
        </w:rPr>
        <w:t xml:space="preserve">; </w:t>
      </w:r>
      <w:r>
        <w:rPr>
          <w:rFonts w:ascii="Times New Roman" w:hAnsi="Times New Roman" w:cs="Times New Roman"/>
          <w:sz w:val="24"/>
          <w:szCs w:val="24"/>
          <w:vertAlign w:val="superscript"/>
        </w:rPr>
        <w:t>2</w:t>
      </w:r>
      <w:r w:rsidRPr="000342D0">
        <w:rPr>
          <w:rFonts w:ascii="Times New Roman" w:hAnsi="Times New Roman" w:cs="Times New Roman"/>
          <w:sz w:val="24"/>
          <w:szCs w:val="24"/>
        </w:rPr>
        <w:t>M. O. Ofomola;</w:t>
      </w:r>
      <w:r>
        <w:rPr>
          <w:rFonts w:ascii="Times New Roman" w:hAnsi="Times New Roman" w:cs="Times New Roman"/>
          <w:sz w:val="24"/>
          <w:szCs w:val="24"/>
        </w:rPr>
        <w:t xml:space="preserve"> </w:t>
      </w:r>
      <w:r w:rsidR="00BB77ED">
        <w:rPr>
          <w:rFonts w:ascii="Times New Roman" w:hAnsi="Times New Roman" w:cs="Times New Roman"/>
          <w:sz w:val="24"/>
          <w:szCs w:val="24"/>
          <w:vertAlign w:val="superscript"/>
        </w:rPr>
        <w:t>2</w:t>
      </w:r>
      <w:r w:rsidRPr="00804B7E">
        <w:rPr>
          <w:rFonts w:ascii="Times New Roman" w:hAnsi="Times New Roman" w:cs="Times New Roman"/>
          <w:sz w:val="24"/>
          <w:szCs w:val="24"/>
        </w:rPr>
        <w:t xml:space="preserve"> </w:t>
      </w:r>
      <w:r>
        <w:rPr>
          <w:rFonts w:ascii="Times New Roman" w:hAnsi="Times New Roman" w:cs="Times New Roman"/>
          <w:sz w:val="24"/>
          <w:szCs w:val="24"/>
        </w:rPr>
        <w:t xml:space="preserve">E.A. </w:t>
      </w:r>
      <w:proofErr w:type="spellStart"/>
      <w:r>
        <w:rPr>
          <w:rFonts w:ascii="Times New Roman" w:hAnsi="Times New Roman" w:cs="Times New Roman"/>
          <w:sz w:val="24"/>
          <w:szCs w:val="24"/>
        </w:rPr>
        <w:t>Atakpo</w:t>
      </w:r>
      <w:proofErr w:type="spellEnd"/>
      <w:r w:rsidR="00BB77ED">
        <w:rPr>
          <w:rFonts w:ascii="Times New Roman" w:hAnsi="Times New Roman" w:cs="Times New Roman"/>
          <w:sz w:val="24"/>
          <w:szCs w:val="24"/>
        </w:rPr>
        <w:t xml:space="preserve">; </w:t>
      </w:r>
      <w:r w:rsidR="00BB77ED">
        <w:rPr>
          <w:rFonts w:ascii="Times New Roman" w:hAnsi="Times New Roman" w:cs="Times New Roman"/>
          <w:sz w:val="24"/>
          <w:szCs w:val="24"/>
          <w:vertAlign w:val="superscript"/>
        </w:rPr>
        <w:t>2</w:t>
      </w:r>
      <w:r w:rsidR="00BB77ED">
        <w:rPr>
          <w:rFonts w:ascii="Times New Roman" w:hAnsi="Times New Roman" w:cs="Times New Roman"/>
          <w:sz w:val="24"/>
          <w:szCs w:val="24"/>
        </w:rPr>
        <w:t xml:space="preserve">G.E. </w:t>
      </w:r>
      <w:proofErr w:type="spellStart"/>
      <w:r w:rsidR="00BB77ED">
        <w:rPr>
          <w:rFonts w:ascii="Times New Roman" w:hAnsi="Times New Roman" w:cs="Times New Roman"/>
          <w:sz w:val="24"/>
          <w:szCs w:val="24"/>
        </w:rPr>
        <w:t>Akpojotor</w:t>
      </w:r>
      <w:proofErr w:type="spellEnd"/>
    </w:p>
    <w:p w14:paraId="3170AFE3" w14:textId="77777777" w:rsidR="00804B7E" w:rsidRPr="000342D0" w:rsidRDefault="00804B7E" w:rsidP="001D1450">
      <w:pPr>
        <w:spacing w:after="0" w:line="240" w:lineRule="auto"/>
        <w:jc w:val="both"/>
        <w:rPr>
          <w:rFonts w:ascii="Times New Roman" w:hAnsi="Times New Roman" w:cs="Times New Roman"/>
          <w:sz w:val="24"/>
          <w:szCs w:val="24"/>
        </w:rPr>
      </w:pPr>
      <w:r w:rsidRPr="000342D0">
        <w:rPr>
          <w:rFonts w:ascii="Times New Roman" w:hAnsi="Times New Roman" w:cs="Times New Roman"/>
          <w:sz w:val="24"/>
          <w:szCs w:val="24"/>
          <w:vertAlign w:val="superscript"/>
        </w:rPr>
        <w:t>1</w:t>
      </w:r>
      <w:r w:rsidRPr="000342D0">
        <w:rPr>
          <w:rFonts w:ascii="Times New Roman" w:hAnsi="Times New Roman" w:cs="Times New Roman"/>
          <w:sz w:val="24"/>
          <w:szCs w:val="24"/>
        </w:rPr>
        <w:t xml:space="preserve">Department of Physics, Southern Delta University </w:t>
      </w:r>
      <w:proofErr w:type="spellStart"/>
      <w:r w:rsidRPr="000342D0">
        <w:rPr>
          <w:rFonts w:ascii="Times New Roman" w:hAnsi="Times New Roman" w:cs="Times New Roman"/>
          <w:sz w:val="24"/>
          <w:szCs w:val="24"/>
        </w:rPr>
        <w:t>Ozoro</w:t>
      </w:r>
      <w:proofErr w:type="spellEnd"/>
      <w:r w:rsidRPr="000342D0">
        <w:rPr>
          <w:rFonts w:ascii="Times New Roman" w:hAnsi="Times New Roman" w:cs="Times New Roman"/>
          <w:sz w:val="24"/>
          <w:szCs w:val="24"/>
        </w:rPr>
        <w:t xml:space="preserve"> Delta State</w:t>
      </w:r>
    </w:p>
    <w:p w14:paraId="4B186F21" w14:textId="77777777" w:rsidR="00804B7E" w:rsidRPr="000342D0" w:rsidRDefault="00804B7E" w:rsidP="001D1450">
      <w:pPr>
        <w:spacing w:after="0" w:line="240" w:lineRule="auto"/>
        <w:jc w:val="both"/>
        <w:rPr>
          <w:rFonts w:ascii="Times New Roman" w:hAnsi="Times New Roman" w:cs="Times New Roman"/>
          <w:sz w:val="24"/>
          <w:szCs w:val="24"/>
        </w:rPr>
      </w:pPr>
      <w:r w:rsidRPr="000342D0">
        <w:rPr>
          <w:rFonts w:ascii="Times New Roman" w:hAnsi="Times New Roman" w:cs="Times New Roman"/>
          <w:sz w:val="24"/>
          <w:szCs w:val="24"/>
        </w:rPr>
        <w:t xml:space="preserve">Department of Physics, Delta State University </w:t>
      </w:r>
      <w:proofErr w:type="spellStart"/>
      <w:r w:rsidRPr="000342D0">
        <w:rPr>
          <w:rFonts w:ascii="Times New Roman" w:hAnsi="Times New Roman" w:cs="Times New Roman"/>
          <w:sz w:val="24"/>
          <w:szCs w:val="24"/>
        </w:rPr>
        <w:t>Abraka</w:t>
      </w:r>
      <w:proofErr w:type="spellEnd"/>
      <w:r w:rsidRPr="000342D0">
        <w:rPr>
          <w:rFonts w:ascii="Times New Roman" w:hAnsi="Times New Roman" w:cs="Times New Roman"/>
          <w:sz w:val="24"/>
          <w:szCs w:val="24"/>
        </w:rPr>
        <w:t xml:space="preserve"> Delta State</w:t>
      </w:r>
    </w:p>
    <w:p w14:paraId="036C32C3" w14:textId="5AD4D9D5" w:rsidR="00804B7E" w:rsidRDefault="00A60ADA" w:rsidP="00BB77ED">
      <w:pPr>
        <w:spacing w:line="240" w:lineRule="auto"/>
        <w:rPr>
          <w:rFonts w:ascii="Times New Roman" w:hAnsi="Times New Roman" w:cs="Times New Roman"/>
          <w:sz w:val="24"/>
          <w:szCs w:val="24"/>
        </w:rPr>
      </w:pPr>
      <w:r>
        <w:rPr>
          <w:rFonts w:ascii="Times New Roman" w:hAnsi="Times New Roman" w:cs="Times New Roman"/>
          <w:sz w:val="24"/>
          <w:szCs w:val="24"/>
        </w:rPr>
        <w:t>*Corresponding Author:</w:t>
      </w:r>
      <w:r w:rsidR="00EB001B">
        <w:rPr>
          <w:rFonts w:ascii="Times New Roman" w:hAnsi="Times New Roman" w:cs="Times New Roman"/>
          <w:sz w:val="24"/>
          <w:szCs w:val="24"/>
        </w:rPr>
        <w:t xml:space="preserve"> </w:t>
      </w:r>
      <w:r w:rsidR="00EB001B" w:rsidRPr="000342D0">
        <w:rPr>
          <w:rFonts w:ascii="Times New Roman" w:hAnsi="Times New Roman" w:cs="Times New Roman"/>
          <w:sz w:val="24"/>
          <w:szCs w:val="24"/>
        </w:rPr>
        <w:t>M. O. Ofomola</w:t>
      </w:r>
      <w:r w:rsidR="00EB001B">
        <w:rPr>
          <w:rFonts w:ascii="Times New Roman" w:hAnsi="Times New Roman" w:cs="Times New Roman"/>
          <w:sz w:val="24"/>
          <w:szCs w:val="24"/>
        </w:rPr>
        <w:t xml:space="preserve"> (ofomola@delsu.edu.ng)</w:t>
      </w:r>
    </w:p>
    <w:p w14:paraId="775E5A24" w14:textId="51A4F3A0" w:rsidR="00F46513" w:rsidRPr="00F46513" w:rsidRDefault="00F46513" w:rsidP="00955A40">
      <w:pPr>
        <w:spacing w:before="100" w:beforeAutospacing="1" w:after="100" w:afterAutospacing="1" w:line="240" w:lineRule="auto"/>
        <w:jc w:val="both"/>
        <w:rPr>
          <w:rFonts w:ascii="Times New Roman" w:eastAsia="Times New Roman" w:hAnsi="Times New Roman" w:cs="Times New Roman"/>
          <w:sz w:val="24"/>
          <w:szCs w:val="24"/>
          <w:lang w:val="en-NG" w:eastAsia="en-NG"/>
        </w:rPr>
      </w:pPr>
      <w:r w:rsidRPr="00F46513">
        <w:rPr>
          <w:rFonts w:ascii="Times New Roman" w:eastAsia="Times New Roman" w:hAnsi="Times New Roman" w:cs="Times New Roman"/>
          <w:sz w:val="24"/>
          <w:szCs w:val="24"/>
          <w:lang w:val="en-NG" w:eastAsia="en-NG"/>
        </w:rPr>
        <w:t xml:space="preserve">Wetlands are ecologically sensitive environments where groundwater plays a vital role in sustaining hydrological balance, water quality, and ecosystem functions. Characterizing groundwater flow in wetland aquifers is challenging due to heterogeneous lithology, fluctuating water levels, and variable hydraulic properties. This study investigates groundwater flow dynamics within a wetland system covering Aviara, </w:t>
      </w:r>
      <w:proofErr w:type="spellStart"/>
      <w:r w:rsidRPr="00F46513">
        <w:rPr>
          <w:rFonts w:ascii="Times New Roman" w:eastAsia="Times New Roman" w:hAnsi="Times New Roman" w:cs="Times New Roman"/>
          <w:sz w:val="24"/>
          <w:szCs w:val="24"/>
          <w:lang w:val="en-NG" w:eastAsia="en-NG"/>
        </w:rPr>
        <w:t>Uzere</w:t>
      </w:r>
      <w:proofErr w:type="spellEnd"/>
      <w:r w:rsidRPr="00F46513">
        <w:rPr>
          <w:rFonts w:ascii="Times New Roman" w:eastAsia="Times New Roman" w:hAnsi="Times New Roman" w:cs="Times New Roman"/>
          <w:sz w:val="24"/>
          <w:szCs w:val="24"/>
          <w:lang w:val="en-NG" w:eastAsia="en-NG"/>
        </w:rPr>
        <w:t xml:space="preserve">, </w:t>
      </w:r>
      <w:proofErr w:type="spellStart"/>
      <w:r w:rsidRPr="00F46513">
        <w:rPr>
          <w:rFonts w:ascii="Times New Roman" w:eastAsia="Times New Roman" w:hAnsi="Times New Roman" w:cs="Times New Roman"/>
          <w:sz w:val="24"/>
          <w:szCs w:val="24"/>
          <w:lang w:val="en-NG" w:eastAsia="en-NG"/>
        </w:rPr>
        <w:t>Ibedeni</w:t>
      </w:r>
      <w:proofErr w:type="spellEnd"/>
      <w:r w:rsidRPr="00F46513">
        <w:rPr>
          <w:rFonts w:ascii="Times New Roman" w:eastAsia="Times New Roman" w:hAnsi="Times New Roman" w:cs="Times New Roman"/>
          <w:sz w:val="24"/>
          <w:szCs w:val="24"/>
          <w:lang w:val="en-NG" w:eastAsia="en-NG"/>
        </w:rPr>
        <w:t>, and Aboh</w:t>
      </w:r>
      <w:r w:rsidR="001A60C8">
        <w:rPr>
          <w:rFonts w:ascii="Times New Roman" w:eastAsia="Times New Roman" w:hAnsi="Times New Roman" w:cs="Times New Roman"/>
          <w:sz w:val="24"/>
          <w:szCs w:val="24"/>
          <w:lang w:val="en-NG" w:eastAsia="en-NG"/>
        </w:rPr>
        <w:t>, in Delta State, Nigeria</w:t>
      </w:r>
      <w:r w:rsidRPr="00F46513">
        <w:rPr>
          <w:rFonts w:ascii="Times New Roman" w:eastAsia="Times New Roman" w:hAnsi="Times New Roman" w:cs="Times New Roman"/>
          <w:sz w:val="24"/>
          <w:szCs w:val="24"/>
          <w:lang w:val="en-NG" w:eastAsia="en-NG"/>
        </w:rPr>
        <w:t xml:space="preserve"> using a three-dimensional numerical </w:t>
      </w:r>
      <w:proofErr w:type="spellStart"/>
      <w:r w:rsidRPr="00F46513">
        <w:rPr>
          <w:rFonts w:ascii="Times New Roman" w:eastAsia="Times New Roman" w:hAnsi="Times New Roman" w:cs="Times New Roman"/>
          <w:sz w:val="24"/>
          <w:szCs w:val="24"/>
          <w:lang w:val="en-NG" w:eastAsia="en-NG"/>
        </w:rPr>
        <w:t>modeling</w:t>
      </w:r>
      <w:proofErr w:type="spellEnd"/>
      <w:r w:rsidRPr="00F46513">
        <w:rPr>
          <w:rFonts w:ascii="Times New Roman" w:eastAsia="Times New Roman" w:hAnsi="Times New Roman" w:cs="Times New Roman"/>
          <w:sz w:val="24"/>
          <w:szCs w:val="24"/>
          <w:lang w:val="en-NG" w:eastAsia="en-NG"/>
        </w:rPr>
        <w:t xml:space="preserve"> approach.</w:t>
      </w:r>
      <w:r>
        <w:rPr>
          <w:rFonts w:ascii="Times New Roman" w:eastAsia="Times New Roman" w:hAnsi="Times New Roman" w:cs="Times New Roman"/>
          <w:sz w:val="24"/>
          <w:szCs w:val="24"/>
          <w:lang w:val="en-NG" w:eastAsia="en-NG"/>
        </w:rPr>
        <w:t xml:space="preserve"> </w:t>
      </w:r>
      <w:r w:rsidRPr="00F46513">
        <w:rPr>
          <w:rFonts w:ascii="Times New Roman" w:eastAsia="Times New Roman" w:hAnsi="Times New Roman" w:cs="Times New Roman"/>
          <w:sz w:val="24"/>
          <w:szCs w:val="24"/>
          <w:lang w:val="en-NG" w:eastAsia="en-NG"/>
        </w:rPr>
        <w:t xml:space="preserve">A conceptual hydrogeologic model was developed from lithologic logs, hydraulic parameters, and measured groundwater levels. The model domain was </w:t>
      </w:r>
      <w:proofErr w:type="spellStart"/>
      <w:r w:rsidRPr="00F46513">
        <w:rPr>
          <w:rFonts w:ascii="Times New Roman" w:eastAsia="Times New Roman" w:hAnsi="Times New Roman" w:cs="Times New Roman"/>
          <w:sz w:val="24"/>
          <w:szCs w:val="24"/>
          <w:lang w:val="en-NG" w:eastAsia="en-NG"/>
        </w:rPr>
        <w:t>discretized</w:t>
      </w:r>
      <w:proofErr w:type="spellEnd"/>
      <w:r w:rsidRPr="00F46513">
        <w:rPr>
          <w:rFonts w:ascii="Times New Roman" w:eastAsia="Times New Roman" w:hAnsi="Times New Roman" w:cs="Times New Roman"/>
          <w:sz w:val="24"/>
          <w:szCs w:val="24"/>
          <w:lang w:val="en-NG" w:eastAsia="en-NG"/>
        </w:rPr>
        <w:t xml:space="preserve"> into multiple layers to represent vertical and lateral variations in aquifer geometry, and boundary conditions were defined to simulate natural recharge and discharge processes. Steady-state groundwater flow simulations were conducted using the MODFLOW code to evaluate hydraulic head distribution and groundwater flow paths.</w:t>
      </w:r>
      <w:r w:rsidR="00955A40">
        <w:rPr>
          <w:rFonts w:ascii="Times New Roman" w:eastAsia="Times New Roman" w:hAnsi="Times New Roman" w:cs="Times New Roman"/>
          <w:sz w:val="24"/>
          <w:szCs w:val="24"/>
          <w:lang w:val="en-NG" w:eastAsia="en-NG"/>
        </w:rPr>
        <w:t xml:space="preserve"> </w:t>
      </w:r>
      <w:r w:rsidRPr="00F46513">
        <w:rPr>
          <w:rFonts w:ascii="Times New Roman" w:eastAsia="Times New Roman" w:hAnsi="Times New Roman" w:cs="Times New Roman"/>
          <w:sz w:val="24"/>
          <w:szCs w:val="24"/>
          <w:lang w:val="en-NG" w:eastAsia="en-NG"/>
        </w:rPr>
        <w:t xml:space="preserve">Results show that groundwater predominantly flows from high-head recharge areas toward lower-head wetland zones, particularly toward Wells 5–9, 1–4, and 12. Simulated groundwater flow rates range from −0.0064 m/day to 0.00692 m/day. Regional flow directions are mainly from Aviara toward </w:t>
      </w:r>
      <w:proofErr w:type="spellStart"/>
      <w:r w:rsidRPr="00F46513">
        <w:rPr>
          <w:rFonts w:ascii="Times New Roman" w:eastAsia="Times New Roman" w:hAnsi="Times New Roman" w:cs="Times New Roman"/>
          <w:sz w:val="24"/>
          <w:szCs w:val="24"/>
          <w:lang w:val="en-NG" w:eastAsia="en-NG"/>
        </w:rPr>
        <w:t>Idheze</w:t>
      </w:r>
      <w:proofErr w:type="spellEnd"/>
      <w:r w:rsidRPr="00F46513">
        <w:rPr>
          <w:rFonts w:ascii="Times New Roman" w:eastAsia="Times New Roman" w:hAnsi="Times New Roman" w:cs="Times New Roman"/>
          <w:sz w:val="24"/>
          <w:szCs w:val="24"/>
          <w:lang w:val="en-NG" w:eastAsia="en-NG"/>
        </w:rPr>
        <w:t xml:space="preserve"> and from </w:t>
      </w:r>
      <w:proofErr w:type="spellStart"/>
      <w:r w:rsidRPr="00F46513">
        <w:rPr>
          <w:rFonts w:ascii="Times New Roman" w:eastAsia="Times New Roman" w:hAnsi="Times New Roman" w:cs="Times New Roman"/>
          <w:sz w:val="24"/>
          <w:szCs w:val="24"/>
          <w:lang w:val="en-NG" w:eastAsia="en-NG"/>
        </w:rPr>
        <w:t>Uzere</w:t>
      </w:r>
      <w:proofErr w:type="spellEnd"/>
      <w:r w:rsidRPr="00F46513">
        <w:rPr>
          <w:rFonts w:ascii="Times New Roman" w:eastAsia="Times New Roman" w:hAnsi="Times New Roman" w:cs="Times New Roman"/>
          <w:sz w:val="24"/>
          <w:szCs w:val="24"/>
          <w:lang w:val="en-NG" w:eastAsia="en-NG"/>
        </w:rPr>
        <w:t xml:space="preserve"> toward Aboh, while localized flow reversals occur between </w:t>
      </w:r>
      <w:proofErr w:type="spellStart"/>
      <w:r w:rsidRPr="00F46513">
        <w:rPr>
          <w:rFonts w:ascii="Times New Roman" w:eastAsia="Times New Roman" w:hAnsi="Times New Roman" w:cs="Times New Roman"/>
          <w:sz w:val="24"/>
          <w:szCs w:val="24"/>
          <w:lang w:val="en-NG" w:eastAsia="en-NG"/>
        </w:rPr>
        <w:t>Idheze</w:t>
      </w:r>
      <w:proofErr w:type="spellEnd"/>
      <w:r w:rsidRPr="00F46513">
        <w:rPr>
          <w:rFonts w:ascii="Times New Roman" w:eastAsia="Times New Roman" w:hAnsi="Times New Roman" w:cs="Times New Roman"/>
          <w:sz w:val="24"/>
          <w:szCs w:val="24"/>
          <w:lang w:val="en-NG" w:eastAsia="en-NG"/>
        </w:rPr>
        <w:t>–</w:t>
      </w:r>
      <w:proofErr w:type="spellStart"/>
      <w:r w:rsidRPr="00F46513">
        <w:rPr>
          <w:rFonts w:ascii="Times New Roman" w:eastAsia="Times New Roman" w:hAnsi="Times New Roman" w:cs="Times New Roman"/>
          <w:sz w:val="24"/>
          <w:szCs w:val="24"/>
          <w:lang w:val="en-NG" w:eastAsia="en-NG"/>
        </w:rPr>
        <w:t>Ivrogbo</w:t>
      </w:r>
      <w:proofErr w:type="spellEnd"/>
      <w:r w:rsidRPr="00F46513">
        <w:rPr>
          <w:rFonts w:ascii="Times New Roman" w:eastAsia="Times New Roman" w:hAnsi="Times New Roman" w:cs="Times New Roman"/>
          <w:sz w:val="24"/>
          <w:szCs w:val="24"/>
          <w:lang w:val="en-NG" w:eastAsia="en-NG"/>
        </w:rPr>
        <w:t xml:space="preserve"> and Aboh–</w:t>
      </w:r>
      <w:proofErr w:type="spellStart"/>
      <w:r w:rsidRPr="00F46513">
        <w:rPr>
          <w:rFonts w:ascii="Times New Roman" w:eastAsia="Times New Roman" w:hAnsi="Times New Roman" w:cs="Times New Roman"/>
          <w:sz w:val="24"/>
          <w:szCs w:val="24"/>
          <w:lang w:val="en-NG" w:eastAsia="en-NG"/>
        </w:rPr>
        <w:t>Ibedeni</w:t>
      </w:r>
      <w:proofErr w:type="spellEnd"/>
      <w:r w:rsidRPr="00F46513">
        <w:rPr>
          <w:rFonts w:ascii="Times New Roman" w:eastAsia="Times New Roman" w:hAnsi="Times New Roman" w:cs="Times New Roman"/>
          <w:sz w:val="24"/>
          <w:szCs w:val="24"/>
          <w:lang w:val="en-NG" w:eastAsia="en-NG"/>
        </w:rPr>
        <w:t>. These patterns highlight significant spatial variability in groundwater movement and enable effective delineation of recharge and discharge zones within the wetland aquifer system.</w:t>
      </w:r>
      <w:r w:rsidR="00955A40">
        <w:rPr>
          <w:rFonts w:ascii="Times New Roman" w:eastAsia="Times New Roman" w:hAnsi="Times New Roman" w:cs="Times New Roman"/>
          <w:sz w:val="24"/>
          <w:szCs w:val="24"/>
          <w:lang w:val="en-NG" w:eastAsia="en-NG"/>
        </w:rPr>
        <w:t xml:space="preserve"> </w:t>
      </w:r>
      <w:r w:rsidRPr="00F46513">
        <w:rPr>
          <w:rFonts w:ascii="Times New Roman" w:eastAsia="Times New Roman" w:hAnsi="Times New Roman" w:cs="Times New Roman"/>
          <w:sz w:val="24"/>
          <w:szCs w:val="24"/>
          <w:lang w:val="en-NG" w:eastAsia="en-NG"/>
        </w:rPr>
        <w:t xml:space="preserve">Overall, the study demonstrates the applicability of three-dimensional MODFLOW </w:t>
      </w:r>
      <w:proofErr w:type="spellStart"/>
      <w:r w:rsidRPr="00F46513">
        <w:rPr>
          <w:rFonts w:ascii="Times New Roman" w:eastAsia="Times New Roman" w:hAnsi="Times New Roman" w:cs="Times New Roman"/>
          <w:sz w:val="24"/>
          <w:szCs w:val="24"/>
          <w:lang w:val="en-NG" w:eastAsia="en-NG"/>
        </w:rPr>
        <w:t>modeling</w:t>
      </w:r>
      <w:proofErr w:type="spellEnd"/>
      <w:r w:rsidRPr="00F46513">
        <w:rPr>
          <w:rFonts w:ascii="Times New Roman" w:eastAsia="Times New Roman" w:hAnsi="Times New Roman" w:cs="Times New Roman"/>
          <w:sz w:val="24"/>
          <w:szCs w:val="24"/>
          <w:lang w:val="en-NG" w:eastAsia="en-NG"/>
        </w:rPr>
        <w:t xml:space="preserve"> for characterizing complex wetland hydrogeology and provides a scientific framework to support sustainable groundwater and wetland resource management.</w:t>
      </w:r>
    </w:p>
    <w:p w14:paraId="11D14C3F" w14:textId="62F53533" w:rsidR="00A60ADA" w:rsidRPr="00480363" w:rsidRDefault="00453507" w:rsidP="00804B7E">
      <w:pPr>
        <w:spacing w:line="360" w:lineRule="auto"/>
        <w:rPr>
          <w:rFonts w:ascii="Times New Roman" w:hAnsi="Times New Roman" w:cs="Times New Roman"/>
          <w:sz w:val="24"/>
          <w:szCs w:val="24"/>
        </w:rPr>
      </w:pPr>
      <w:r w:rsidRPr="00094ECA">
        <w:rPr>
          <w:rFonts w:ascii="Times New Roman" w:hAnsi="Times New Roman" w:cs="Times New Roman"/>
          <w:sz w:val="24"/>
          <w:szCs w:val="24"/>
        </w:rPr>
        <w:t>Keywords:</w:t>
      </w:r>
      <w:r>
        <w:rPr>
          <w:rFonts w:ascii="Times New Roman" w:hAnsi="Times New Roman" w:cs="Times New Roman"/>
          <w:sz w:val="24"/>
          <w:szCs w:val="24"/>
        </w:rPr>
        <w:t xml:space="preserve">  Aquifer systems; Groundwater flow modelling; Wetlands; Hydraulic </w:t>
      </w:r>
      <w:r w:rsidR="004122FD">
        <w:rPr>
          <w:rFonts w:ascii="Times New Roman" w:hAnsi="Times New Roman" w:cs="Times New Roman"/>
          <w:sz w:val="24"/>
          <w:szCs w:val="24"/>
        </w:rPr>
        <w:t>head distributions</w:t>
      </w:r>
      <w:r>
        <w:rPr>
          <w:rFonts w:ascii="Times New Roman" w:hAnsi="Times New Roman" w:cs="Times New Roman"/>
          <w:sz w:val="24"/>
          <w:szCs w:val="24"/>
        </w:rPr>
        <w:t>;</w:t>
      </w:r>
      <w:r w:rsidR="004122FD">
        <w:rPr>
          <w:rFonts w:ascii="Times New Roman" w:hAnsi="Times New Roman" w:cs="Times New Roman"/>
          <w:sz w:val="24"/>
          <w:szCs w:val="24"/>
        </w:rPr>
        <w:t xml:space="preserve"> </w:t>
      </w:r>
      <w:r>
        <w:rPr>
          <w:rFonts w:ascii="Times New Roman" w:hAnsi="Times New Roman" w:cs="Times New Roman"/>
          <w:sz w:val="24"/>
          <w:szCs w:val="24"/>
        </w:rPr>
        <w:t>Recharge and Discharge Zones.</w:t>
      </w:r>
    </w:p>
    <w:sectPr w:rsidR="00A60ADA" w:rsidRPr="0048036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xNDCyMDYwMTIzN7YAIiUdpeDU4uLM/DyQAuNaAFlUEcwsAAAA"/>
  </w:docVars>
  <w:rsids>
    <w:rsidRoot w:val="003926D0"/>
    <w:rsid w:val="00085029"/>
    <w:rsid w:val="000E4F3A"/>
    <w:rsid w:val="001A60C8"/>
    <w:rsid w:val="001D1450"/>
    <w:rsid w:val="001F1A05"/>
    <w:rsid w:val="002E65BD"/>
    <w:rsid w:val="00333EF1"/>
    <w:rsid w:val="003926D0"/>
    <w:rsid w:val="004122FD"/>
    <w:rsid w:val="00453507"/>
    <w:rsid w:val="0063552A"/>
    <w:rsid w:val="00750F54"/>
    <w:rsid w:val="007A2A8A"/>
    <w:rsid w:val="00804B7E"/>
    <w:rsid w:val="00821F36"/>
    <w:rsid w:val="009328F4"/>
    <w:rsid w:val="00955A40"/>
    <w:rsid w:val="00A60ADA"/>
    <w:rsid w:val="00BB77ED"/>
    <w:rsid w:val="00D27707"/>
    <w:rsid w:val="00D33100"/>
    <w:rsid w:val="00E3222E"/>
    <w:rsid w:val="00E60EE7"/>
    <w:rsid w:val="00E8771B"/>
    <w:rsid w:val="00EB001B"/>
    <w:rsid w:val="00F46513"/>
    <w:rsid w:val="00FE4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1B461"/>
  <w15:chartTrackingRefBased/>
  <w15:docId w15:val="{5C8118DD-FFA8-42B3-B710-3E4B5FEA3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926D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926D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940106">
      <w:bodyDiv w:val="1"/>
      <w:marLeft w:val="0"/>
      <w:marRight w:val="0"/>
      <w:marTop w:val="0"/>
      <w:marBottom w:val="0"/>
      <w:divBdr>
        <w:top w:val="none" w:sz="0" w:space="0" w:color="auto"/>
        <w:left w:val="none" w:sz="0" w:space="0" w:color="auto"/>
        <w:bottom w:val="none" w:sz="0" w:space="0" w:color="auto"/>
        <w:right w:val="none" w:sz="0" w:space="0" w:color="auto"/>
      </w:divBdr>
    </w:div>
    <w:div w:id="1020736578">
      <w:bodyDiv w:val="1"/>
      <w:marLeft w:val="0"/>
      <w:marRight w:val="0"/>
      <w:marTop w:val="0"/>
      <w:marBottom w:val="0"/>
      <w:divBdr>
        <w:top w:val="none" w:sz="0" w:space="0" w:color="auto"/>
        <w:left w:val="none" w:sz="0" w:space="0" w:color="auto"/>
        <w:bottom w:val="none" w:sz="0" w:space="0" w:color="auto"/>
        <w:right w:val="none" w:sz="0" w:space="0" w:color="auto"/>
      </w:divBdr>
    </w:div>
    <w:div w:id="1373654172">
      <w:bodyDiv w:val="1"/>
      <w:marLeft w:val="0"/>
      <w:marRight w:val="0"/>
      <w:marTop w:val="0"/>
      <w:marBottom w:val="0"/>
      <w:divBdr>
        <w:top w:val="none" w:sz="0" w:space="0" w:color="auto"/>
        <w:left w:val="none" w:sz="0" w:space="0" w:color="auto"/>
        <w:bottom w:val="none" w:sz="0" w:space="0" w:color="auto"/>
        <w:right w:val="none" w:sz="0" w:space="0" w:color="auto"/>
      </w:divBdr>
    </w:div>
    <w:div w:id="2040691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343</Words>
  <Characters>1961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PRECIOUS</dc:creator>
  <cp:keywords/>
  <dc:description/>
  <cp:lastModifiedBy>Merrious Ofomola</cp:lastModifiedBy>
  <cp:revision>2</cp:revision>
  <dcterms:created xsi:type="dcterms:W3CDTF">2026-01-09T20:46:00Z</dcterms:created>
  <dcterms:modified xsi:type="dcterms:W3CDTF">2026-01-09T20:46:00Z</dcterms:modified>
</cp:coreProperties>
</file>