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93CAC" w14:textId="20A023C7" w:rsidR="00AE24AB" w:rsidRDefault="00BD131E" w:rsidP="00AE24AB">
      <w:pPr>
        <w:jc w:val="center"/>
        <w:rPr>
          <w:lang w:val="en-CA"/>
        </w:rPr>
      </w:pPr>
      <w:r w:rsidRPr="00BD131E">
        <w:rPr>
          <w:rFonts w:ascii="Arial" w:hAnsi="Arial" w:cs="Arial"/>
          <w:b/>
          <w:bCs/>
          <w:sz w:val="30"/>
          <w:szCs w:val="30"/>
          <w:lang w:val="en-CA"/>
        </w:rPr>
        <w:t>Optimising a non-invasive viscosity measurement with portable NMR</w:t>
      </w:r>
      <w:r>
        <w:rPr>
          <w:rFonts w:ascii="Arial" w:hAnsi="Arial" w:cs="Arial"/>
          <w:sz w:val="30"/>
          <w:szCs w:val="30"/>
          <w:lang w:val="en-CA"/>
        </w:rPr>
        <w:br/>
      </w:r>
      <w:r w:rsidR="00EA3E3B" w:rsidRPr="5D79B007">
        <w:rPr>
          <w:rFonts w:ascii="Arial" w:hAnsi="Arial" w:cs="Arial"/>
          <w:sz w:val="30"/>
          <w:szCs w:val="30"/>
          <w:lang w:val="en-CA"/>
        </w:rPr>
        <w:t>2026 CAP Congress – Abstract Submission</w:t>
      </w:r>
      <w:r w:rsidR="00BB1558" w:rsidRPr="00FF2061">
        <w:rPr>
          <w:lang w:val="en-US"/>
        </w:rPr>
        <w:br/>
      </w:r>
      <w:r w:rsidR="00EA3E3B" w:rsidRPr="5D79B007">
        <w:rPr>
          <w:rFonts w:ascii="Arial" w:hAnsi="Arial" w:cs="Arial"/>
          <w:sz w:val="30"/>
          <w:szCs w:val="30"/>
          <w:u w:val="single"/>
          <w:lang w:val="en-CA"/>
        </w:rPr>
        <w:t>Vincent Belzile</w:t>
      </w:r>
      <w:r w:rsidR="00023999" w:rsidRPr="5D79B007">
        <w:rPr>
          <w:rFonts w:ascii="Arial" w:hAnsi="Arial" w:cs="Arial"/>
          <w:sz w:val="30"/>
          <w:szCs w:val="30"/>
          <w:lang w:val="en-CA"/>
        </w:rPr>
        <w:t xml:space="preserve">, Igor </w:t>
      </w:r>
      <w:proofErr w:type="spellStart"/>
      <w:r w:rsidR="00023999" w:rsidRPr="5D79B007">
        <w:rPr>
          <w:rFonts w:ascii="Arial" w:hAnsi="Arial" w:cs="Arial"/>
          <w:sz w:val="30"/>
          <w:szCs w:val="30"/>
          <w:lang w:val="en-CA"/>
        </w:rPr>
        <w:t>Mastikhin</w:t>
      </w:r>
      <w:proofErr w:type="spellEnd"/>
      <w:r w:rsidR="00BB1558" w:rsidRPr="00FF2061">
        <w:rPr>
          <w:lang w:val="en-US"/>
        </w:rPr>
        <w:br/>
      </w:r>
      <w:r w:rsidR="00EA3E3B" w:rsidRPr="5D79B007">
        <w:rPr>
          <w:rFonts w:ascii="Arial" w:hAnsi="Arial" w:cs="Arial"/>
          <w:sz w:val="30"/>
          <w:szCs w:val="30"/>
          <w:lang w:val="en-CA"/>
        </w:rPr>
        <w:t>University of New Brunswick</w:t>
      </w:r>
      <w:r w:rsidR="00EA3E3B">
        <w:rPr>
          <w:lang w:val="en-CA"/>
        </w:rPr>
        <w:br/>
      </w:r>
    </w:p>
    <w:p w14:paraId="29991798" w14:textId="22BBD28D" w:rsidR="5D79B007" w:rsidRDefault="00AE24AB" w:rsidP="00AE24AB">
      <w:pPr>
        <w:jc w:val="both"/>
        <w:rPr>
          <w:lang w:val="en-CA"/>
        </w:rPr>
      </w:pPr>
      <w:r>
        <w:rPr>
          <w:noProof/>
          <w:lang w:val="en-CA"/>
        </w:rPr>
        <w:drawing>
          <wp:anchor distT="0" distB="0" distL="114300" distR="114300" simplePos="0" relativeHeight="251658240" behindDoc="0" locked="0" layoutInCell="1" allowOverlap="1" wp14:anchorId="733C86B6" wp14:editId="31BF75FF">
            <wp:simplePos x="0" y="0"/>
            <wp:positionH relativeFrom="margin">
              <wp:align>center</wp:align>
            </wp:positionH>
            <wp:positionV relativeFrom="paragraph">
              <wp:posOffset>3044190</wp:posOffset>
            </wp:positionV>
            <wp:extent cx="4975860" cy="3032760"/>
            <wp:effectExtent l="0" t="0" r="0" b="0"/>
            <wp:wrapTopAndBottom/>
            <wp:docPr id="8490030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003030" name="Picture 849003030"/>
                    <pic:cNvPicPr/>
                  </pic:nvPicPr>
                  <pic:blipFill>
                    <a:blip r:embed="rId4">
                      <a:extLst>
                        <a:ext uri="{28A0092B-C50C-407E-A947-70E740481C1C}">
                          <a14:useLocalDpi xmlns:a14="http://schemas.microsoft.com/office/drawing/2010/main" val="0"/>
                        </a:ext>
                      </a:extLst>
                    </a:blip>
                    <a:stretch>
                      <a:fillRect/>
                    </a:stretch>
                  </pic:blipFill>
                  <pic:spPr>
                    <a:xfrm>
                      <a:off x="0" y="0"/>
                      <a:ext cx="4975860" cy="303276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1312" behindDoc="0" locked="0" layoutInCell="1" allowOverlap="1" wp14:anchorId="13CE9F5A" wp14:editId="47A6F750">
                <wp:simplePos x="0" y="0"/>
                <wp:positionH relativeFrom="margin">
                  <wp:align>center</wp:align>
                </wp:positionH>
                <wp:positionV relativeFrom="paragraph">
                  <wp:posOffset>6352540</wp:posOffset>
                </wp:positionV>
                <wp:extent cx="5227320" cy="701675"/>
                <wp:effectExtent l="0" t="0" r="0" b="4445"/>
                <wp:wrapTopAndBottom/>
                <wp:docPr id="581114207" name="Text Box 1"/>
                <wp:cNvGraphicFramePr/>
                <a:graphic xmlns:a="http://schemas.openxmlformats.org/drawingml/2006/main">
                  <a:graphicData uri="http://schemas.microsoft.com/office/word/2010/wordprocessingShape">
                    <wps:wsp>
                      <wps:cNvSpPr/>
                      <wps:spPr>
                        <a:xfrm>
                          <a:off x="0" y="0"/>
                          <a:ext cx="5227320" cy="701675"/>
                        </a:xfrm>
                        <a:prstGeom prst="rect">
                          <a:avLst/>
                        </a:prstGeom>
                        <a:solidFill>
                          <a:srgbClr val="FFFFFF"/>
                        </a:solidFill>
                        <a:ln>
                          <a:noFill/>
                        </a:ln>
                      </wps:spPr>
                      <wps:txbx>
                        <w:txbxContent>
                          <w:p w14:paraId="1B6306E5" w14:textId="0FA33469" w:rsidR="005526C8" w:rsidRPr="00FF2061" w:rsidRDefault="00000000" w:rsidP="008817FE">
                            <w:pPr>
                              <w:spacing w:line="276" w:lineRule="auto"/>
                              <w:rPr>
                                <w:rFonts w:ascii="Arial" w:hAnsi="Arial" w:cs="Arial"/>
                                <w:kern w:val="0"/>
                                <w:sz w:val="20"/>
                                <w:szCs w:val="20"/>
                                <w:lang w:val="en-US"/>
                                <w14:ligatures w14:val="none"/>
                              </w:rPr>
                            </w:pPr>
                            <w:r w:rsidRPr="00FF2061">
                              <w:rPr>
                                <w:rFonts w:ascii="Arial" w:hAnsi="Arial" w:cs="Arial"/>
                                <w:sz w:val="20"/>
                                <w:szCs w:val="20"/>
                                <w:lang w:val="en-US"/>
                              </w:rPr>
                              <w:t>Figure 1: Simulation of NMR echo signal magnitude against echo time</w:t>
                            </w:r>
                            <w:r w:rsidRPr="00FF2061">
                              <w:rPr>
                                <w:rFonts w:ascii="Arial" w:hAnsi="Arial" w:cs="Arial"/>
                                <w:color w:val="000000"/>
                                <w:sz w:val="20"/>
                                <w:szCs w:val="20"/>
                                <w:lang w:val="en-US"/>
                              </w:rPr>
                              <w:t xml:space="preserve"> for a 10-mm </w:t>
                            </w:r>
                            <w:r w:rsidR="00AE24AB">
                              <w:rPr>
                                <w:rFonts w:ascii="Arial" w:hAnsi="Arial" w:cs="Arial"/>
                                <w:color w:val="000000"/>
                                <w:sz w:val="20"/>
                                <w:szCs w:val="20"/>
                                <w:lang w:val="en-US"/>
                              </w:rPr>
                              <w:t xml:space="preserve">diameter </w:t>
                            </w:r>
                            <w:r w:rsidRPr="00FF2061">
                              <w:rPr>
                                <w:rFonts w:ascii="Arial" w:hAnsi="Arial" w:cs="Arial"/>
                                <w:color w:val="000000"/>
                                <w:sz w:val="20"/>
                                <w:szCs w:val="20"/>
                                <w:lang w:val="en-US"/>
                              </w:rPr>
                              <w:t xml:space="preserve">cylinder </w:t>
                            </w:r>
                            <w:r w:rsidRPr="00FF2061">
                              <w:rPr>
                                <w:rFonts w:ascii="Arial" w:hAnsi="Arial" w:cs="Arial"/>
                                <w:sz w:val="20"/>
                                <w:szCs w:val="20"/>
                                <w:lang w:val="en-US"/>
                              </w:rPr>
                              <w:t>with a rotation rate of 6.5 rad/s and a magnetic gradient strength of 250 G/cm</w:t>
                            </w:r>
                            <w:r w:rsidRPr="00FF2061">
                              <w:rPr>
                                <w:rFonts w:ascii="Arial" w:hAnsi="Arial" w:cs="Arial"/>
                                <w:color w:val="000000"/>
                                <w:sz w:val="20"/>
                                <w:szCs w:val="20"/>
                                <w:lang w:val="en-US"/>
                              </w:rPr>
                              <w:t>: p</w:t>
                            </w:r>
                            <w:r w:rsidRPr="00FF2061">
                              <w:rPr>
                                <w:rFonts w:ascii="Arial" w:hAnsi="Arial" w:cs="Arial"/>
                                <w:sz w:val="20"/>
                                <w:szCs w:val="20"/>
                                <w:lang w:val="en-US"/>
                              </w:rPr>
                              <w:t>hase interference-</w:t>
                            </w:r>
                            <w:proofErr w:type="gramStart"/>
                            <w:r w:rsidRPr="00FF2061">
                              <w:rPr>
                                <w:rFonts w:ascii="Arial" w:hAnsi="Arial" w:cs="Arial"/>
                                <w:sz w:val="20"/>
                                <w:szCs w:val="20"/>
                                <w:lang w:val="en-US"/>
                              </w:rPr>
                              <w:t>induced  (</w:t>
                            </w:r>
                            <w:proofErr w:type="gramEnd"/>
                            <w:r w:rsidRPr="00FF2061">
                              <w:rPr>
                                <w:rFonts w:ascii="Arial" w:hAnsi="Arial" w:cs="Arial"/>
                                <w:sz w:val="20"/>
                                <w:szCs w:val="20"/>
                                <w:lang w:val="en-US"/>
                              </w:rPr>
                              <w:t>Red) and diffusion-induced attenuation (Blue).</w:t>
                            </w:r>
                          </w:p>
                        </w:txbxContent>
                      </wps:txbx>
                      <wps:bodyPr spcFirstLastPara="0" wrap="square" lIns="0" tIns="0" rIns="0" bIns="0" anchor="t">
                        <a:spAutoFit/>
                      </wps:bodyPr>
                    </wps:wsp>
                  </a:graphicData>
                </a:graphic>
              </wp:anchor>
            </w:drawing>
          </mc:Choice>
          <mc:Fallback>
            <w:pict>
              <v:rect w14:anchorId="13CE9F5A" id="Text Box 1" o:spid="_x0000_s1026" style="position:absolute;left:0;text-align:left;margin-left:0;margin-top:500.2pt;width:411.6pt;height:55.25pt;z-index:2516613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" stroked="f">
                <v:textbox style="mso-fit-shape-to-text:t" inset="0,0,0,0">
                  <w:txbxContent>
                    <w:p w14:paraId="1B6306E5" w14:textId="0FA33469" w:rsidR="005526C8" w:rsidRPr="00FF2061" w:rsidRDefault="00000000" w:rsidP="008817FE">
                      <w:pPr>
                        <w:spacing w:line="276" w:lineRule="auto"/>
                        <w:rPr>
                          <w:rFonts w:ascii="Arial" w:hAnsi="Arial" w:cs="Arial"/>
                          <w:kern w:val="0"/>
                          <w:sz w:val="20"/>
                          <w:szCs w:val="20"/>
                          <w:lang w:val="en-US"/>
                          <w14:ligatures w14:val="none"/>
                        </w:rPr>
                      </w:pPr>
                      <w:r w:rsidRPr="00FF2061">
                        <w:rPr>
                          <w:rFonts w:ascii="Arial" w:hAnsi="Arial" w:cs="Arial"/>
                          <w:sz w:val="20"/>
                          <w:szCs w:val="20"/>
                          <w:lang w:val="en-US"/>
                        </w:rPr>
                        <w:t>Figure 1: Simulation of NMR echo signal magnitude against echo time</w:t>
                      </w:r>
                      <w:r w:rsidRPr="00FF2061">
                        <w:rPr>
                          <w:rFonts w:ascii="Arial" w:hAnsi="Arial" w:cs="Arial"/>
                          <w:color w:val="000000"/>
                          <w:sz w:val="20"/>
                          <w:szCs w:val="20"/>
                          <w:lang w:val="en-US"/>
                        </w:rPr>
                        <w:t xml:space="preserve"> for a 10-mm </w:t>
                      </w:r>
                      <w:r w:rsidR="00AE24AB">
                        <w:rPr>
                          <w:rFonts w:ascii="Arial" w:hAnsi="Arial" w:cs="Arial"/>
                          <w:color w:val="000000"/>
                          <w:sz w:val="20"/>
                          <w:szCs w:val="20"/>
                          <w:lang w:val="en-US"/>
                        </w:rPr>
                        <w:t xml:space="preserve">diameter </w:t>
                      </w:r>
                      <w:r w:rsidRPr="00FF2061">
                        <w:rPr>
                          <w:rFonts w:ascii="Arial" w:hAnsi="Arial" w:cs="Arial"/>
                          <w:color w:val="000000"/>
                          <w:sz w:val="20"/>
                          <w:szCs w:val="20"/>
                          <w:lang w:val="en-US"/>
                        </w:rPr>
                        <w:t xml:space="preserve">cylinder </w:t>
                      </w:r>
                      <w:r w:rsidRPr="00FF2061">
                        <w:rPr>
                          <w:rFonts w:ascii="Arial" w:hAnsi="Arial" w:cs="Arial"/>
                          <w:sz w:val="20"/>
                          <w:szCs w:val="20"/>
                          <w:lang w:val="en-US"/>
                        </w:rPr>
                        <w:t>with a rotation rate of 6.5 rad/s and a magnetic gradient strength of 250 G/cm</w:t>
                      </w:r>
                      <w:r w:rsidRPr="00FF2061">
                        <w:rPr>
                          <w:rFonts w:ascii="Arial" w:hAnsi="Arial" w:cs="Arial"/>
                          <w:color w:val="000000"/>
                          <w:sz w:val="20"/>
                          <w:szCs w:val="20"/>
                          <w:lang w:val="en-US"/>
                        </w:rPr>
                        <w:t>: p</w:t>
                      </w:r>
                      <w:r w:rsidRPr="00FF2061">
                        <w:rPr>
                          <w:rFonts w:ascii="Arial" w:hAnsi="Arial" w:cs="Arial"/>
                          <w:sz w:val="20"/>
                          <w:szCs w:val="20"/>
                          <w:lang w:val="en-US"/>
                        </w:rPr>
                        <w:t>hase interference-</w:t>
                      </w:r>
                      <w:proofErr w:type="gramStart"/>
                      <w:r w:rsidRPr="00FF2061">
                        <w:rPr>
                          <w:rFonts w:ascii="Arial" w:hAnsi="Arial" w:cs="Arial"/>
                          <w:sz w:val="20"/>
                          <w:szCs w:val="20"/>
                          <w:lang w:val="en-US"/>
                        </w:rPr>
                        <w:t>induced  (</w:t>
                      </w:r>
                      <w:proofErr w:type="gramEnd"/>
                      <w:r w:rsidRPr="00FF2061">
                        <w:rPr>
                          <w:rFonts w:ascii="Arial" w:hAnsi="Arial" w:cs="Arial"/>
                          <w:sz w:val="20"/>
                          <w:szCs w:val="20"/>
                          <w:lang w:val="en-US"/>
                        </w:rPr>
                        <w:t>Red) and diffusion-induced attenuation (Blue).</w:t>
                      </w:r>
                    </w:p>
                  </w:txbxContent>
                </v:textbox>
                <w10:wrap type="topAndBottom" anchorx="margin"/>
              </v:rect>
            </w:pict>
          </mc:Fallback>
        </mc:AlternateContent>
      </w:r>
      <w:r w:rsidR="00CD0C95">
        <w:rPr>
          <w:lang w:val="en-CA"/>
        </w:rPr>
        <w:t xml:space="preserve">Fluid viscosity is typically measured using </w:t>
      </w:r>
      <w:r w:rsidR="003D3798">
        <w:rPr>
          <w:lang w:val="en-CA"/>
        </w:rPr>
        <w:t xml:space="preserve">invasive </w:t>
      </w:r>
      <w:r w:rsidR="005703E8">
        <w:rPr>
          <w:lang w:val="en-CA"/>
        </w:rPr>
        <w:t>techniques</w:t>
      </w:r>
      <w:r w:rsidR="00CD0C95">
        <w:rPr>
          <w:lang w:val="en-CA"/>
        </w:rPr>
        <w:t xml:space="preserve"> that </w:t>
      </w:r>
      <w:r w:rsidR="0000328D">
        <w:rPr>
          <w:lang w:val="en-CA"/>
        </w:rPr>
        <w:t>involve</w:t>
      </w:r>
      <w:r w:rsidR="00CD0C95">
        <w:rPr>
          <w:lang w:val="en-CA"/>
        </w:rPr>
        <w:t xml:space="preserve"> the handling</w:t>
      </w:r>
      <w:r w:rsidR="005703E8">
        <w:rPr>
          <w:lang w:val="en-CA"/>
        </w:rPr>
        <w:t xml:space="preserve"> </w:t>
      </w:r>
      <w:r w:rsidR="003D3798">
        <w:rPr>
          <w:lang w:val="en-CA"/>
        </w:rPr>
        <w:t>and</w:t>
      </w:r>
      <w:r w:rsidR="005703E8">
        <w:rPr>
          <w:lang w:val="en-CA"/>
        </w:rPr>
        <w:t xml:space="preserve"> probing of the fluid</w:t>
      </w:r>
      <w:r w:rsidR="00CD0C95">
        <w:rPr>
          <w:lang w:val="en-CA"/>
        </w:rPr>
        <w:t>.</w:t>
      </w:r>
      <w:r w:rsidR="005703E8">
        <w:rPr>
          <w:lang w:val="en-CA"/>
        </w:rPr>
        <w:t xml:space="preserve"> This </w:t>
      </w:r>
      <w:r w:rsidR="0000328D">
        <w:rPr>
          <w:lang w:val="en-CA"/>
        </w:rPr>
        <w:t>becomes</w:t>
      </w:r>
      <w:r w:rsidR="005703E8">
        <w:rPr>
          <w:lang w:val="en-CA"/>
        </w:rPr>
        <w:t xml:space="preserve"> an issue if the fluid</w:t>
      </w:r>
      <w:r w:rsidR="003D3798">
        <w:rPr>
          <w:lang w:val="en-CA"/>
        </w:rPr>
        <w:t xml:space="preserve"> needs to remain sealed due to hazardous properties or sensitivity to </w:t>
      </w:r>
      <w:r w:rsidR="00BC03AD">
        <w:rPr>
          <w:lang w:val="en-CA"/>
        </w:rPr>
        <w:t xml:space="preserve">shear stress, like </w:t>
      </w:r>
      <w:r w:rsidR="00A93C65">
        <w:rPr>
          <w:lang w:val="en-CA"/>
        </w:rPr>
        <w:t>biopolymer formulations</w:t>
      </w:r>
      <w:r w:rsidR="003D3798">
        <w:rPr>
          <w:lang w:val="en-CA"/>
        </w:rPr>
        <w:t>.</w:t>
      </w:r>
      <w:r w:rsidR="0000328D">
        <w:rPr>
          <w:lang w:val="en-CA"/>
        </w:rPr>
        <w:t xml:space="preserve"> To remedy this, a completely non-invasive measurement of the viscosity would be ideal.</w:t>
      </w:r>
      <w:r w:rsidR="00253FFF">
        <w:rPr>
          <w:lang w:val="en-CA"/>
        </w:rPr>
        <w:t xml:space="preserve"> Magnetic Resonance Imaging (MRI) is an effective </w:t>
      </w:r>
      <w:r w:rsidR="00942B48">
        <w:rPr>
          <w:lang w:val="en-CA"/>
        </w:rPr>
        <w:t xml:space="preserve">method that has been used extensively for rheological measurements. </w:t>
      </w:r>
      <w:r w:rsidR="00CC0B4C">
        <w:rPr>
          <w:lang w:val="en-CA"/>
        </w:rPr>
        <w:t>It also has the advantage of being able to</w:t>
      </w:r>
      <w:r w:rsidR="00253FFF">
        <w:rPr>
          <w:lang w:val="en-CA"/>
        </w:rPr>
        <w:t xml:space="preserve"> gather information through opaque boundaries, </w:t>
      </w:r>
      <w:r w:rsidR="00942B48">
        <w:rPr>
          <w:lang w:val="en-CA"/>
        </w:rPr>
        <w:t xml:space="preserve">opening the possibility of completely </w:t>
      </w:r>
      <w:r w:rsidR="00253FFF">
        <w:rPr>
          <w:lang w:val="en-CA"/>
        </w:rPr>
        <w:t>non-invasive measurements.</w:t>
      </w:r>
      <w:r w:rsidR="00942B48">
        <w:rPr>
          <w:lang w:val="en-CA"/>
        </w:rPr>
        <w:t xml:space="preserve"> In the presence of a magnetic field gradient,</w:t>
      </w:r>
      <w:r w:rsidR="00CC0B4C">
        <w:rPr>
          <w:lang w:val="en-CA"/>
        </w:rPr>
        <w:t xml:space="preserve"> the measurement becomes sensitive to motion. Variations in the velocity of the fluid </w:t>
      </w:r>
      <w:r w:rsidR="00E72193">
        <w:rPr>
          <w:lang w:val="en-CA"/>
        </w:rPr>
        <w:t>create</w:t>
      </w:r>
      <w:r w:rsidR="00CC0B4C">
        <w:rPr>
          <w:lang w:val="en-CA"/>
        </w:rPr>
        <w:t xml:space="preserve"> phase interference, which directly modulates the </w:t>
      </w:r>
      <w:r w:rsidR="00E72193">
        <w:rPr>
          <w:lang w:val="en-CA"/>
        </w:rPr>
        <w:t>magnitude of the gathered signal. In this work, the spin-up transition time of a rotating fluid cylinder is evaluated using phase interference and used to estimate the viscosity of the fluid.</w:t>
      </w:r>
      <w:r w:rsidR="00B40118">
        <w:rPr>
          <w:lang w:val="en-CA"/>
        </w:rPr>
        <w:t xml:space="preserve"> </w:t>
      </w:r>
      <w:r w:rsidR="002D0119">
        <w:rPr>
          <w:lang w:val="en-CA"/>
        </w:rPr>
        <w:t xml:space="preserve">Depending on the strength of the magnetic field gradient, the contribution of both diffusion and phase interference will vary. To minimize the effects of diffusion, simulations were made to estimate the ideal </w:t>
      </w:r>
      <w:r w:rsidR="00132FC3">
        <w:rPr>
          <w:lang w:val="en-CA"/>
        </w:rPr>
        <w:t>experimental parameters</w:t>
      </w:r>
      <w:r w:rsidR="002D0119">
        <w:rPr>
          <w:lang w:val="en-CA"/>
        </w:rPr>
        <w:t>.</w:t>
      </w:r>
    </w:p>
    <w:p w14:paraId="712AE6ED" w14:textId="70698E87" w:rsidR="00826F21" w:rsidRDefault="00AE24AB" w:rsidP="5D79B007">
      <w:pPr>
        <w:jc w:val="both"/>
        <w:rPr>
          <w:noProof/>
          <w:lang w:val="en-CA"/>
        </w:rPr>
      </w:pPr>
      <w:r w:rsidRPr="00A44ACE">
        <w:rPr>
          <w:noProof/>
          <w:lang w:val="en-CA"/>
        </w:rPr>
        <w:lastRenderedPageBreak/>
        <w:drawing>
          <wp:anchor distT="0" distB="0" distL="114300" distR="114300" simplePos="0" relativeHeight="251659264" behindDoc="0" locked="0" layoutInCell="1" allowOverlap="1" wp14:anchorId="13C44916" wp14:editId="7671063D">
            <wp:simplePos x="0" y="0"/>
            <wp:positionH relativeFrom="margin">
              <wp:align>center</wp:align>
            </wp:positionH>
            <wp:positionV relativeFrom="paragraph">
              <wp:posOffset>1558805</wp:posOffset>
            </wp:positionV>
            <wp:extent cx="3963638" cy="4621083"/>
            <wp:effectExtent l="0" t="0" r="0" b="8255"/>
            <wp:wrapTopAndBottom/>
            <wp:docPr id="3527386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738626" name=""/>
                    <pic:cNvPicPr/>
                  </pic:nvPicPr>
                  <pic:blipFill>
                    <a:blip r:embed="rId5">
                      <a:extLst>
                        <a:ext uri="{28A0092B-C50C-407E-A947-70E740481C1C}">
                          <a14:useLocalDpi xmlns:a14="http://schemas.microsoft.com/office/drawing/2010/main"/>
                        </a:ext>
                      </a:extLst>
                    </a:blip>
                    <a:stretch>
                      <a:fillRect/>
                    </a:stretch>
                  </pic:blipFill>
                  <pic:spPr>
                    <a:xfrm>
                      <a:off x="0" y="0"/>
                      <a:ext cx="3963638" cy="4621083"/>
                    </a:xfrm>
                    <a:prstGeom prst="rect">
                      <a:avLst/>
                    </a:prstGeom>
                  </pic:spPr>
                </pic:pic>
              </a:graphicData>
            </a:graphic>
            <wp14:sizeRelH relativeFrom="margin">
              <wp14:pctWidth>0</wp14:pctWidth>
            </wp14:sizeRelH>
            <wp14:sizeRelV relativeFrom="margin">
              <wp14:pctHeight>0</wp14:pctHeight>
            </wp14:sizeRelV>
          </wp:anchor>
        </w:drawing>
      </w:r>
      <w:r w:rsidR="00132FC3">
        <w:rPr>
          <w:lang w:val="en-CA"/>
        </w:rPr>
        <w:t xml:space="preserve">A previous implementation of this measurement </w:t>
      </w:r>
      <w:r w:rsidR="00FF2061">
        <w:rPr>
          <w:lang w:val="en-CA"/>
        </w:rPr>
        <w:t>done with a portable/handheld NMR device demonstrated</w:t>
      </w:r>
      <w:r w:rsidR="00132FC3">
        <w:rPr>
          <w:lang w:val="en-CA"/>
        </w:rPr>
        <w:t xml:space="preserve"> a dependence </w:t>
      </w:r>
      <w:r w:rsidR="00FF2061">
        <w:rPr>
          <w:lang w:val="en-CA"/>
        </w:rPr>
        <w:t xml:space="preserve">of the transition time </w:t>
      </w:r>
      <w:r w:rsidR="00132FC3">
        <w:rPr>
          <w:lang w:val="en-CA"/>
        </w:rPr>
        <w:t xml:space="preserve">on viscosity, but it </w:t>
      </w:r>
      <w:r w:rsidR="00CE7A5C">
        <w:rPr>
          <w:lang w:val="en-CA"/>
        </w:rPr>
        <w:t xml:space="preserve">had </w:t>
      </w:r>
      <w:r w:rsidR="00AF3C6F">
        <w:rPr>
          <w:lang w:val="en-CA"/>
        </w:rPr>
        <w:t xml:space="preserve">a </w:t>
      </w:r>
      <w:r w:rsidR="00CE7A5C">
        <w:rPr>
          <w:lang w:val="en-CA"/>
        </w:rPr>
        <w:t>limited</w:t>
      </w:r>
      <w:r w:rsidR="00A44ACE">
        <w:rPr>
          <w:lang w:val="en-CA"/>
        </w:rPr>
        <w:t xml:space="preserve"> sensitivity</w:t>
      </w:r>
      <w:r w:rsidR="00CE7A5C">
        <w:rPr>
          <w:lang w:val="en-CA"/>
        </w:rPr>
        <w:t xml:space="preserve"> in resolving short</w:t>
      </w:r>
      <w:r w:rsidR="00FF2061">
        <w:rPr>
          <w:lang w:val="en-CA"/>
        </w:rPr>
        <w:t>er</w:t>
      </w:r>
      <w:r w:rsidR="00CE7A5C">
        <w:rPr>
          <w:lang w:val="en-CA"/>
        </w:rPr>
        <w:t xml:space="preserve"> transition times</w:t>
      </w:r>
      <w:r w:rsidR="00132FC3">
        <w:rPr>
          <w:lang w:val="en-CA"/>
        </w:rPr>
        <w:t>. By using a stronger magnetic field gradient</w:t>
      </w:r>
      <w:r w:rsidR="00937F94">
        <w:rPr>
          <w:lang w:val="en-CA"/>
        </w:rPr>
        <w:t xml:space="preserve"> and a modified acquisition procedure</w:t>
      </w:r>
      <w:r w:rsidR="00132FC3">
        <w:rPr>
          <w:lang w:val="en-CA"/>
        </w:rPr>
        <w:t>, the sensitivity to motion can be greatly increased</w:t>
      </w:r>
      <w:r w:rsidR="00A44ACE">
        <w:rPr>
          <w:lang w:val="en-CA"/>
        </w:rPr>
        <w:t>. Other magnetic field gradient orientations could also be used to evaluate different spin-up interactions in the fluid.</w:t>
      </w:r>
      <w:r w:rsidR="00A44ACE" w:rsidRPr="00A44ACE">
        <w:rPr>
          <w:noProof/>
          <w:lang w:val="en-CA"/>
        </w:rPr>
        <w:t xml:space="preserve"> </w:t>
      </w:r>
    </w:p>
    <w:p w14:paraId="15EA0198" w14:textId="1EE5C955" w:rsidR="00A44ACE" w:rsidRDefault="00AE24AB" w:rsidP="002D0119">
      <w:pPr>
        <w:jc w:val="both"/>
        <w:rPr>
          <w:noProof/>
          <w:lang w:val="en-CA"/>
        </w:rPr>
      </w:pPr>
      <w:r>
        <w:rPr>
          <w:noProof/>
        </w:rPr>
        <mc:AlternateContent>
          <mc:Choice Requires="wps">
            <w:drawing>
              <wp:anchor distT="0" distB="0" distL="114300" distR="114300" simplePos="0" relativeHeight="251662336" behindDoc="0" locked="0" layoutInCell="1" allowOverlap="1" wp14:anchorId="36773982" wp14:editId="01125461">
                <wp:simplePos x="0" y="0"/>
                <wp:positionH relativeFrom="margin">
                  <wp:align>center</wp:align>
                </wp:positionH>
                <wp:positionV relativeFrom="paragraph">
                  <wp:posOffset>4787265</wp:posOffset>
                </wp:positionV>
                <wp:extent cx="5572760" cy="452120"/>
                <wp:effectExtent l="0" t="0" r="8890" b="5080"/>
                <wp:wrapTopAndBottom/>
                <wp:docPr id="2044984229" name="Text Box 1"/>
                <wp:cNvGraphicFramePr/>
                <a:graphic xmlns:a="http://schemas.openxmlformats.org/drawingml/2006/main">
                  <a:graphicData uri="http://schemas.microsoft.com/office/word/2010/wordprocessingShape">
                    <wps:wsp>
                      <wps:cNvSpPr txBox="1"/>
                      <wps:spPr>
                        <a:xfrm>
                          <a:off x="0" y="0"/>
                          <a:ext cx="5572760" cy="452120"/>
                        </a:xfrm>
                        <a:prstGeom prst="rect">
                          <a:avLst/>
                        </a:prstGeom>
                        <a:solidFill>
                          <a:prstClr val="white"/>
                        </a:solidFill>
                        <a:ln>
                          <a:noFill/>
                        </a:ln>
                      </wps:spPr>
                      <wps:txbx>
                        <w:txbxContent>
                          <w:p w14:paraId="0B992074" w14:textId="77777777" w:rsidR="004B58A4" w:rsidRPr="004B58A4" w:rsidRDefault="00A44ACE" w:rsidP="004B58A4">
                            <w:pPr>
                              <w:pStyle w:val="Caption"/>
                              <w:rPr>
                                <w:rFonts w:ascii="Arial" w:hAnsi="Arial" w:cs="Arial"/>
                                <w:i w:val="0"/>
                                <w:iCs w:val="0"/>
                                <w:sz w:val="20"/>
                                <w:szCs w:val="20"/>
                              </w:rPr>
                            </w:pPr>
                            <w:r w:rsidRPr="004B58A4">
                              <w:rPr>
                                <w:rFonts w:ascii="Arial" w:hAnsi="Arial" w:cs="Arial"/>
                                <w:i w:val="0"/>
                                <w:iCs w:val="0"/>
                                <w:sz w:val="20"/>
                                <w:szCs w:val="20"/>
                                <w:lang w:val="en-CA"/>
                              </w:rPr>
                              <w:t xml:space="preserve">Figure </w:t>
                            </w:r>
                            <w:r w:rsidRPr="004B58A4">
                              <w:rPr>
                                <w:rFonts w:ascii="Arial" w:hAnsi="Arial" w:cs="Arial"/>
                                <w:i w:val="0"/>
                                <w:iCs w:val="0"/>
                                <w:sz w:val="20"/>
                                <w:szCs w:val="20"/>
                              </w:rPr>
                              <w:fldChar w:fldCharType="begin"/>
                            </w:r>
                            <w:r w:rsidRPr="004B58A4">
                              <w:rPr>
                                <w:rFonts w:ascii="Arial" w:hAnsi="Arial" w:cs="Arial"/>
                                <w:i w:val="0"/>
                                <w:iCs w:val="0"/>
                                <w:sz w:val="20"/>
                                <w:szCs w:val="20"/>
                                <w:lang w:val="en-CA"/>
                              </w:rPr>
                              <w:instrText xml:space="preserve"> SEQ Figure \* ARABIC </w:instrText>
                            </w:r>
                            <w:r w:rsidRPr="004B58A4">
                              <w:rPr>
                                <w:rFonts w:ascii="Arial" w:hAnsi="Arial" w:cs="Arial"/>
                                <w:i w:val="0"/>
                                <w:iCs w:val="0"/>
                                <w:sz w:val="20"/>
                                <w:szCs w:val="20"/>
                              </w:rPr>
                              <w:fldChar w:fldCharType="separate"/>
                            </w:r>
                            <w:r w:rsidR="00DA6821">
                              <w:rPr>
                                <w:rFonts w:ascii="Arial" w:hAnsi="Arial" w:cs="Arial"/>
                                <w:i w:val="0"/>
                                <w:iCs w:val="0"/>
                                <w:noProof/>
                                <w:sz w:val="20"/>
                                <w:szCs w:val="20"/>
                                <w:lang w:val="en-CA"/>
                              </w:rPr>
                              <w:t>2</w:t>
                            </w:r>
                            <w:r w:rsidRPr="004B58A4">
                              <w:rPr>
                                <w:rFonts w:ascii="Arial" w:hAnsi="Arial" w:cs="Arial"/>
                                <w:i w:val="0"/>
                                <w:iCs w:val="0"/>
                                <w:sz w:val="20"/>
                                <w:szCs w:val="20"/>
                              </w:rPr>
                              <w:fldChar w:fldCharType="end"/>
                            </w:r>
                            <w:r w:rsidRPr="004B58A4">
                              <w:rPr>
                                <w:rFonts w:ascii="Arial" w:hAnsi="Arial" w:cs="Arial"/>
                                <w:i w:val="0"/>
                                <w:iCs w:val="0"/>
                                <w:sz w:val="20"/>
                                <w:szCs w:val="20"/>
                                <w:lang w:val="en-CA"/>
                              </w:rPr>
                              <w:t>: Plot of the results from previous implementation of the non-invasive measurement. Source:</w:t>
                            </w:r>
                            <w:r w:rsidR="004B58A4" w:rsidRPr="004B58A4">
                              <w:rPr>
                                <w:rFonts w:ascii="Arial" w:hAnsi="Arial" w:cs="Arial"/>
                                <w:i w:val="0"/>
                                <w:iCs w:val="0"/>
                                <w:sz w:val="20"/>
                                <w:szCs w:val="20"/>
                                <w:lang w:val="en-CA"/>
                              </w:rPr>
                              <w:t xml:space="preserve"> W. Selby, V. Belzile, J. Marshall, I. </w:t>
                            </w:r>
                            <w:proofErr w:type="spellStart"/>
                            <w:r w:rsidR="004B58A4" w:rsidRPr="004B58A4">
                              <w:rPr>
                                <w:rFonts w:ascii="Arial" w:hAnsi="Arial" w:cs="Arial"/>
                                <w:i w:val="0"/>
                                <w:iCs w:val="0"/>
                                <w:sz w:val="20"/>
                                <w:szCs w:val="20"/>
                                <w:lang w:val="en-CA"/>
                              </w:rPr>
                              <w:t>Mastikhin</w:t>
                            </w:r>
                            <w:proofErr w:type="spellEnd"/>
                            <w:r w:rsidR="004B58A4" w:rsidRPr="004B58A4">
                              <w:rPr>
                                <w:rFonts w:ascii="Arial" w:hAnsi="Arial" w:cs="Arial"/>
                                <w:i w:val="0"/>
                                <w:iCs w:val="0"/>
                                <w:sz w:val="20"/>
                                <w:szCs w:val="20"/>
                                <w:lang w:val="en-CA"/>
                              </w:rPr>
                              <w:t xml:space="preserve">; Completely </w:t>
                            </w:r>
                            <w:proofErr w:type="spellStart"/>
                            <w:r w:rsidR="004B58A4" w:rsidRPr="004B58A4">
                              <w:rPr>
                                <w:rFonts w:ascii="Arial" w:hAnsi="Arial" w:cs="Arial"/>
                                <w:i w:val="0"/>
                                <w:iCs w:val="0"/>
                                <w:sz w:val="20"/>
                                <w:szCs w:val="20"/>
                                <w:lang w:val="en-CA"/>
                              </w:rPr>
                              <w:t>noninvasive</w:t>
                            </w:r>
                            <w:proofErr w:type="spellEnd"/>
                            <w:r w:rsidR="004B58A4" w:rsidRPr="004B58A4">
                              <w:rPr>
                                <w:rFonts w:ascii="Arial" w:hAnsi="Arial" w:cs="Arial"/>
                                <w:i w:val="0"/>
                                <w:iCs w:val="0"/>
                                <w:sz w:val="20"/>
                                <w:szCs w:val="20"/>
                                <w:lang w:val="en-CA"/>
                              </w:rPr>
                              <w:t xml:space="preserve"> viscosity characterization using a portable magnetic resonance sensor. </w:t>
                            </w:r>
                            <w:proofErr w:type="spellStart"/>
                            <w:r w:rsidR="004B58A4" w:rsidRPr="004B58A4">
                              <w:rPr>
                                <w:rFonts w:ascii="Arial" w:hAnsi="Arial" w:cs="Arial"/>
                                <w:i w:val="0"/>
                                <w:iCs w:val="0"/>
                                <w:sz w:val="20"/>
                                <w:szCs w:val="20"/>
                              </w:rPr>
                              <w:t>Physics</w:t>
                            </w:r>
                            <w:proofErr w:type="spellEnd"/>
                            <w:r w:rsidR="004B58A4" w:rsidRPr="004B58A4">
                              <w:rPr>
                                <w:rFonts w:ascii="Arial" w:hAnsi="Arial" w:cs="Arial"/>
                                <w:i w:val="0"/>
                                <w:iCs w:val="0"/>
                                <w:sz w:val="20"/>
                                <w:szCs w:val="20"/>
                              </w:rPr>
                              <w:t xml:space="preserve"> of </w:t>
                            </w:r>
                            <w:proofErr w:type="spellStart"/>
                            <w:r w:rsidR="004B58A4" w:rsidRPr="004B58A4">
                              <w:rPr>
                                <w:rFonts w:ascii="Arial" w:hAnsi="Arial" w:cs="Arial"/>
                                <w:i w:val="0"/>
                                <w:iCs w:val="0"/>
                                <w:sz w:val="20"/>
                                <w:szCs w:val="20"/>
                              </w:rPr>
                              <w:t>Fluids</w:t>
                            </w:r>
                            <w:proofErr w:type="spellEnd"/>
                            <w:r w:rsidR="004B58A4" w:rsidRPr="004B58A4">
                              <w:rPr>
                                <w:rFonts w:ascii="Arial" w:hAnsi="Arial" w:cs="Arial"/>
                                <w:i w:val="0"/>
                                <w:iCs w:val="0"/>
                                <w:sz w:val="20"/>
                                <w:szCs w:val="20"/>
                              </w:rPr>
                              <w:t xml:space="preserve"> 1 July 2025; 37 (7): 073119. </w:t>
                            </w:r>
                            <w:hyperlink r:id="rId6" w:tgtFrame="_blank" w:history="1">
                              <w:r w:rsidR="004B58A4" w:rsidRPr="004B58A4">
                                <w:rPr>
                                  <w:rStyle w:val="Hyperlink"/>
                                  <w:rFonts w:ascii="Arial" w:hAnsi="Arial" w:cs="Arial"/>
                                  <w:i w:val="0"/>
                                  <w:iCs w:val="0"/>
                                  <w:sz w:val="20"/>
                                  <w:szCs w:val="20"/>
                                </w:rPr>
                                <w:t>https://doi.org/10.1063/5.0270641</w:t>
                              </w:r>
                            </w:hyperlink>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36773982" id="_x0000_t202" coordsize="21600,21600" o:spt="202" path="m,l,21600r21600,l21600,xe">
                <v:stroke joinstyle="miter"/>
                <v:path gradientshapeok="t" o:connecttype="rect"/>
              </v:shapetype>
              <v:shape id="_x0000_s1027" type="#_x0000_t202" style="position:absolute;left:0;text-align:left;margin-left:0;margin-top:376.95pt;width:438.8pt;height:35.6pt;z-index:25166233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" stroked="f">
                <v:textbox inset="0,0,0,0">
                  <w:txbxContent>
                    <w:p w14:paraId="0B992074" w14:textId="77777777" w:rsidR="004B58A4" w:rsidRPr="004B58A4" w:rsidRDefault="00A44ACE" w:rsidP="004B58A4">
                      <w:pPr>
                        <w:pStyle w:val="Caption"/>
                        <w:rPr>
                          <w:rFonts w:ascii="Arial" w:hAnsi="Arial" w:cs="Arial"/>
                          <w:i w:val="0"/>
                          <w:iCs w:val="0"/>
                          <w:sz w:val="20"/>
                          <w:szCs w:val="20"/>
                        </w:rPr>
                      </w:pPr>
                      <w:r w:rsidRPr="004B58A4">
                        <w:rPr>
                          <w:rFonts w:ascii="Arial" w:hAnsi="Arial" w:cs="Arial"/>
                          <w:i w:val="0"/>
                          <w:iCs w:val="0"/>
                          <w:sz w:val="20"/>
                          <w:szCs w:val="20"/>
                          <w:lang w:val="en-CA"/>
                        </w:rPr>
                        <w:t xml:space="preserve">Figure </w:t>
                      </w:r>
                      <w:r w:rsidRPr="004B58A4">
                        <w:rPr>
                          <w:rFonts w:ascii="Arial" w:hAnsi="Arial" w:cs="Arial"/>
                          <w:i w:val="0"/>
                          <w:iCs w:val="0"/>
                          <w:sz w:val="20"/>
                          <w:szCs w:val="20"/>
                        </w:rPr>
                        <w:fldChar w:fldCharType="begin"/>
                      </w:r>
                      <w:r w:rsidRPr="004B58A4">
                        <w:rPr>
                          <w:rFonts w:ascii="Arial" w:hAnsi="Arial" w:cs="Arial"/>
                          <w:i w:val="0"/>
                          <w:iCs w:val="0"/>
                          <w:sz w:val="20"/>
                          <w:szCs w:val="20"/>
                          <w:lang w:val="en-CA"/>
                        </w:rPr>
                        <w:instrText xml:space="preserve"> SEQ Figure \* ARABIC </w:instrText>
                      </w:r>
                      <w:r w:rsidRPr="004B58A4">
                        <w:rPr>
                          <w:rFonts w:ascii="Arial" w:hAnsi="Arial" w:cs="Arial"/>
                          <w:i w:val="0"/>
                          <w:iCs w:val="0"/>
                          <w:sz w:val="20"/>
                          <w:szCs w:val="20"/>
                        </w:rPr>
                        <w:fldChar w:fldCharType="separate"/>
                      </w:r>
                      <w:r w:rsidR="00DA6821">
                        <w:rPr>
                          <w:rFonts w:ascii="Arial" w:hAnsi="Arial" w:cs="Arial"/>
                          <w:i w:val="0"/>
                          <w:iCs w:val="0"/>
                          <w:noProof/>
                          <w:sz w:val="20"/>
                          <w:szCs w:val="20"/>
                          <w:lang w:val="en-CA"/>
                        </w:rPr>
                        <w:t>2</w:t>
                      </w:r>
                      <w:r w:rsidRPr="004B58A4">
                        <w:rPr>
                          <w:rFonts w:ascii="Arial" w:hAnsi="Arial" w:cs="Arial"/>
                          <w:i w:val="0"/>
                          <w:iCs w:val="0"/>
                          <w:sz w:val="20"/>
                          <w:szCs w:val="20"/>
                        </w:rPr>
                        <w:fldChar w:fldCharType="end"/>
                      </w:r>
                      <w:r w:rsidRPr="004B58A4">
                        <w:rPr>
                          <w:rFonts w:ascii="Arial" w:hAnsi="Arial" w:cs="Arial"/>
                          <w:i w:val="0"/>
                          <w:iCs w:val="0"/>
                          <w:sz w:val="20"/>
                          <w:szCs w:val="20"/>
                          <w:lang w:val="en-CA"/>
                        </w:rPr>
                        <w:t>: Plot of the results from previous implementation of the non-invasive measurement. Source:</w:t>
                      </w:r>
                      <w:r w:rsidR="004B58A4" w:rsidRPr="004B58A4">
                        <w:rPr>
                          <w:rFonts w:ascii="Arial" w:hAnsi="Arial" w:cs="Arial"/>
                          <w:i w:val="0"/>
                          <w:iCs w:val="0"/>
                          <w:sz w:val="20"/>
                          <w:szCs w:val="20"/>
                          <w:lang w:val="en-CA"/>
                        </w:rPr>
                        <w:t xml:space="preserve"> W. Selby, V. Belzile, J. Marshall, I. </w:t>
                      </w:r>
                      <w:proofErr w:type="spellStart"/>
                      <w:r w:rsidR="004B58A4" w:rsidRPr="004B58A4">
                        <w:rPr>
                          <w:rFonts w:ascii="Arial" w:hAnsi="Arial" w:cs="Arial"/>
                          <w:i w:val="0"/>
                          <w:iCs w:val="0"/>
                          <w:sz w:val="20"/>
                          <w:szCs w:val="20"/>
                          <w:lang w:val="en-CA"/>
                        </w:rPr>
                        <w:t>Mastikhin</w:t>
                      </w:r>
                      <w:proofErr w:type="spellEnd"/>
                      <w:r w:rsidR="004B58A4" w:rsidRPr="004B58A4">
                        <w:rPr>
                          <w:rFonts w:ascii="Arial" w:hAnsi="Arial" w:cs="Arial"/>
                          <w:i w:val="0"/>
                          <w:iCs w:val="0"/>
                          <w:sz w:val="20"/>
                          <w:szCs w:val="20"/>
                          <w:lang w:val="en-CA"/>
                        </w:rPr>
                        <w:t xml:space="preserve">; Completely </w:t>
                      </w:r>
                      <w:proofErr w:type="spellStart"/>
                      <w:r w:rsidR="004B58A4" w:rsidRPr="004B58A4">
                        <w:rPr>
                          <w:rFonts w:ascii="Arial" w:hAnsi="Arial" w:cs="Arial"/>
                          <w:i w:val="0"/>
                          <w:iCs w:val="0"/>
                          <w:sz w:val="20"/>
                          <w:szCs w:val="20"/>
                          <w:lang w:val="en-CA"/>
                        </w:rPr>
                        <w:t>noninvasive</w:t>
                      </w:r>
                      <w:proofErr w:type="spellEnd"/>
                      <w:r w:rsidR="004B58A4" w:rsidRPr="004B58A4">
                        <w:rPr>
                          <w:rFonts w:ascii="Arial" w:hAnsi="Arial" w:cs="Arial"/>
                          <w:i w:val="0"/>
                          <w:iCs w:val="0"/>
                          <w:sz w:val="20"/>
                          <w:szCs w:val="20"/>
                          <w:lang w:val="en-CA"/>
                        </w:rPr>
                        <w:t xml:space="preserve"> viscosity characterization using a portable magnetic resonance sensor. </w:t>
                      </w:r>
                      <w:proofErr w:type="spellStart"/>
                      <w:r w:rsidR="004B58A4" w:rsidRPr="004B58A4">
                        <w:rPr>
                          <w:rFonts w:ascii="Arial" w:hAnsi="Arial" w:cs="Arial"/>
                          <w:i w:val="0"/>
                          <w:iCs w:val="0"/>
                          <w:sz w:val="20"/>
                          <w:szCs w:val="20"/>
                        </w:rPr>
                        <w:t>Physics</w:t>
                      </w:r>
                      <w:proofErr w:type="spellEnd"/>
                      <w:r w:rsidR="004B58A4" w:rsidRPr="004B58A4">
                        <w:rPr>
                          <w:rFonts w:ascii="Arial" w:hAnsi="Arial" w:cs="Arial"/>
                          <w:i w:val="0"/>
                          <w:iCs w:val="0"/>
                          <w:sz w:val="20"/>
                          <w:szCs w:val="20"/>
                        </w:rPr>
                        <w:t xml:space="preserve"> of </w:t>
                      </w:r>
                      <w:proofErr w:type="spellStart"/>
                      <w:r w:rsidR="004B58A4" w:rsidRPr="004B58A4">
                        <w:rPr>
                          <w:rFonts w:ascii="Arial" w:hAnsi="Arial" w:cs="Arial"/>
                          <w:i w:val="0"/>
                          <w:iCs w:val="0"/>
                          <w:sz w:val="20"/>
                          <w:szCs w:val="20"/>
                        </w:rPr>
                        <w:t>Fluids</w:t>
                      </w:r>
                      <w:proofErr w:type="spellEnd"/>
                      <w:r w:rsidR="004B58A4" w:rsidRPr="004B58A4">
                        <w:rPr>
                          <w:rFonts w:ascii="Arial" w:hAnsi="Arial" w:cs="Arial"/>
                          <w:i w:val="0"/>
                          <w:iCs w:val="0"/>
                          <w:sz w:val="20"/>
                          <w:szCs w:val="20"/>
                        </w:rPr>
                        <w:t xml:space="preserve"> 1 July 2025; 37 (7): 073119. </w:t>
                      </w:r>
                      <w:hyperlink r:id="rId7" w:tgtFrame="_blank" w:history="1">
                        <w:r w:rsidR="004B58A4" w:rsidRPr="004B58A4">
                          <w:rPr>
                            <w:rStyle w:val="Hyperlink"/>
                            <w:rFonts w:ascii="Arial" w:hAnsi="Arial" w:cs="Arial"/>
                            <w:i w:val="0"/>
                            <w:iCs w:val="0"/>
                            <w:sz w:val="20"/>
                            <w:szCs w:val="20"/>
                          </w:rPr>
                          <w:t>https://doi.org/10.1063/5.0270641</w:t>
                        </w:r>
                      </w:hyperlink>
                    </w:p>
                  </w:txbxContent>
                </v:textbox>
                <w10:wrap type="topAndBottom" anchorx="margin"/>
              </v:shape>
            </w:pict>
          </mc:Fallback>
        </mc:AlternateContent>
      </w:r>
    </w:p>
    <w:p w14:paraId="4D4BE27C" w14:textId="7D654DC6" w:rsidR="00A44ACE" w:rsidRPr="00A44ACE" w:rsidRDefault="00A44ACE" w:rsidP="00A44ACE">
      <w:pPr>
        <w:jc w:val="both"/>
        <w:rPr>
          <w:lang w:val="en-CA"/>
        </w:rPr>
      </w:pPr>
    </w:p>
    <w:sectPr w:rsidR="00A44ACE" w:rsidRPr="00A44ACE">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E3B"/>
    <w:rsid w:val="0000328D"/>
    <w:rsid w:val="00023999"/>
    <w:rsid w:val="000462ED"/>
    <w:rsid w:val="000F41AA"/>
    <w:rsid w:val="00132FC3"/>
    <w:rsid w:val="00253FFF"/>
    <w:rsid w:val="002973D5"/>
    <w:rsid w:val="002D0119"/>
    <w:rsid w:val="003010CD"/>
    <w:rsid w:val="003D3798"/>
    <w:rsid w:val="00415A7A"/>
    <w:rsid w:val="00424F5D"/>
    <w:rsid w:val="00430F01"/>
    <w:rsid w:val="004B58A4"/>
    <w:rsid w:val="004F4052"/>
    <w:rsid w:val="005526C8"/>
    <w:rsid w:val="005703E8"/>
    <w:rsid w:val="00681C01"/>
    <w:rsid w:val="006B318D"/>
    <w:rsid w:val="006C42BB"/>
    <w:rsid w:val="00743BDB"/>
    <w:rsid w:val="00826F21"/>
    <w:rsid w:val="00907DCD"/>
    <w:rsid w:val="00937F94"/>
    <w:rsid w:val="00942B48"/>
    <w:rsid w:val="00A44ACE"/>
    <w:rsid w:val="00A93C65"/>
    <w:rsid w:val="00AE24AB"/>
    <w:rsid w:val="00AF3C6F"/>
    <w:rsid w:val="00B17A45"/>
    <w:rsid w:val="00B30CC4"/>
    <w:rsid w:val="00B40118"/>
    <w:rsid w:val="00BB1558"/>
    <w:rsid w:val="00BC03AD"/>
    <w:rsid w:val="00BD131E"/>
    <w:rsid w:val="00CC0B4C"/>
    <w:rsid w:val="00CD0C95"/>
    <w:rsid w:val="00CE7A5C"/>
    <w:rsid w:val="00D67F8A"/>
    <w:rsid w:val="00DA6821"/>
    <w:rsid w:val="00DE6318"/>
    <w:rsid w:val="00E72193"/>
    <w:rsid w:val="00EA3E3B"/>
    <w:rsid w:val="00F72880"/>
    <w:rsid w:val="00FF2061"/>
    <w:rsid w:val="22707E0B"/>
    <w:rsid w:val="2376748C"/>
    <w:rsid w:val="4E6DE767"/>
    <w:rsid w:val="5D79B007"/>
    <w:rsid w:val="707DBCFF"/>
    <w:rsid w:val="76893E81"/>
    <w:rsid w:val="7DFDF894"/>
  </w:rsids>
  <m:mathPr>
    <m:mathFont m:val="Cambria Math"/>
    <m:brkBin m:val="before"/>
    <m:brkBinSub m:val="--"/>
    <m:smallFrac m:val="0"/>
    <m:dispDef/>
    <m:lMargin m:val="0"/>
    <m:rMargin m:val="0"/>
    <m:defJc m:val="centerGroup"/>
    <m:wrapIndent m:val="1440"/>
    <m:intLim m:val="subSup"/>
    <m:naryLim m:val="undOvr"/>
  </m:mathPr>
  <w:themeFontLang w:val="fr-C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508C2"/>
  <w15:chartTrackingRefBased/>
  <w15:docId w15:val="{A5AF5659-D1EF-4A9B-A52B-E1A27D678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3E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3E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3E3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3E3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3E3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3E3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3E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3E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3E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3E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3E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3E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3E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3E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3E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3E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3E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3E3B"/>
    <w:rPr>
      <w:rFonts w:eastAsiaTheme="majorEastAsia" w:cstheme="majorBidi"/>
      <w:color w:val="272727" w:themeColor="text1" w:themeTint="D8"/>
    </w:rPr>
  </w:style>
  <w:style w:type="paragraph" w:styleId="Title">
    <w:name w:val="Title"/>
    <w:basedOn w:val="Normal"/>
    <w:next w:val="Normal"/>
    <w:link w:val="TitleChar"/>
    <w:uiPriority w:val="10"/>
    <w:qFormat/>
    <w:rsid w:val="00EA3E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3E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3E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3E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3E3B"/>
    <w:pPr>
      <w:spacing w:before="160"/>
      <w:jc w:val="center"/>
    </w:pPr>
    <w:rPr>
      <w:i/>
      <w:iCs/>
      <w:color w:val="404040" w:themeColor="text1" w:themeTint="BF"/>
    </w:rPr>
  </w:style>
  <w:style w:type="character" w:customStyle="1" w:styleId="QuoteChar">
    <w:name w:val="Quote Char"/>
    <w:basedOn w:val="DefaultParagraphFont"/>
    <w:link w:val="Quote"/>
    <w:uiPriority w:val="29"/>
    <w:rsid w:val="00EA3E3B"/>
    <w:rPr>
      <w:i/>
      <w:iCs/>
      <w:color w:val="404040" w:themeColor="text1" w:themeTint="BF"/>
    </w:rPr>
  </w:style>
  <w:style w:type="paragraph" w:styleId="ListParagraph">
    <w:name w:val="List Paragraph"/>
    <w:basedOn w:val="Normal"/>
    <w:uiPriority w:val="34"/>
    <w:qFormat/>
    <w:rsid w:val="00EA3E3B"/>
    <w:pPr>
      <w:ind w:left="720"/>
      <w:contextualSpacing/>
    </w:pPr>
  </w:style>
  <w:style w:type="character" w:styleId="IntenseEmphasis">
    <w:name w:val="Intense Emphasis"/>
    <w:basedOn w:val="DefaultParagraphFont"/>
    <w:uiPriority w:val="21"/>
    <w:qFormat/>
    <w:rsid w:val="00EA3E3B"/>
    <w:rPr>
      <w:i/>
      <w:iCs/>
      <w:color w:val="0F4761" w:themeColor="accent1" w:themeShade="BF"/>
    </w:rPr>
  </w:style>
  <w:style w:type="paragraph" w:styleId="IntenseQuote">
    <w:name w:val="Intense Quote"/>
    <w:basedOn w:val="Normal"/>
    <w:next w:val="Normal"/>
    <w:link w:val="IntenseQuoteChar"/>
    <w:uiPriority w:val="30"/>
    <w:qFormat/>
    <w:rsid w:val="00EA3E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3E3B"/>
    <w:rPr>
      <w:i/>
      <w:iCs/>
      <w:color w:val="0F4761" w:themeColor="accent1" w:themeShade="BF"/>
    </w:rPr>
  </w:style>
  <w:style w:type="character" w:styleId="IntenseReference">
    <w:name w:val="Intense Reference"/>
    <w:basedOn w:val="DefaultParagraphFont"/>
    <w:uiPriority w:val="32"/>
    <w:qFormat/>
    <w:rsid w:val="00EA3E3B"/>
    <w:rPr>
      <w:b/>
      <w:bCs/>
      <w:smallCaps/>
      <w:color w:val="0F4761" w:themeColor="accent1" w:themeShade="BF"/>
      <w:spacing w:val="5"/>
    </w:rPr>
  </w:style>
  <w:style w:type="paragraph" w:styleId="Caption">
    <w:name w:val="caption"/>
    <w:basedOn w:val="Normal"/>
    <w:next w:val="Normal"/>
    <w:uiPriority w:val="35"/>
    <w:unhideWhenUsed/>
    <w:qFormat/>
    <w:rsid w:val="00A44ACE"/>
    <w:pPr>
      <w:spacing w:after="200" w:line="240" w:lineRule="auto"/>
    </w:pPr>
    <w:rPr>
      <w:i/>
      <w:iCs/>
      <w:color w:val="0E2841" w:themeColor="text2"/>
      <w:sz w:val="18"/>
      <w:szCs w:val="18"/>
    </w:rPr>
  </w:style>
  <w:style w:type="character" w:styleId="Hyperlink">
    <w:name w:val="Hyperlink"/>
    <w:basedOn w:val="DefaultParagraphFont"/>
    <w:uiPriority w:val="99"/>
    <w:unhideWhenUsed/>
    <w:rsid w:val="004B58A4"/>
    <w:rPr>
      <w:color w:val="467886" w:themeColor="hyperlink"/>
      <w:u w:val="single"/>
    </w:rPr>
  </w:style>
  <w:style w:type="character" w:styleId="UnresolvedMention">
    <w:name w:val="Unresolved Mention"/>
    <w:basedOn w:val="DefaultParagraphFont"/>
    <w:uiPriority w:val="99"/>
    <w:semiHidden/>
    <w:unhideWhenUsed/>
    <w:rsid w:val="004B58A4"/>
    <w:rPr>
      <w:color w:val="605E5C"/>
      <w:shd w:val="clear" w:color="auto" w:fill="E1DFDD"/>
    </w:rPr>
  </w:style>
  <w:style w:type="paragraph" w:styleId="Revision">
    <w:name w:val="Revision"/>
    <w:hidden/>
    <w:uiPriority w:val="99"/>
    <w:semiHidden/>
    <w:rsid w:val="00023999"/>
    <w:pPr>
      <w:spacing w:after="0" w:line="240" w:lineRule="auto"/>
    </w:pPr>
  </w:style>
  <w:style w:type="character" w:styleId="CommentReference">
    <w:name w:val="annotation reference"/>
    <w:basedOn w:val="DefaultParagraphFont"/>
    <w:uiPriority w:val="99"/>
    <w:semiHidden/>
    <w:unhideWhenUsed/>
    <w:rsid w:val="00743BDB"/>
    <w:rPr>
      <w:sz w:val="16"/>
      <w:szCs w:val="16"/>
    </w:rPr>
  </w:style>
  <w:style w:type="paragraph" w:styleId="CommentText">
    <w:name w:val="annotation text"/>
    <w:basedOn w:val="Normal"/>
    <w:link w:val="CommentTextChar"/>
    <w:uiPriority w:val="99"/>
    <w:unhideWhenUsed/>
    <w:rsid w:val="00743BDB"/>
    <w:pPr>
      <w:spacing w:line="240" w:lineRule="auto"/>
    </w:pPr>
    <w:rPr>
      <w:sz w:val="20"/>
      <w:szCs w:val="20"/>
    </w:rPr>
  </w:style>
  <w:style w:type="character" w:customStyle="1" w:styleId="CommentTextChar">
    <w:name w:val="Comment Text Char"/>
    <w:basedOn w:val="DefaultParagraphFont"/>
    <w:link w:val="CommentText"/>
    <w:uiPriority w:val="99"/>
    <w:rsid w:val="00743BDB"/>
    <w:rPr>
      <w:sz w:val="20"/>
      <w:szCs w:val="20"/>
    </w:rPr>
  </w:style>
  <w:style w:type="paragraph" w:styleId="CommentSubject">
    <w:name w:val="annotation subject"/>
    <w:basedOn w:val="CommentText"/>
    <w:next w:val="CommentText"/>
    <w:link w:val="CommentSubjectChar"/>
    <w:uiPriority w:val="99"/>
    <w:semiHidden/>
    <w:unhideWhenUsed/>
    <w:rsid w:val="00743BDB"/>
    <w:rPr>
      <w:b/>
      <w:bCs/>
    </w:rPr>
  </w:style>
  <w:style w:type="character" w:customStyle="1" w:styleId="CommentSubjectChar">
    <w:name w:val="Comment Subject Char"/>
    <w:basedOn w:val="CommentTextChar"/>
    <w:link w:val="CommentSubject"/>
    <w:uiPriority w:val="99"/>
    <w:semiHidden/>
    <w:rsid w:val="00743BD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i.org/10.1063/5.027064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63/5.0270641" TargetMode="External"/><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289</Words>
  <Characters>1595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Belzile</dc:creator>
  <cp:keywords/>
  <dc:description/>
  <cp:lastModifiedBy>Vincent Belzile</cp:lastModifiedBy>
  <cp:revision>2</cp:revision>
  <cp:lastPrinted>2026-01-15T18:38:00Z</cp:lastPrinted>
  <dcterms:created xsi:type="dcterms:W3CDTF">2026-01-15T21:26:00Z</dcterms:created>
  <dcterms:modified xsi:type="dcterms:W3CDTF">2026-01-15T21:26:00Z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c0e2e194-318f-4ba1-8664-2ecbbd6c7ec1</vt:lpwstr>
  </property>
</Properties>
</file>