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0D57" w:rsidRPr="00510D57" w:rsidRDefault="00510D57" w:rsidP="00510D57">
      <w:pPr>
        <w:spacing w:line="240" w:lineRule="auto"/>
        <w:rPr>
          <w:rFonts w:ascii="Times New Roman" w:hAnsi="Times New Roman" w:cs="Times New Roman"/>
          <w:color w:val="000000" w:themeColor="text1"/>
          <w:sz w:val="24"/>
          <w:szCs w:val="24"/>
        </w:rPr>
      </w:pPr>
      <w:r w:rsidRPr="00EF662E">
        <w:rPr>
          <w:rFonts w:ascii="Times New Roman" w:eastAsia="Times New Roman" w:hAnsi="Times New Roman" w:cs="Times New Roman"/>
          <w:b/>
          <w:bCs/>
          <w:color w:val="000000" w:themeColor="text1"/>
          <w:sz w:val="24"/>
          <w:szCs w:val="24"/>
        </w:rPr>
        <w:t>Characterization of Polarization Mode Dispersion in High-Speed Optical Fibers: Effects of Differential Group Delay and Environmental Factors in Abuja, Nigeria.</w:t>
      </w:r>
    </w:p>
    <w:p w:rsidR="00B715F4" w:rsidRDefault="00B715F4" w:rsidP="00B715F4">
      <w:pPr>
        <w:spacing w:line="240" w:lineRule="auto"/>
        <w:rPr>
          <w:rFonts w:ascii="Times New Roman" w:hAnsi="Times New Roman" w:cs="Times New Roman"/>
          <w:b/>
          <w:color w:val="000000" w:themeColor="text1"/>
          <w:sz w:val="24"/>
          <w:szCs w:val="24"/>
        </w:rPr>
      </w:pPr>
    </w:p>
    <w:p w:rsidR="00B715F4" w:rsidRPr="00E432C3" w:rsidRDefault="00B715F4" w:rsidP="00B715F4">
      <w:pPr>
        <w:spacing w:after="0" w:line="360" w:lineRule="auto"/>
        <w:jc w:val="both"/>
        <w:rPr>
          <w:rFonts w:ascii="Times New Roman" w:eastAsia="Times New Roman" w:hAnsi="Times New Roman" w:cs="Times New Roman"/>
          <w:bCs/>
          <w:color w:val="000000" w:themeColor="text1"/>
          <w:sz w:val="24"/>
          <w:szCs w:val="24"/>
        </w:rPr>
      </w:pPr>
      <w:proofErr w:type="spellStart"/>
      <w:r w:rsidRPr="00E432C3">
        <w:rPr>
          <w:rFonts w:ascii="Times New Roman" w:hAnsi="Times New Roman" w:cs="Times New Roman"/>
          <w:bCs/>
          <w:sz w:val="24"/>
          <w:szCs w:val="24"/>
        </w:rPr>
        <w:t>Shaka</w:t>
      </w:r>
      <w:proofErr w:type="spellEnd"/>
      <w:r w:rsidRPr="00E432C3">
        <w:rPr>
          <w:rFonts w:ascii="Times New Roman" w:hAnsi="Times New Roman" w:cs="Times New Roman"/>
          <w:bCs/>
          <w:sz w:val="24"/>
          <w:szCs w:val="24"/>
        </w:rPr>
        <w:t xml:space="preserve"> O. Samuel</w:t>
      </w:r>
      <w:r w:rsidRPr="00E432C3">
        <w:rPr>
          <w:rFonts w:ascii="Times New Roman" w:hAnsi="Times New Roman" w:cs="Times New Roman"/>
          <w:bCs/>
          <w:sz w:val="24"/>
          <w:szCs w:val="24"/>
          <w:vertAlign w:val="superscript"/>
        </w:rPr>
        <w:t>1</w:t>
      </w:r>
      <w:r w:rsidRPr="00E432C3">
        <w:rPr>
          <w:rFonts w:ascii="Times New Roman" w:eastAsia="Times New Roman" w:hAnsi="Times New Roman" w:cs="Times New Roman"/>
          <w:bCs/>
          <w:color w:val="000000" w:themeColor="text1"/>
          <w:sz w:val="24"/>
          <w:szCs w:val="24"/>
        </w:rPr>
        <w:t xml:space="preserve">, </w:t>
      </w:r>
      <w:proofErr w:type="spellStart"/>
      <w:r w:rsidRPr="00E432C3">
        <w:rPr>
          <w:rFonts w:ascii="Times New Roman" w:eastAsia="Times New Roman" w:hAnsi="Times New Roman" w:cs="Times New Roman"/>
          <w:bCs/>
          <w:color w:val="000000" w:themeColor="text1"/>
          <w:sz w:val="24"/>
          <w:szCs w:val="24"/>
        </w:rPr>
        <w:t>Okoro</w:t>
      </w:r>
      <w:proofErr w:type="spellEnd"/>
      <w:r w:rsidRPr="00E432C3">
        <w:rPr>
          <w:rFonts w:ascii="Times New Roman" w:eastAsia="Times New Roman" w:hAnsi="Times New Roman" w:cs="Times New Roman"/>
          <w:bCs/>
          <w:color w:val="000000" w:themeColor="text1"/>
          <w:sz w:val="24"/>
          <w:szCs w:val="24"/>
        </w:rPr>
        <w:t xml:space="preserve"> Precious</w:t>
      </w:r>
      <w:r w:rsidRPr="00E432C3">
        <w:rPr>
          <w:rFonts w:ascii="Times New Roman" w:eastAsia="Times New Roman" w:hAnsi="Times New Roman" w:cs="Times New Roman"/>
          <w:bCs/>
          <w:color w:val="000000" w:themeColor="text1"/>
          <w:sz w:val="24"/>
          <w:szCs w:val="24"/>
          <w:vertAlign w:val="superscript"/>
        </w:rPr>
        <w:t>2</w:t>
      </w:r>
      <w:r w:rsidRPr="00E432C3">
        <w:rPr>
          <w:rFonts w:ascii="Times New Roman" w:eastAsia="Times New Roman" w:hAnsi="Times New Roman" w:cs="Times New Roman"/>
          <w:bCs/>
          <w:color w:val="000000" w:themeColor="text1"/>
          <w:sz w:val="24"/>
          <w:szCs w:val="24"/>
        </w:rPr>
        <w:t xml:space="preserve">, </w:t>
      </w:r>
      <w:proofErr w:type="spellStart"/>
      <w:r w:rsidRPr="00E432C3">
        <w:rPr>
          <w:rFonts w:ascii="Times New Roman" w:hAnsi="Times New Roman" w:cs="Times New Roman"/>
          <w:bCs/>
          <w:sz w:val="24"/>
          <w:szCs w:val="24"/>
        </w:rPr>
        <w:t>Agbosa</w:t>
      </w:r>
      <w:proofErr w:type="spellEnd"/>
      <w:r w:rsidRPr="00E432C3">
        <w:rPr>
          <w:rFonts w:ascii="Times New Roman" w:hAnsi="Times New Roman" w:cs="Times New Roman"/>
          <w:bCs/>
          <w:sz w:val="24"/>
          <w:szCs w:val="24"/>
        </w:rPr>
        <w:t xml:space="preserve"> R. </w:t>
      </w:r>
      <w:proofErr w:type="spellStart"/>
      <w:r w:rsidRPr="00E432C3">
        <w:rPr>
          <w:rFonts w:ascii="Times New Roman" w:hAnsi="Times New Roman" w:cs="Times New Roman"/>
          <w:bCs/>
          <w:sz w:val="24"/>
          <w:szCs w:val="24"/>
        </w:rPr>
        <w:t>Tobore</w:t>
      </w:r>
      <w:proofErr w:type="spellEnd"/>
      <w:r w:rsidRPr="00E432C3">
        <w:rPr>
          <w:rFonts w:ascii="Times New Roman" w:hAnsi="Times New Roman" w:cs="Times New Roman"/>
          <w:bCs/>
          <w:sz w:val="24"/>
          <w:szCs w:val="24"/>
        </w:rPr>
        <w:t xml:space="preserve"> </w:t>
      </w:r>
      <w:r w:rsidRPr="00E432C3">
        <w:rPr>
          <w:rFonts w:ascii="Times New Roman" w:hAnsi="Times New Roman" w:cs="Times New Roman"/>
          <w:bCs/>
          <w:sz w:val="24"/>
          <w:szCs w:val="24"/>
          <w:vertAlign w:val="superscript"/>
        </w:rPr>
        <w:t>3</w:t>
      </w:r>
      <w:r w:rsidRPr="00E432C3">
        <w:rPr>
          <w:rFonts w:ascii="Times New Roman" w:hAnsi="Times New Roman" w:cs="Times New Roman"/>
          <w:bCs/>
          <w:sz w:val="24"/>
          <w:szCs w:val="24"/>
        </w:rPr>
        <w:t xml:space="preserve">, </w:t>
      </w:r>
      <w:r w:rsidRPr="00E432C3">
        <w:rPr>
          <w:rFonts w:ascii="Times New Roman" w:eastAsia="Times New Roman" w:hAnsi="Times New Roman" w:cs="Times New Roman"/>
          <w:bCs/>
          <w:color w:val="000000" w:themeColor="text1"/>
          <w:sz w:val="24"/>
          <w:szCs w:val="24"/>
        </w:rPr>
        <w:t>Cletus Olisenekwu</w:t>
      </w:r>
      <w:r w:rsidRPr="00E432C3">
        <w:rPr>
          <w:rFonts w:ascii="Times New Roman" w:eastAsia="Times New Roman" w:hAnsi="Times New Roman" w:cs="Times New Roman"/>
          <w:bCs/>
          <w:color w:val="000000" w:themeColor="text1"/>
          <w:sz w:val="24"/>
          <w:szCs w:val="24"/>
          <w:vertAlign w:val="superscript"/>
        </w:rPr>
        <w:t>4</w:t>
      </w:r>
      <w:r w:rsidRPr="00E432C3">
        <w:rPr>
          <w:rFonts w:ascii="Times New Roman" w:eastAsia="Times New Roman" w:hAnsi="Times New Roman" w:cs="Times New Roman"/>
          <w:bCs/>
          <w:color w:val="000000" w:themeColor="text1"/>
          <w:sz w:val="24"/>
          <w:szCs w:val="24"/>
        </w:rPr>
        <w:t xml:space="preserve">, </w:t>
      </w:r>
      <w:proofErr w:type="spellStart"/>
      <w:r w:rsidRPr="00E432C3">
        <w:rPr>
          <w:rFonts w:ascii="Times New Roman" w:eastAsia="Times New Roman" w:hAnsi="Times New Roman" w:cs="Times New Roman"/>
          <w:bCs/>
          <w:color w:val="000000" w:themeColor="text1"/>
          <w:sz w:val="24"/>
          <w:szCs w:val="24"/>
        </w:rPr>
        <w:t>Ikoko</w:t>
      </w:r>
      <w:proofErr w:type="spellEnd"/>
      <w:r w:rsidRPr="00E432C3">
        <w:rPr>
          <w:rFonts w:ascii="Times New Roman" w:eastAsia="Times New Roman" w:hAnsi="Times New Roman" w:cs="Times New Roman"/>
          <w:bCs/>
          <w:color w:val="000000" w:themeColor="text1"/>
          <w:sz w:val="24"/>
          <w:szCs w:val="24"/>
        </w:rPr>
        <w:t xml:space="preserve"> Precious</w:t>
      </w:r>
      <w:r w:rsidRPr="00E432C3">
        <w:rPr>
          <w:rFonts w:ascii="Times New Roman" w:eastAsia="Times New Roman" w:hAnsi="Times New Roman" w:cs="Times New Roman"/>
          <w:bCs/>
          <w:color w:val="000000" w:themeColor="text1"/>
          <w:sz w:val="24"/>
          <w:szCs w:val="24"/>
          <w:vertAlign w:val="superscript"/>
        </w:rPr>
        <w:t>5</w:t>
      </w:r>
    </w:p>
    <w:p w:rsidR="00B715F4" w:rsidRPr="00536DB4" w:rsidRDefault="00B715F4" w:rsidP="00B715F4">
      <w:pPr>
        <w:pStyle w:val="BodyText"/>
        <w:jc w:val="both"/>
        <w:rPr>
          <w:rFonts w:eastAsia="Calibri"/>
        </w:rPr>
      </w:pPr>
      <w:r w:rsidRPr="00536DB4">
        <w:rPr>
          <w:rFonts w:eastAsia="Calibri"/>
          <w:vertAlign w:val="superscript"/>
        </w:rPr>
        <w:t>1</w:t>
      </w:r>
      <w:r w:rsidRPr="00536DB4">
        <w:rPr>
          <w:rFonts w:eastAsia="Calibri"/>
        </w:rPr>
        <w:t xml:space="preserve">Department of Science Laboratory Technology, Delta State University, </w:t>
      </w:r>
      <w:proofErr w:type="spellStart"/>
      <w:r w:rsidRPr="00536DB4">
        <w:rPr>
          <w:rFonts w:eastAsia="Calibri"/>
        </w:rPr>
        <w:t>Abraka</w:t>
      </w:r>
      <w:proofErr w:type="spellEnd"/>
      <w:r w:rsidRPr="00536DB4">
        <w:rPr>
          <w:rFonts w:eastAsia="Calibri"/>
        </w:rPr>
        <w:t>. Delta State</w:t>
      </w:r>
    </w:p>
    <w:p w:rsidR="00B715F4" w:rsidRPr="00536DB4" w:rsidRDefault="00B715F4" w:rsidP="00B715F4">
      <w:pPr>
        <w:pStyle w:val="BodyText"/>
        <w:jc w:val="both"/>
      </w:pPr>
      <w:r w:rsidRPr="00536DB4">
        <w:rPr>
          <w:vertAlign w:val="superscript"/>
        </w:rPr>
        <w:t>2</w:t>
      </w:r>
      <w:r w:rsidRPr="00536DB4">
        <w:t xml:space="preserve">Federal University of Petroleum Resources, </w:t>
      </w:r>
      <w:proofErr w:type="spellStart"/>
      <w:r w:rsidRPr="00536DB4">
        <w:t>Effurun</w:t>
      </w:r>
      <w:proofErr w:type="spellEnd"/>
    </w:p>
    <w:p w:rsidR="00B715F4" w:rsidRPr="00536DB4" w:rsidRDefault="00B715F4" w:rsidP="00B715F4">
      <w:pPr>
        <w:pStyle w:val="BodyText"/>
        <w:jc w:val="both"/>
        <w:rPr>
          <w:rFonts w:eastAsia="Calibri"/>
        </w:rPr>
      </w:pPr>
      <w:r w:rsidRPr="00536DB4">
        <w:rPr>
          <w:vertAlign w:val="superscript"/>
        </w:rPr>
        <w:t>3</w:t>
      </w:r>
      <w:r w:rsidRPr="00536DB4">
        <w:rPr>
          <w:rFonts w:eastAsia="Calibri"/>
        </w:rPr>
        <w:t xml:space="preserve">Department of Science Laboratory Technology, Delta State University, </w:t>
      </w:r>
      <w:proofErr w:type="spellStart"/>
      <w:r w:rsidRPr="00536DB4">
        <w:rPr>
          <w:rFonts w:eastAsia="Calibri"/>
        </w:rPr>
        <w:t>Abraka</w:t>
      </w:r>
      <w:proofErr w:type="spellEnd"/>
      <w:r w:rsidRPr="00536DB4">
        <w:rPr>
          <w:rFonts w:eastAsia="Calibri"/>
        </w:rPr>
        <w:t>. Delta State</w:t>
      </w:r>
    </w:p>
    <w:p w:rsidR="00B715F4" w:rsidRPr="00536DB4" w:rsidRDefault="00B715F4" w:rsidP="00B715F4">
      <w:pPr>
        <w:pStyle w:val="BodyText"/>
        <w:jc w:val="both"/>
      </w:pPr>
      <w:r w:rsidRPr="00536DB4">
        <w:rPr>
          <w:rFonts w:eastAsia="Calibri"/>
          <w:vertAlign w:val="superscript"/>
        </w:rPr>
        <w:t>4</w:t>
      </w:r>
      <w:r w:rsidRPr="00536DB4">
        <w:t xml:space="preserve">Federal University of Petroleum Resources, </w:t>
      </w:r>
      <w:proofErr w:type="spellStart"/>
      <w:r w:rsidRPr="00536DB4">
        <w:t>Effurun</w:t>
      </w:r>
      <w:proofErr w:type="spellEnd"/>
    </w:p>
    <w:p w:rsidR="00B715F4" w:rsidRPr="00536DB4" w:rsidRDefault="00B715F4" w:rsidP="00B715F4">
      <w:pPr>
        <w:pStyle w:val="BodyText"/>
        <w:jc w:val="both"/>
      </w:pPr>
      <w:r w:rsidRPr="00536DB4">
        <w:rPr>
          <w:vertAlign w:val="superscript"/>
        </w:rPr>
        <w:t>5</w:t>
      </w:r>
      <w:r w:rsidRPr="00536DB4">
        <w:t xml:space="preserve">Federal University of Petroleum Resources, </w:t>
      </w:r>
      <w:proofErr w:type="spellStart"/>
      <w:r w:rsidRPr="00536DB4">
        <w:t>Effurun</w:t>
      </w:r>
      <w:proofErr w:type="spellEnd"/>
    </w:p>
    <w:p w:rsidR="00B715F4" w:rsidRDefault="00B715F4" w:rsidP="00B715F4">
      <w:pPr>
        <w:pStyle w:val="ListParagraph"/>
        <w:spacing w:line="360" w:lineRule="auto"/>
        <w:ind w:left="0"/>
        <w:jc w:val="both"/>
        <w:rPr>
          <w:rFonts w:ascii="Times New Roman" w:hAnsi="Times New Roman" w:cs="Times New Roman"/>
          <w:color w:val="000000" w:themeColor="text1"/>
          <w:sz w:val="24"/>
          <w:szCs w:val="24"/>
        </w:rPr>
      </w:pPr>
    </w:p>
    <w:p w:rsidR="00B715F4" w:rsidRPr="00536DB4" w:rsidRDefault="00B715F4" w:rsidP="00B715F4">
      <w:pPr>
        <w:pStyle w:val="ListParagraph"/>
        <w:spacing w:line="360" w:lineRule="auto"/>
        <w:ind w:left="0"/>
        <w:jc w:val="both"/>
        <w:rPr>
          <w:rFonts w:ascii="Times New Roman" w:hAnsi="Times New Roman" w:cs="Times New Roman"/>
          <w:b/>
          <w:bCs/>
          <w:sz w:val="24"/>
          <w:szCs w:val="24"/>
        </w:rPr>
      </w:pPr>
      <w:r w:rsidRPr="00536DB4">
        <w:rPr>
          <w:rFonts w:ascii="Times New Roman" w:hAnsi="Times New Roman" w:cs="Times New Roman"/>
          <w:b/>
          <w:bCs/>
          <w:sz w:val="24"/>
          <w:szCs w:val="24"/>
        </w:rPr>
        <w:t>Graphical abstract</w:t>
      </w:r>
    </w:p>
    <w:p w:rsidR="00B715F4" w:rsidRPr="00B715F4" w:rsidRDefault="00DE6BCA" w:rsidP="00B715F4">
      <w:pPr>
        <w:pStyle w:val="ListParagraph"/>
        <w:spacing w:line="360" w:lineRule="auto"/>
        <w:ind w:left="0"/>
        <w:jc w:val="both"/>
        <w:rPr>
          <w:rFonts w:ascii="Times New Roman" w:hAnsi="Times New Roman" w:cs="Times New Roman"/>
          <w:color w:val="000000" w:themeColor="text1"/>
          <w:sz w:val="24"/>
          <w:szCs w:val="24"/>
        </w:rPr>
      </w:pPr>
      <w:r>
        <w:rPr>
          <w:noProof/>
        </w:rPr>
        <w:drawing>
          <wp:anchor distT="0" distB="0" distL="114300" distR="114300" simplePos="0" relativeHeight="251659264" behindDoc="0" locked="0" layoutInCell="1" allowOverlap="1" wp14:anchorId="3C1761D5" wp14:editId="6810EF2F">
            <wp:simplePos x="0" y="0"/>
            <wp:positionH relativeFrom="margin">
              <wp:posOffset>3375660</wp:posOffset>
            </wp:positionH>
            <wp:positionV relativeFrom="paragraph">
              <wp:posOffset>10160</wp:posOffset>
            </wp:positionV>
            <wp:extent cx="2316480" cy="1889760"/>
            <wp:effectExtent l="0" t="0" r="7620" b="15240"/>
            <wp:wrapThrough wrapText="bothSides">
              <wp:wrapPolygon edited="0">
                <wp:start x="0" y="0"/>
                <wp:lineTo x="0" y="21556"/>
                <wp:lineTo x="21493" y="21556"/>
                <wp:lineTo x="21493" y="0"/>
                <wp:lineTo x="0" y="0"/>
              </wp:wrapPolygon>
            </wp:wrapThrough>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0" locked="0" layoutInCell="1" allowOverlap="1" wp14:anchorId="6CB4D0DD" wp14:editId="6FBD929D">
            <wp:simplePos x="0" y="0"/>
            <wp:positionH relativeFrom="margin">
              <wp:posOffset>22860</wp:posOffset>
            </wp:positionH>
            <wp:positionV relativeFrom="paragraph">
              <wp:posOffset>17780</wp:posOffset>
            </wp:positionV>
            <wp:extent cx="2583180" cy="1866900"/>
            <wp:effectExtent l="0" t="0" r="7620" b="0"/>
            <wp:wrapThrough wrapText="bothSides">
              <wp:wrapPolygon edited="0">
                <wp:start x="0" y="0"/>
                <wp:lineTo x="0" y="21380"/>
                <wp:lineTo x="21504" y="21380"/>
                <wp:lineTo x="21504" y="0"/>
                <wp:lineTo x="0" y="0"/>
              </wp:wrapPolygon>
            </wp:wrapThrough>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14:sizeRelH relativeFrom="page">
              <wp14:pctWidth>0</wp14:pctWidth>
            </wp14:sizeRelH>
            <wp14:sizeRelV relativeFrom="page">
              <wp14:pctHeight>0</wp14:pctHeight>
            </wp14:sizeRelV>
          </wp:anchor>
        </w:drawing>
      </w:r>
    </w:p>
    <w:p w:rsidR="00DE6BCA" w:rsidRDefault="00DE6BCA" w:rsidP="00510D57">
      <w:pPr>
        <w:spacing w:line="240" w:lineRule="auto"/>
        <w:jc w:val="center"/>
        <w:rPr>
          <w:rFonts w:ascii="Times New Roman" w:hAnsi="Times New Roman" w:cs="Times New Roman"/>
          <w:b/>
          <w:color w:val="000000" w:themeColor="text1"/>
          <w:sz w:val="24"/>
          <w:szCs w:val="24"/>
        </w:rPr>
      </w:pPr>
    </w:p>
    <w:p w:rsidR="00DE6BCA" w:rsidRDefault="00DE6BCA" w:rsidP="00510D57">
      <w:pPr>
        <w:spacing w:line="240" w:lineRule="auto"/>
        <w:jc w:val="center"/>
        <w:rPr>
          <w:rFonts w:ascii="Times New Roman" w:hAnsi="Times New Roman" w:cs="Times New Roman"/>
          <w:b/>
          <w:color w:val="000000" w:themeColor="text1"/>
          <w:sz w:val="24"/>
          <w:szCs w:val="24"/>
        </w:rPr>
      </w:pPr>
    </w:p>
    <w:p w:rsidR="00DE6BCA" w:rsidRDefault="00DE6BCA" w:rsidP="00510D57">
      <w:pPr>
        <w:spacing w:line="240" w:lineRule="auto"/>
        <w:jc w:val="center"/>
        <w:rPr>
          <w:rFonts w:ascii="Times New Roman" w:hAnsi="Times New Roman" w:cs="Times New Roman"/>
          <w:b/>
          <w:color w:val="000000" w:themeColor="text1"/>
          <w:sz w:val="24"/>
          <w:szCs w:val="24"/>
        </w:rPr>
      </w:pPr>
    </w:p>
    <w:p w:rsidR="00DE6BCA" w:rsidRDefault="00DE6BCA" w:rsidP="00510D57">
      <w:pPr>
        <w:spacing w:line="240" w:lineRule="auto"/>
        <w:jc w:val="center"/>
        <w:rPr>
          <w:rFonts w:ascii="Times New Roman" w:hAnsi="Times New Roman" w:cs="Times New Roman"/>
          <w:b/>
          <w:color w:val="000000" w:themeColor="text1"/>
          <w:sz w:val="24"/>
          <w:szCs w:val="24"/>
        </w:rPr>
      </w:pPr>
    </w:p>
    <w:p w:rsidR="00DE6BCA" w:rsidRDefault="00DE6BCA" w:rsidP="00510D57">
      <w:pPr>
        <w:spacing w:line="240" w:lineRule="auto"/>
        <w:jc w:val="center"/>
        <w:rPr>
          <w:rFonts w:ascii="Times New Roman" w:hAnsi="Times New Roman" w:cs="Times New Roman"/>
          <w:b/>
          <w:color w:val="000000" w:themeColor="text1"/>
          <w:sz w:val="24"/>
          <w:szCs w:val="24"/>
        </w:rPr>
      </w:pPr>
    </w:p>
    <w:p w:rsidR="00DE6BCA" w:rsidRDefault="00DE6BCA" w:rsidP="00510D57">
      <w:pPr>
        <w:spacing w:line="240" w:lineRule="auto"/>
        <w:jc w:val="center"/>
        <w:rPr>
          <w:rFonts w:ascii="Times New Roman" w:hAnsi="Times New Roman" w:cs="Times New Roman"/>
          <w:b/>
          <w:color w:val="000000" w:themeColor="text1"/>
          <w:sz w:val="24"/>
          <w:szCs w:val="24"/>
        </w:rPr>
      </w:pPr>
    </w:p>
    <w:p w:rsidR="00DE6BCA" w:rsidRDefault="00DE6BCA" w:rsidP="00510D57">
      <w:pPr>
        <w:spacing w:line="240" w:lineRule="auto"/>
        <w:jc w:val="center"/>
        <w:rPr>
          <w:rFonts w:ascii="Times New Roman" w:hAnsi="Times New Roman" w:cs="Times New Roman"/>
          <w:b/>
          <w:color w:val="000000" w:themeColor="text1"/>
          <w:sz w:val="24"/>
          <w:szCs w:val="24"/>
        </w:rPr>
      </w:pPr>
      <w:r>
        <w:rPr>
          <w:noProof/>
        </w:rPr>
        <w:drawing>
          <wp:anchor distT="0" distB="0" distL="114300" distR="114300" simplePos="0" relativeHeight="251661312" behindDoc="0" locked="0" layoutInCell="1" allowOverlap="1" wp14:anchorId="6A184A96" wp14:editId="40F24A0A">
            <wp:simplePos x="0" y="0"/>
            <wp:positionH relativeFrom="margin">
              <wp:posOffset>3314700</wp:posOffset>
            </wp:positionH>
            <wp:positionV relativeFrom="paragraph">
              <wp:posOffset>19685</wp:posOffset>
            </wp:positionV>
            <wp:extent cx="2476500" cy="1844040"/>
            <wp:effectExtent l="0" t="0" r="0" b="3810"/>
            <wp:wrapThrough wrapText="bothSides">
              <wp:wrapPolygon edited="0">
                <wp:start x="0" y="0"/>
                <wp:lineTo x="0" y="21421"/>
                <wp:lineTo x="21434" y="21421"/>
                <wp:lineTo x="21434" y="0"/>
                <wp:lineTo x="0" y="0"/>
              </wp:wrapPolygon>
            </wp:wrapThrough>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0" locked="0" layoutInCell="1" allowOverlap="1" wp14:anchorId="4F645FC3" wp14:editId="58BAA51D">
            <wp:simplePos x="0" y="0"/>
            <wp:positionH relativeFrom="column">
              <wp:posOffset>76200</wp:posOffset>
            </wp:positionH>
            <wp:positionV relativeFrom="paragraph">
              <wp:posOffset>27305</wp:posOffset>
            </wp:positionV>
            <wp:extent cx="2583180" cy="1775460"/>
            <wp:effectExtent l="0" t="0" r="7620" b="15240"/>
            <wp:wrapThrough wrapText="bothSides">
              <wp:wrapPolygon edited="0">
                <wp:start x="0" y="0"/>
                <wp:lineTo x="0" y="21554"/>
                <wp:lineTo x="21504" y="21554"/>
                <wp:lineTo x="21504" y="0"/>
                <wp:lineTo x="0" y="0"/>
              </wp:wrapPolygon>
            </wp:wrapThrough>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page">
              <wp14:pctWidth>0</wp14:pctWidth>
            </wp14:sizeRelH>
            <wp14:sizeRelV relativeFrom="page">
              <wp14:pctHeight>0</wp14:pctHeight>
            </wp14:sizeRelV>
          </wp:anchor>
        </w:drawing>
      </w:r>
    </w:p>
    <w:p w:rsidR="00DE6BCA" w:rsidRDefault="00DE6BCA" w:rsidP="00510D57">
      <w:pPr>
        <w:spacing w:line="240" w:lineRule="auto"/>
        <w:jc w:val="center"/>
        <w:rPr>
          <w:rFonts w:ascii="Times New Roman" w:hAnsi="Times New Roman" w:cs="Times New Roman"/>
          <w:b/>
          <w:color w:val="000000" w:themeColor="text1"/>
          <w:sz w:val="24"/>
          <w:szCs w:val="24"/>
        </w:rPr>
      </w:pPr>
    </w:p>
    <w:p w:rsidR="00DE6BCA" w:rsidRDefault="00DE6BCA" w:rsidP="00510D57">
      <w:pPr>
        <w:spacing w:line="240" w:lineRule="auto"/>
        <w:jc w:val="center"/>
        <w:rPr>
          <w:rFonts w:ascii="Times New Roman" w:hAnsi="Times New Roman" w:cs="Times New Roman"/>
          <w:b/>
          <w:color w:val="000000" w:themeColor="text1"/>
          <w:sz w:val="24"/>
          <w:szCs w:val="24"/>
        </w:rPr>
      </w:pPr>
    </w:p>
    <w:p w:rsidR="00DE6BCA" w:rsidRDefault="00DE6BCA" w:rsidP="00510D57">
      <w:pPr>
        <w:spacing w:line="240" w:lineRule="auto"/>
        <w:jc w:val="center"/>
        <w:rPr>
          <w:rFonts w:ascii="Times New Roman" w:hAnsi="Times New Roman" w:cs="Times New Roman"/>
          <w:b/>
          <w:color w:val="000000" w:themeColor="text1"/>
          <w:sz w:val="24"/>
          <w:szCs w:val="24"/>
        </w:rPr>
      </w:pPr>
    </w:p>
    <w:p w:rsidR="00DE6BCA" w:rsidRDefault="00DE6BCA" w:rsidP="00510D57">
      <w:pPr>
        <w:spacing w:line="240" w:lineRule="auto"/>
        <w:jc w:val="center"/>
        <w:rPr>
          <w:rFonts w:ascii="Times New Roman" w:hAnsi="Times New Roman" w:cs="Times New Roman"/>
          <w:b/>
          <w:color w:val="000000" w:themeColor="text1"/>
          <w:sz w:val="24"/>
          <w:szCs w:val="24"/>
        </w:rPr>
      </w:pPr>
    </w:p>
    <w:p w:rsidR="00DE6BCA" w:rsidRDefault="00DE6BCA" w:rsidP="00510D57">
      <w:pPr>
        <w:spacing w:line="240" w:lineRule="auto"/>
        <w:jc w:val="center"/>
        <w:rPr>
          <w:rFonts w:ascii="Times New Roman" w:hAnsi="Times New Roman" w:cs="Times New Roman"/>
          <w:b/>
          <w:color w:val="000000" w:themeColor="text1"/>
          <w:sz w:val="24"/>
          <w:szCs w:val="24"/>
        </w:rPr>
      </w:pPr>
    </w:p>
    <w:p w:rsidR="00DE6BCA" w:rsidRDefault="00DE6BCA" w:rsidP="00510D57">
      <w:pPr>
        <w:spacing w:line="240" w:lineRule="auto"/>
        <w:jc w:val="center"/>
        <w:rPr>
          <w:rFonts w:ascii="Times New Roman" w:hAnsi="Times New Roman" w:cs="Times New Roman"/>
          <w:b/>
          <w:color w:val="000000" w:themeColor="text1"/>
          <w:sz w:val="24"/>
          <w:szCs w:val="24"/>
        </w:rPr>
      </w:pPr>
    </w:p>
    <w:p w:rsidR="00E432C3" w:rsidRDefault="00E432C3" w:rsidP="00510D57">
      <w:pPr>
        <w:spacing w:line="240" w:lineRule="auto"/>
        <w:jc w:val="center"/>
        <w:rPr>
          <w:rFonts w:ascii="Times New Roman" w:hAnsi="Times New Roman" w:cs="Times New Roman"/>
          <w:b/>
          <w:color w:val="000000" w:themeColor="text1"/>
          <w:sz w:val="24"/>
          <w:szCs w:val="24"/>
        </w:rPr>
      </w:pPr>
    </w:p>
    <w:p w:rsidR="00E432C3" w:rsidRDefault="00E432C3" w:rsidP="00E432C3">
      <w:pPr>
        <w:spacing w:line="24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Research Highlights</w:t>
      </w:r>
    </w:p>
    <w:p w:rsidR="00E432C3" w:rsidRPr="00E432C3" w:rsidRDefault="00E432C3" w:rsidP="00E432C3">
      <w:pPr>
        <w:pStyle w:val="NormalWeb"/>
        <w:numPr>
          <w:ilvl w:val="0"/>
          <w:numId w:val="1"/>
        </w:numPr>
        <w:tabs>
          <w:tab w:val="left" w:pos="2610"/>
        </w:tabs>
        <w:jc w:val="both"/>
      </w:pPr>
      <w:r w:rsidRPr="00E432C3">
        <w:rPr>
          <w:rStyle w:val="Strong"/>
          <w:b w:val="0"/>
        </w:rPr>
        <w:t>Direct experimental assessment of PMD through DGD</w:t>
      </w:r>
      <w:r w:rsidRPr="00E432C3">
        <w:t xml:space="preserve"> under real environmental conditions in selected areas of Abuja, Nigeria.</w:t>
      </w:r>
    </w:p>
    <w:p w:rsidR="00E432C3" w:rsidRPr="00E432C3" w:rsidRDefault="00E432C3" w:rsidP="00E432C3">
      <w:pPr>
        <w:pStyle w:val="NormalWeb"/>
        <w:numPr>
          <w:ilvl w:val="0"/>
          <w:numId w:val="1"/>
        </w:numPr>
        <w:tabs>
          <w:tab w:val="left" w:pos="2610"/>
        </w:tabs>
        <w:jc w:val="both"/>
      </w:pPr>
      <w:r w:rsidRPr="00E432C3">
        <w:rPr>
          <w:rStyle w:val="Strong"/>
          <w:b w:val="0"/>
        </w:rPr>
        <w:t>Comparison of NRZ and QAM modulation</w:t>
      </w:r>
      <w:r w:rsidRPr="00E432C3">
        <w:rPr>
          <w:rStyle w:val="Strong"/>
        </w:rPr>
        <w:t xml:space="preserve"> </w:t>
      </w:r>
      <w:r w:rsidRPr="00E432C3">
        <w:rPr>
          <w:rStyle w:val="Strong"/>
          <w:b w:val="0"/>
        </w:rPr>
        <w:t>formats</w:t>
      </w:r>
      <w:r w:rsidRPr="00E432C3">
        <w:t xml:space="preserve"> shows that NRZ is significantly more vulnerable to PMD-induced degradation than QAM.</w:t>
      </w:r>
    </w:p>
    <w:p w:rsidR="00E432C3" w:rsidRPr="00E432C3" w:rsidRDefault="00E432C3" w:rsidP="00E432C3">
      <w:pPr>
        <w:pStyle w:val="NormalWeb"/>
        <w:numPr>
          <w:ilvl w:val="0"/>
          <w:numId w:val="1"/>
        </w:numPr>
        <w:tabs>
          <w:tab w:val="left" w:pos="2610"/>
        </w:tabs>
        <w:jc w:val="both"/>
      </w:pPr>
      <w:r w:rsidRPr="00E432C3">
        <w:rPr>
          <w:rStyle w:val="Strong"/>
          <w:b w:val="0"/>
        </w:rPr>
        <w:t>Environmental variations (temperature and humidity</w:t>
      </w:r>
      <w:r w:rsidRPr="00E432C3">
        <w:rPr>
          <w:rStyle w:val="Strong"/>
        </w:rPr>
        <w:t>)</w:t>
      </w:r>
      <w:r w:rsidRPr="00E432C3">
        <w:t xml:space="preserve"> caused measurable increases in DGD, with humidity contributing up to 2.94 </w:t>
      </w:r>
      <w:proofErr w:type="spellStart"/>
      <w:r w:rsidRPr="00E432C3">
        <w:t>ps</w:t>
      </w:r>
      <w:proofErr w:type="spellEnd"/>
      <w:r w:rsidRPr="00E432C3">
        <w:t xml:space="preserve"> (NRZ) and 1.45 </w:t>
      </w:r>
      <w:proofErr w:type="spellStart"/>
      <w:r w:rsidRPr="00E432C3">
        <w:t>ps</w:t>
      </w:r>
      <w:proofErr w:type="spellEnd"/>
      <w:r w:rsidRPr="00E432C3">
        <w:t xml:space="preserve"> (QAM).</w:t>
      </w:r>
    </w:p>
    <w:p w:rsidR="00510D57" w:rsidRPr="00EF662E" w:rsidRDefault="00510D57" w:rsidP="00510D57">
      <w:pPr>
        <w:spacing w:line="240" w:lineRule="auto"/>
        <w:jc w:val="center"/>
        <w:rPr>
          <w:rFonts w:ascii="Times New Roman" w:hAnsi="Times New Roman" w:cs="Times New Roman"/>
          <w:b/>
          <w:color w:val="000000" w:themeColor="text1"/>
          <w:sz w:val="24"/>
          <w:szCs w:val="24"/>
        </w:rPr>
      </w:pPr>
      <w:r w:rsidRPr="00EF662E">
        <w:rPr>
          <w:rFonts w:ascii="Times New Roman" w:hAnsi="Times New Roman" w:cs="Times New Roman"/>
          <w:b/>
          <w:color w:val="000000" w:themeColor="text1"/>
          <w:sz w:val="24"/>
          <w:szCs w:val="24"/>
        </w:rPr>
        <w:lastRenderedPageBreak/>
        <w:t>Abstract</w:t>
      </w:r>
    </w:p>
    <w:p w:rsidR="00C74EC5" w:rsidRDefault="00C74EC5" w:rsidP="00C74EC5">
      <w:pPr>
        <w:pStyle w:val="NormalWeb"/>
        <w:jc w:val="both"/>
      </w:pPr>
      <w:r>
        <w:t xml:space="preserve">The rising internet use, digital transformation, and expanding telecom networks have increased demand for high-speed data transmission. However, Polarization Mode Dispersion (PMD) remains a major challenge, degrading signal quality and limiting data rates in optical fiber systems. This study investigates the impact of PMD on high-speed single-mode optical fiber systems by analyzing Differential Group Delay (DGD) and varying environmental conditions in selected areas of Abuja, Nigeria. Using two modulation formats; Non-Return-to-Zero (NRZ) and Quadrature Amplitude Modulation (QAM), the research examines how PMD-induced DGD affects key signal performance metrics, including Bit Error Rate (BER), jitter, Signal-to-Noise Ratio (SNR), and output optical power across fiber lengths ranging from 1 km to 40km. The experimental approach employed a time-domain method for direct DGD characterization using a test-bed consisting of a PMD emulator, Bit Error Rate Tester (BERT), polarization controller, optical power meter, and environmental sensors for temperature and humidity monitoring. All measurements were conducted at data rates between 15 </w:t>
      </w:r>
      <w:proofErr w:type="spellStart"/>
      <w:r>
        <w:t>Gbps</w:t>
      </w:r>
      <w:proofErr w:type="spellEnd"/>
      <w:r>
        <w:t xml:space="preserve"> and 240 </w:t>
      </w:r>
      <w:proofErr w:type="spellStart"/>
      <w:r>
        <w:t>Gbps</w:t>
      </w:r>
      <w:proofErr w:type="spellEnd"/>
      <w:r>
        <w:t xml:space="preserve"> and at central wavelengths of 1350 nm and 1450 nm.</w:t>
      </w:r>
    </w:p>
    <w:p w:rsidR="00C74EC5" w:rsidRDefault="00C74EC5" w:rsidP="00C74EC5">
      <w:pPr>
        <w:pStyle w:val="NormalWeb"/>
        <w:jc w:val="both"/>
      </w:pPr>
      <w:r>
        <w:t xml:space="preserve">Results indicate that in NRZ systems, DGD increases from 0.266 </w:t>
      </w:r>
      <w:proofErr w:type="spellStart"/>
      <w:r>
        <w:t>ps</w:t>
      </w:r>
      <w:proofErr w:type="spellEnd"/>
      <w:r>
        <w:t xml:space="preserve"> at 1 km to 4.543 </w:t>
      </w:r>
      <w:proofErr w:type="spellStart"/>
      <w:r>
        <w:t>ps</w:t>
      </w:r>
      <w:proofErr w:type="spellEnd"/>
      <w:r>
        <w:t xml:space="preserve"> at 40.56 km, with jitter rising from 4.12 </w:t>
      </w:r>
      <w:proofErr w:type="spellStart"/>
      <w:r>
        <w:t>ps</w:t>
      </w:r>
      <w:proofErr w:type="spellEnd"/>
      <w:r>
        <w:t xml:space="preserve"> to 31.20 </w:t>
      </w:r>
      <w:proofErr w:type="spellStart"/>
      <w:r>
        <w:t>ps</w:t>
      </w:r>
      <w:proofErr w:type="spellEnd"/>
      <w:r>
        <w:t xml:space="preserve"> and SNR decreasing from 34.2 dB to 52.9 dB, depending on environmental variations. In QAM systems, DGD rises from 0.325 </w:t>
      </w:r>
      <w:proofErr w:type="spellStart"/>
      <w:r>
        <w:t>ps</w:t>
      </w:r>
      <w:proofErr w:type="spellEnd"/>
      <w:r>
        <w:t xml:space="preserve"> to 4.54 </w:t>
      </w:r>
      <w:proofErr w:type="spellStart"/>
      <w:r>
        <w:t>ps</w:t>
      </w:r>
      <w:proofErr w:type="spellEnd"/>
      <w:r>
        <w:t xml:space="preserve">, with jitter increasing from 3.85 </w:t>
      </w:r>
      <w:proofErr w:type="spellStart"/>
      <w:r>
        <w:t>ps</w:t>
      </w:r>
      <w:proofErr w:type="spellEnd"/>
      <w:r>
        <w:t xml:space="preserve"> to 33.20 ps. Humidity changes from 53.1% to 59.5% caused DGD increases of up to 2.94 </w:t>
      </w:r>
      <w:proofErr w:type="spellStart"/>
      <w:r>
        <w:t>ps</w:t>
      </w:r>
      <w:proofErr w:type="spellEnd"/>
      <w:r>
        <w:t xml:space="preserve"> (NRZ) and 1.45 </w:t>
      </w:r>
      <w:proofErr w:type="spellStart"/>
      <w:r>
        <w:t>ps</w:t>
      </w:r>
      <w:proofErr w:type="spellEnd"/>
      <w:r>
        <w:t xml:space="preserve"> (QAM), while temperature variations from 28.34°C to 29.90°C produced further fluctuations. BER values remained within 1.12×10⁻⁷ to 1.34×10⁻⁷, reflecting DGD’s influence on symbol detection accuracy. </w:t>
      </w:r>
      <w:r w:rsidRPr="00C74EC5">
        <w:t>Overall, NRZ exhibits greater sensitivity to PMD-induced DGD under varying environmental conditions, while QAM shows slightly higher jitter at longer fiber lengths. These results highlight the need to account for both modulation format and environmental factors when designing resilient optical communication networks in Abuja and similar sub-Saharan regions.</w:t>
      </w:r>
    </w:p>
    <w:p w:rsidR="00C84F06" w:rsidRDefault="00DE6BCA">
      <w:pPr>
        <w:rPr>
          <w:rFonts w:ascii="Times New Roman" w:hAnsi="Times New Roman" w:cs="Times New Roman"/>
          <w:bCs/>
          <w:sz w:val="24"/>
          <w:szCs w:val="24"/>
        </w:rPr>
      </w:pPr>
      <w:r w:rsidRPr="00EF662E">
        <w:rPr>
          <w:rFonts w:ascii="Times New Roman" w:hAnsi="Times New Roman" w:cs="Times New Roman"/>
          <w:b/>
          <w:bCs/>
          <w:sz w:val="24"/>
          <w:szCs w:val="24"/>
        </w:rPr>
        <w:t xml:space="preserve">Keywords: </w:t>
      </w:r>
      <w:r w:rsidRPr="00EF662E">
        <w:rPr>
          <w:rFonts w:ascii="Times New Roman" w:hAnsi="Times New Roman" w:cs="Times New Roman"/>
          <w:bCs/>
          <w:sz w:val="24"/>
          <w:szCs w:val="24"/>
        </w:rPr>
        <w:t>Polarization mode dispersion (PMD), Differential group delay (DGD), Quadrature Amplitude modulation (QAM), Non-return-to-zero modulation (NRZ).</w:t>
      </w:r>
      <w:bookmarkStart w:id="0" w:name="_GoBack"/>
      <w:bookmarkEnd w:id="0"/>
    </w:p>
    <w:sectPr w:rsidR="00C84F0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BA55123"/>
    <w:multiLevelType w:val="hybridMultilevel"/>
    <w:tmpl w:val="CC88312C"/>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0D57"/>
    <w:rsid w:val="00510D57"/>
    <w:rsid w:val="00970070"/>
    <w:rsid w:val="00B715F4"/>
    <w:rsid w:val="00C74EC5"/>
    <w:rsid w:val="00C84F06"/>
    <w:rsid w:val="00DE6BCA"/>
    <w:rsid w:val="00E432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300772F-EE7D-4269-BA5D-B777E7A160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10D5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715F4"/>
    <w:pPr>
      <w:ind w:left="720"/>
      <w:contextualSpacing/>
    </w:pPr>
  </w:style>
  <w:style w:type="paragraph" w:styleId="BodyText">
    <w:name w:val="Body Text"/>
    <w:basedOn w:val="Normal"/>
    <w:link w:val="BodyTextChar"/>
    <w:uiPriority w:val="1"/>
    <w:qFormat/>
    <w:rsid w:val="00B715F4"/>
    <w:pPr>
      <w:widowControl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B715F4"/>
    <w:rPr>
      <w:rFonts w:ascii="Times New Roman" w:eastAsia="Times New Roman" w:hAnsi="Times New Roman" w:cs="Times New Roman"/>
      <w:sz w:val="24"/>
      <w:szCs w:val="24"/>
    </w:rPr>
  </w:style>
  <w:style w:type="paragraph" w:styleId="NormalWeb">
    <w:name w:val="Normal (Web)"/>
    <w:basedOn w:val="Normal"/>
    <w:uiPriority w:val="99"/>
    <w:unhideWhenUsed/>
    <w:rsid w:val="00E432C3"/>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E432C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9451752">
      <w:bodyDiv w:val="1"/>
      <w:marLeft w:val="0"/>
      <w:marRight w:val="0"/>
      <w:marTop w:val="0"/>
      <w:marBottom w:val="0"/>
      <w:divBdr>
        <w:top w:val="none" w:sz="0" w:space="0" w:color="auto"/>
        <w:left w:val="none" w:sz="0" w:space="0" w:color="auto"/>
        <w:bottom w:val="none" w:sz="0" w:space="0" w:color="auto"/>
        <w:right w:val="none" w:sz="0" w:space="0" w:color="auto"/>
      </w:divBdr>
    </w:div>
    <w:div w:id="811602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4.xml"/><Relationship Id="rId3" Type="http://schemas.openxmlformats.org/officeDocument/2006/relationships/settings" Target="settings.xml"/><Relationship Id="rId7" Type="http://schemas.openxmlformats.org/officeDocument/2006/relationships/chart" Target="charts/chart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2.xml"/><Relationship Id="rId5" Type="http://schemas.openxmlformats.org/officeDocument/2006/relationships/chart" Target="charts/chart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USER\Documents\MY%20PROJECT%20PROPOSAL%20AND%20PROJECT\data%20analysis%20for%20my%20project\Structured_PMD_Data%20fully%20organized.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ER\Documents\MY%20PROJECT%20PROPOSAL%20AND%20PROJECT\data%20analysis%20for%20my%20project\Structured_PMD_Data%20fully%20organized.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SER\Documents\MY%20PROJECT%20PROPOSAL%20AND%20PROJECT\data%20analysis%20for%20my%20project\Structured_PMD_Data%20fully%20organized.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USER\Documents\MY%20PROJECT%20PROPOSAL%20AND%20PROJECT\data%20analysis%20for%20my%20project\Structured_PMD_Data%20fully%20organized.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700">
                <a:latin typeface="Times New Roman" panose="02020603050405020304" pitchFamily="18" charset="0"/>
                <a:cs typeface="Times New Roman" panose="02020603050405020304" pitchFamily="18" charset="0"/>
              </a:rPr>
              <a:t>Plot</a:t>
            </a:r>
            <a:r>
              <a:rPr lang="en-US" sz="700" baseline="0">
                <a:latin typeface="Times New Roman" panose="02020603050405020304" pitchFamily="18" charset="0"/>
                <a:cs typeface="Times New Roman" panose="02020603050405020304" pitchFamily="18" charset="0"/>
              </a:rPr>
              <a:t> of Temp. and Humidity vs Fiberlength for NRZ</a:t>
            </a:r>
            <a:endParaRPr lang="en-US" sz="7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cked"/>
        <c:varyColors val="0"/>
        <c:ser>
          <c:idx val="0"/>
          <c:order val="0"/>
          <c:tx>
            <c:strRef>
              <c:f>Sheet4!$AC$1</c:f>
              <c:strCache>
                <c:ptCount val="1"/>
                <c:pt idx="0">
                  <c:v>Fiber Length (km)</c:v>
                </c:pt>
              </c:strCache>
            </c:strRef>
          </c:tx>
          <c:spPr>
            <a:ln w="28575" cap="rnd">
              <a:solidFill>
                <a:schemeClr val="accent1"/>
              </a:solidFill>
              <a:round/>
            </a:ln>
            <a:effectLst/>
          </c:spPr>
          <c:marker>
            <c:symbol val="none"/>
          </c:marker>
          <c:val>
            <c:numRef>
              <c:f>Sheet4!$AC$2:$AC$15</c:f>
              <c:numCache>
                <c:formatCode>General</c:formatCode>
                <c:ptCount val="14"/>
                <c:pt idx="0">
                  <c:v>24.567889999999998</c:v>
                </c:pt>
                <c:pt idx="1">
                  <c:v>27.345678899999999</c:v>
                </c:pt>
                <c:pt idx="2">
                  <c:v>29.345678899999999</c:v>
                </c:pt>
                <c:pt idx="3">
                  <c:v>31.567889999999998</c:v>
                </c:pt>
                <c:pt idx="4">
                  <c:v>33.567889999999998</c:v>
                </c:pt>
                <c:pt idx="5">
                  <c:v>34.567889999999998</c:v>
                </c:pt>
                <c:pt idx="6">
                  <c:v>36.567889999999998</c:v>
                </c:pt>
                <c:pt idx="7">
                  <c:v>36.567889999999998</c:v>
                </c:pt>
                <c:pt idx="8">
                  <c:v>37.567889999999998</c:v>
                </c:pt>
                <c:pt idx="9">
                  <c:v>38.567889999999998</c:v>
                </c:pt>
                <c:pt idx="10">
                  <c:v>38.567889999999998</c:v>
                </c:pt>
                <c:pt idx="11">
                  <c:v>39.567889999999998</c:v>
                </c:pt>
                <c:pt idx="12">
                  <c:v>39.567889999999998</c:v>
                </c:pt>
                <c:pt idx="13">
                  <c:v>40.567889999999998</c:v>
                </c:pt>
              </c:numCache>
            </c:numRef>
          </c:val>
          <c:smooth val="0"/>
        </c:ser>
        <c:ser>
          <c:idx val="1"/>
          <c:order val="1"/>
          <c:tx>
            <c:strRef>
              <c:f>Sheet4!$AD$1</c:f>
              <c:strCache>
                <c:ptCount val="1"/>
                <c:pt idx="0">
                  <c:v>Humidity (%)</c:v>
                </c:pt>
              </c:strCache>
            </c:strRef>
          </c:tx>
          <c:spPr>
            <a:ln w="28575" cap="rnd">
              <a:solidFill>
                <a:schemeClr val="accent2"/>
              </a:solidFill>
              <a:round/>
            </a:ln>
            <a:effectLst/>
          </c:spPr>
          <c:marker>
            <c:symbol val="none"/>
          </c:marker>
          <c:val>
            <c:numRef>
              <c:f>Sheet4!$AD$2:$AD$15</c:f>
              <c:numCache>
                <c:formatCode>General</c:formatCode>
                <c:ptCount val="14"/>
                <c:pt idx="0">
                  <c:v>56.320999999999998</c:v>
                </c:pt>
                <c:pt idx="1">
                  <c:v>53.21</c:v>
                </c:pt>
                <c:pt idx="2">
                  <c:v>53.1</c:v>
                </c:pt>
                <c:pt idx="3">
                  <c:v>58.5</c:v>
                </c:pt>
                <c:pt idx="4">
                  <c:v>59.5</c:v>
                </c:pt>
                <c:pt idx="5">
                  <c:v>53.5</c:v>
                </c:pt>
                <c:pt idx="6">
                  <c:v>58.5</c:v>
                </c:pt>
                <c:pt idx="7">
                  <c:v>55.320999999999998</c:v>
                </c:pt>
                <c:pt idx="8">
                  <c:v>56.320999999999998</c:v>
                </c:pt>
                <c:pt idx="9">
                  <c:v>55.320999999999998</c:v>
                </c:pt>
                <c:pt idx="10">
                  <c:v>59.320999999999998</c:v>
                </c:pt>
                <c:pt idx="11">
                  <c:v>58.320999999999998</c:v>
                </c:pt>
                <c:pt idx="12">
                  <c:v>55.320999999999998</c:v>
                </c:pt>
                <c:pt idx="13">
                  <c:v>56.320999999999998</c:v>
                </c:pt>
              </c:numCache>
            </c:numRef>
          </c:val>
          <c:smooth val="0"/>
        </c:ser>
        <c:ser>
          <c:idx val="2"/>
          <c:order val="2"/>
          <c:tx>
            <c:strRef>
              <c:f>Sheet4!$AE$1</c:f>
              <c:strCache>
                <c:ptCount val="1"/>
                <c:pt idx="0">
                  <c:v>Temperature</c:v>
                </c:pt>
              </c:strCache>
            </c:strRef>
          </c:tx>
          <c:spPr>
            <a:ln w="28575" cap="rnd">
              <a:solidFill>
                <a:schemeClr val="accent3"/>
              </a:solidFill>
              <a:round/>
            </a:ln>
            <a:effectLst/>
          </c:spPr>
          <c:marker>
            <c:symbol val="none"/>
          </c:marker>
          <c:val>
            <c:numRef>
              <c:f>Sheet4!$AE$2:$AE$15</c:f>
              <c:numCache>
                <c:formatCode>General</c:formatCode>
                <c:ptCount val="14"/>
                <c:pt idx="0">
                  <c:v>29.854320999999999</c:v>
                </c:pt>
                <c:pt idx="1">
                  <c:v>29.456789000000001</c:v>
                </c:pt>
                <c:pt idx="2">
                  <c:v>27.8654321</c:v>
                </c:pt>
                <c:pt idx="3">
                  <c:v>29.465432100000001</c:v>
                </c:pt>
                <c:pt idx="4">
                  <c:v>26.465432100000001</c:v>
                </c:pt>
                <c:pt idx="5">
                  <c:v>27.923456779999999</c:v>
                </c:pt>
                <c:pt idx="6">
                  <c:v>29.056788999999998</c:v>
                </c:pt>
                <c:pt idx="7">
                  <c:v>27.265432100000002</c:v>
                </c:pt>
                <c:pt idx="8">
                  <c:v>27.3654321</c:v>
                </c:pt>
                <c:pt idx="9">
                  <c:v>26.965432100000001</c:v>
                </c:pt>
                <c:pt idx="10">
                  <c:v>28.156789</c:v>
                </c:pt>
                <c:pt idx="11">
                  <c:v>28.556788999999998</c:v>
                </c:pt>
                <c:pt idx="12">
                  <c:v>26.765432100000002</c:v>
                </c:pt>
                <c:pt idx="13">
                  <c:v>28.156789</c:v>
                </c:pt>
              </c:numCache>
            </c:numRef>
          </c:val>
          <c:smooth val="0"/>
        </c:ser>
        <c:dLbls>
          <c:showLegendKey val="0"/>
          <c:showVal val="0"/>
          <c:showCatName val="0"/>
          <c:showSerName val="0"/>
          <c:showPercent val="0"/>
          <c:showBubbleSize val="0"/>
        </c:dLbls>
        <c:smooth val="0"/>
        <c:axId val="603677520"/>
        <c:axId val="603676736"/>
      </c:lineChart>
      <c:catAx>
        <c:axId val="60367752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3676736"/>
        <c:crosses val="autoZero"/>
        <c:auto val="1"/>
        <c:lblAlgn val="ctr"/>
        <c:lblOffset val="100"/>
        <c:noMultiLvlLbl val="0"/>
      </c:catAx>
      <c:valAx>
        <c:axId val="60367673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36775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800" b="0" i="0" baseline="0">
                <a:effectLst/>
                <a:latin typeface="Times New Roman" panose="02020603050405020304" pitchFamily="18" charset="0"/>
                <a:cs typeface="Times New Roman" panose="02020603050405020304" pitchFamily="18" charset="0"/>
              </a:rPr>
              <a:t>Plot of DGD vs Fiberlength for NRZ</a:t>
            </a:r>
            <a:endParaRPr lang="en-US" sz="600">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smoothMarker"/>
        <c:varyColors val="0"/>
        <c:ser>
          <c:idx val="0"/>
          <c:order val="0"/>
          <c:tx>
            <c:strRef>
              <c:f>Sheet4!$V$1</c:f>
              <c:strCache>
                <c:ptCount val="1"/>
                <c:pt idx="0">
                  <c:v>Fibre Length (km)</c:v>
                </c:pt>
              </c:strCache>
            </c:strRef>
          </c:tx>
          <c:spPr>
            <a:ln w="28575" cap="rnd">
              <a:solidFill>
                <a:schemeClr val="accent1"/>
              </a:solidFill>
              <a:round/>
            </a:ln>
            <a:effectLst/>
          </c:spPr>
          <c:marker>
            <c:symbol val="none"/>
          </c:marker>
          <c:yVal>
            <c:numRef>
              <c:f>Sheet4!$V$2:$V$24</c:f>
              <c:numCache>
                <c:formatCode>General</c:formatCode>
                <c:ptCount val="23"/>
                <c:pt idx="0">
                  <c:v>1</c:v>
                </c:pt>
                <c:pt idx="1">
                  <c:v>2</c:v>
                </c:pt>
                <c:pt idx="2">
                  <c:v>3</c:v>
                </c:pt>
                <c:pt idx="3">
                  <c:v>4</c:v>
                </c:pt>
                <c:pt idx="4">
                  <c:v>6</c:v>
                </c:pt>
                <c:pt idx="5">
                  <c:v>8</c:v>
                </c:pt>
                <c:pt idx="6">
                  <c:v>10</c:v>
                </c:pt>
                <c:pt idx="7">
                  <c:v>12</c:v>
                </c:pt>
                <c:pt idx="8">
                  <c:v>14</c:v>
                </c:pt>
                <c:pt idx="9">
                  <c:v>24.567889999999998</c:v>
                </c:pt>
                <c:pt idx="10">
                  <c:v>27.345678899999999</c:v>
                </c:pt>
                <c:pt idx="11">
                  <c:v>29.345678899999999</c:v>
                </c:pt>
                <c:pt idx="12">
                  <c:v>31.567889999999998</c:v>
                </c:pt>
                <c:pt idx="13">
                  <c:v>33.567889999999998</c:v>
                </c:pt>
                <c:pt idx="14">
                  <c:v>34.567889999999998</c:v>
                </c:pt>
                <c:pt idx="15">
                  <c:v>36.567889999999998</c:v>
                </c:pt>
                <c:pt idx="16">
                  <c:v>36.567889999999998</c:v>
                </c:pt>
                <c:pt idx="17">
                  <c:v>37.567889999999998</c:v>
                </c:pt>
                <c:pt idx="18">
                  <c:v>38.567889999999998</c:v>
                </c:pt>
                <c:pt idx="19">
                  <c:v>38.567889999999998</c:v>
                </c:pt>
                <c:pt idx="20">
                  <c:v>39.567889999999998</c:v>
                </c:pt>
                <c:pt idx="21">
                  <c:v>39.567889999999998</c:v>
                </c:pt>
                <c:pt idx="22">
                  <c:v>40.567889999999998</c:v>
                </c:pt>
              </c:numCache>
            </c:numRef>
          </c:yVal>
          <c:smooth val="1"/>
        </c:ser>
        <c:ser>
          <c:idx val="1"/>
          <c:order val="1"/>
          <c:tx>
            <c:strRef>
              <c:f>Sheet4!$W$1</c:f>
              <c:strCache>
                <c:ptCount val="1"/>
                <c:pt idx="0">
                  <c:v>DGD (ps)</c:v>
                </c:pt>
              </c:strCache>
            </c:strRef>
          </c:tx>
          <c:spPr>
            <a:ln w="28575" cap="rnd">
              <a:solidFill>
                <a:schemeClr val="accent2"/>
              </a:solidFill>
              <a:round/>
            </a:ln>
            <a:effectLst/>
          </c:spPr>
          <c:marker>
            <c:symbol val="none"/>
          </c:marker>
          <c:yVal>
            <c:numRef>
              <c:f>Sheet4!$W$2:$W$24</c:f>
              <c:numCache>
                <c:formatCode>General</c:formatCode>
                <c:ptCount val="23"/>
                <c:pt idx="0">
                  <c:v>0.26600000000000001</c:v>
                </c:pt>
                <c:pt idx="1">
                  <c:v>0.441</c:v>
                </c:pt>
                <c:pt idx="2">
                  <c:v>0.57999999999999996</c:v>
                </c:pt>
                <c:pt idx="3">
                  <c:v>0.58399999999999996</c:v>
                </c:pt>
                <c:pt idx="4">
                  <c:v>0.76900000000000002</c:v>
                </c:pt>
                <c:pt idx="5">
                  <c:v>0.80800000000000005</c:v>
                </c:pt>
                <c:pt idx="6">
                  <c:v>0.95599999999999996</c:v>
                </c:pt>
                <c:pt idx="7">
                  <c:v>0.98099999999999998</c:v>
                </c:pt>
                <c:pt idx="8">
                  <c:v>1.133</c:v>
                </c:pt>
                <c:pt idx="9">
                  <c:v>1.54321</c:v>
                </c:pt>
                <c:pt idx="10">
                  <c:v>1.823456789</c:v>
                </c:pt>
                <c:pt idx="11">
                  <c:v>1.123456789</c:v>
                </c:pt>
                <c:pt idx="12">
                  <c:v>2.123456789</c:v>
                </c:pt>
                <c:pt idx="13">
                  <c:v>2.5432100000000002</c:v>
                </c:pt>
                <c:pt idx="14">
                  <c:v>1.1432100000000001</c:v>
                </c:pt>
                <c:pt idx="15">
                  <c:v>2.9432100000000001</c:v>
                </c:pt>
                <c:pt idx="16">
                  <c:v>0.54320999999999997</c:v>
                </c:pt>
                <c:pt idx="17">
                  <c:v>3.123456789</c:v>
                </c:pt>
                <c:pt idx="18">
                  <c:v>2.34321</c:v>
                </c:pt>
                <c:pt idx="19">
                  <c:v>0.84321000000000002</c:v>
                </c:pt>
                <c:pt idx="20">
                  <c:v>3.5432100000000002</c:v>
                </c:pt>
                <c:pt idx="21">
                  <c:v>3.9432100000000001</c:v>
                </c:pt>
                <c:pt idx="22">
                  <c:v>4.5432100000000002</c:v>
                </c:pt>
              </c:numCache>
            </c:numRef>
          </c:yVal>
          <c:smooth val="1"/>
        </c:ser>
        <c:dLbls>
          <c:showLegendKey val="0"/>
          <c:showVal val="0"/>
          <c:showCatName val="0"/>
          <c:showSerName val="0"/>
          <c:showPercent val="0"/>
          <c:showBubbleSize val="0"/>
        </c:dLbls>
        <c:axId val="603688104"/>
        <c:axId val="603684576"/>
      </c:scatterChart>
      <c:valAx>
        <c:axId val="60368810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3684576"/>
        <c:crosses val="autoZero"/>
        <c:crossBetween val="midCat"/>
      </c:valAx>
      <c:valAx>
        <c:axId val="60368457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3688104"/>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0" i="0" baseline="0">
                <a:effectLst/>
                <a:latin typeface="Times New Roman" panose="02020603050405020304" pitchFamily="18" charset="0"/>
                <a:cs typeface="Times New Roman" panose="02020603050405020304" pitchFamily="18" charset="0"/>
              </a:rPr>
              <a:t>Plot of Temp. and Humidity vs Fiberlength for QAM</a:t>
            </a:r>
            <a:endParaRPr lang="en-US" sz="1050">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Sheet4!$AJ$37</c:f>
              <c:strCache>
                <c:ptCount val="1"/>
                <c:pt idx="0">
                  <c:v>Fiber Length (km)</c:v>
                </c:pt>
              </c:strCache>
            </c:strRef>
          </c:tx>
          <c:spPr>
            <a:ln w="28575" cap="rnd">
              <a:solidFill>
                <a:schemeClr val="accent1"/>
              </a:solidFill>
              <a:round/>
            </a:ln>
            <a:effectLst/>
          </c:spPr>
          <c:marker>
            <c:symbol val="none"/>
          </c:marker>
          <c:val>
            <c:numRef>
              <c:f>Sheet4!$AJ$38:$AJ$49</c:f>
              <c:numCache>
                <c:formatCode>General</c:formatCode>
                <c:ptCount val="12"/>
                <c:pt idx="0">
                  <c:v>20.345678899999999</c:v>
                </c:pt>
                <c:pt idx="1">
                  <c:v>21.345678899999999</c:v>
                </c:pt>
                <c:pt idx="2">
                  <c:v>22.567890120000001</c:v>
                </c:pt>
                <c:pt idx="3">
                  <c:v>22.765432100000002</c:v>
                </c:pt>
                <c:pt idx="4">
                  <c:v>23.345678899999999</c:v>
                </c:pt>
                <c:pt idx="5">
                  <c:v>23.456789000000001</c:v>
                </c:pt>
                <c:pt idx="6">
                  <c:v>23.765432100000002</c:v>
                </c:pt>
                <c:pt idx="7">
                  <c:v>25.345678899999999</c:v>
                </c:pt>
                <c:pt idx="8">
                  <c:v>25.567889999999998</c:v>
                </c:pt>
                <c:pt idx="9">
                  <c:v>28.345678899999999</c:v>
                </c:pt>
                <c:pt idx="10">
                  <c:v>28.345678899999999</c:v>
                </c:pt>
                <c:pt idx="11">
                  <c:v>28.345678899999999</c:v>
                </c:pt>
              </c:numCache>
            </c:numRef>
          </c:val>
          <c:smooth val="0"/>
        </c:ser>
        <c:ser>
          <c:idx val="1"/>
          <c:order val="1"/>
          <c:tx>
            <c:strRef>
              <c:f>Sheet4!$AK$37</c:f>
              <c:strCache>
                <c:ptCount val="1"/>
                <c:pt idx="0">
                  <c:v>Temperature</c:v>
                </c:pt>
              </c:strCache>
            </c:strRef>
          </c:tx>
          <c:spPr>
            <a:ln w="28575" cap="rnd">
              <a:solidFill>
                <a:schemeClr val="accent2"/>
              </a:solidFill>
              <a:round/>
            </a:ln>
            <a:effectLst/>
          </c:spPr>
          <c:marker>
            <c:symbol val="none"/>
          </c:marker>
          <c:val>
            <c:numRef>
              <c:f>Sheet4!$AK$38:$AK$49</c:f>
              <c:numCache>
                <c:formatCode>General</c:formatCode>
                <c:ptCount val="12"/>
                <c:pt idx="0">
                  <c:v>29.456789012000002</c:v>
                </c:pt>
                <c:pt idx="1">
                  <c:v>29.345678899999999</c:v>
                </c:pt>
                <c:pt idx="2">
                  <c:v>29.456789012000002</c:v>
                </c:pt>
                <c:pt idx="3">
                  <c:v>29.901234559999999</c:v>
                </c:pt>
                <c:pt idx="4">
                  <c:v>29.654320999999999</c:v>
                </c:pt>
                <c:pt idx="5">
                  <c:v>29.256789000000001</c:v>
                </c:pt>
                <c:pt idx="6">
                  <c:v>29.456789012000002</c:v>
                </c:pt>
                <c:pt idx="7">
                  <c:v>29.345678899999999</c:v>
                </c:pt>
                <c:pt idx="8">
                  <c:v>29.901234559999999</c:v>
                </c:pt>
                <c:pt idx="9">
                  <c:v>29.654320999999999</c:v>
                </c:pt>
                <c:pt idx="10">
                  <c:v>29.345678899999999</c:v>
                </c:pt>
                <c:pt idx="11">
                  <c:v>29.901234559999999</c:v>
                </c:pt>
              </c:numCache>
            </c:numRef>
          </c:val>
          <c:smooth val="0"/>
        </c:ser>
        <c:ser>
          <c:idx val="2"/>
          <c:order val="2"/>
          <c:tx>
            <c:strRef>
              <c:f>Sheet4!$AL$37</c:f>
              <c:strCache>
                <c:ptCount val="1"/>
                <c:pt idx="0">
                  <c:v>Humidity (%)</c:v>
                </c:pt>
              </c:strCache>
            </c:strRef>
          </c:tx>
          <c:spPr>
            <a:ln w="28575" cap="rnd">
              <a:solidFill>
                <a:schemeClr val="accent3"/>
              </a:solidFill>
              <a:round/>
            </a:ln>
            <a:effectLst/>
          </c:spPr>
          <c:marker>
            <c:symbol val="none"/>
          </c:marker>
          <c:val>
            <c:numRef>
              <c:f>Sheet4!$AL$38:$AL$49</c:f>
              <c:numCache>
                <c:formatCode>General</c:formatCode>
                <c:ptCount val="12"/>
                <c:pt idx="0">
                  <c:v>55.320999999999998</c:v>
                </c:pt>
                <c:pt idx="1">
                  <c:v>55.901234559999999</c:v>
                </c:pt>
                <c:pt idx="2">
                  <c:v>56.789012339999999</c:v>
                </c:pt>
                <c:pt idx="3">
                  <c:v>55.320999999999998</c:v>
                </c:pt>
                <c:pt idx="4">
                  <c:v>54.320999999999998</c:v>
                </c:pt>
                <c:pt idx="5">
                  <c:v>54.320999999999998</c:v>
                </c:pt>
                <c:pt idx="6">
                  <c:v>54.678901230000001</c:v>
                </c:pt>
                <c:pt idx="7">
                  <c:v>53.21</c:v>
                </c:pt>
                <c:pt idx="8">
                  <c:v>56.320999999999998</c:v>
                </c:pt>
                <c:pt idx="9">
                  <c:v>52.9</c:v>
                </c:pt>
                <c:pt idx="10">
                  <c:v>53.21</c:v>
                </c:pt>
                <c:pt idx="11">
                  <c:v>52.9</c:v>
                </c:pt>
              </c:numCache>
            </c:numRef>
          </c:val>
          <c:smooth val="0"/>
        </c:ser>
        <c:dLbls>
          <c:showLegendKey val="0"/>
          <c:showVal val="0"/>
          <c:showCatName val="0"/>
          <c:showSerName val="0"/>
          <c:showPercent val="0"/>
          <c:showBubbleSize val="0"/>
        </c:dLbls>
        <c:smooth val="0"/>
        <c:axId val="603688496"/>
        <c:axId val="603681048"/>
      </c:lineChart>
      <c:catAx>
        <c:axId val="60368849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3681048"/>
        <c:crosses val="autoZero"/>
        <c:auto val="1"/>
        <c:lblAlgn val="ctr"/>
        <c:lblOffset val="100"/>
        <c:noMultiLvlLbl val="0"/>
      </c:catAx>
      <c:valAx>
        <c:axId val="60368104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3688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Plot of DGD</a:t>
            </a:r>
            <a:r>
              <a:rPr lang="en-US" sz="1200" baseline="0">
                <a:latin typeface="Times New Roman" panose="02020603050405020304" pitchFamily="18" charset="0"/>
                <a:cs typeface="Times New Roman" panose="02020603050405020304" pitchFamily="18" charset="0"/>
              </a:rPr>
              <a:t> vs Fiberlength for </a:t>
            </a:r>
            <a:r>
              <a:rPr lang="en-US" sz="1200">
                <a:latin typeface="Times New Roman" panose="02020603050405020304" pitchFamily="18" charset="0"/>
                <a:cs typeface="Times New Roman" panose="02020603050405020304" pitchFamily="18" charset="0"/>
              </a:rPr>
              <a:t>QAM</a:t>
            </a:r>
          </a:p>
        </c:rich>
      </c:tx>
      <c:layout>
        <c:manualLayout>
          <c:xMode val="edge"/>
          <c:yMode val="edge"/>
          <c:x val="0.2485973315835521"/>
          <c:y val="3.240740740740740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smoothMarker"/>
        <c:varyColors val="0"/>
        <c:ser>
          <c:idx val="0"/>
          <c:order val="0"/>
          <c:tx>
            <c:strRef>
              <c:f>Sheet4!$AD$37</c:f>
              <c:strCache>
                <c:ptCount val="1"/>
                <c:pt idx="0">
                  <c:v>Fibre Length (km)</c:v>
                </c:pt>
              </c:strCache>
            </c:strRef>
          </c:tx>
          <c:spPr>
            <a:ln w="28575" cap="rnd">
              <a:solidFill>
                <a:schemeClr val="accent1"/>
              </a:solidFill>
              <a:round/>
            </a:ln>
            <a:effectLst/>
          </c:spPr>
          <c:marker>
            <c:symbol val="none"/>
          </c:marker>
          <c:yVal>
            <c:numRef>
              <c:f>Sheet4!$AD$38:$AD$58</c:f>
              <c:numCache>
                <c:formatCode>General</c:formatCode>
                <c:ptCount val="21"/>
                <c:pt idx="0">
                  <c:v>1</c:v>
                </c:pt>
                <c:pt idx="1">
                  <c:v>2</c:v>
                </c:pt>
                <c:pt idx="2">
                  <c:v>3</c:v>
                </c:pt>
                <c:pt idx="3">
                  <c:v>4</c:v>
                </c:pt>
                <c:pt idx="4">
                  <c:v>6</c:v>
                </c:pt>
                <c:pt idx="5">
                  <c:v>8</c:v>
                </c:pt>
                <c:pt idx="6">
                  <c:v>10</c:v>
                </c:pt>
                <c:pt idx="7">
                  <c:v>12</c:v>
                </c:pt>
                <c:pt idx="8">
                  <c:v>14</c:v>
                </c:pt>
                <c:pt idx="9">
                  <c:v>20.345678899999999</c:v>
                </c:pt>
                <c:pt idx="10">
                  <c:v>21.345678899999999</c:v>
                </c:pt>
                <c:pt idx="11">
                  <c:v>22.567890120000001</c:v>
                </c:pt>
                <c:pt idx="12">
                  <c:v>22.765432100000002</c:v>
                </c:pt>
                <c:pt idx="13">
                  <c:v>23.345678899999999</c:v>
                </c:pt>
                <c:pt idx="14">
                  <c:v>23.456789000000001</c:v>
                </c:pt>
                <c:pt idx="15">
                  <c:v>23.765432100000002</c:v>
                </c:pt>
                <c:pt idx="16">
                  <c:v>25.345678899999999</c:v>
                </c:pt>
                <c:pt idx="17">
                  <c:v>25.567889999999998</c:v>
                </c:pt>
                <c:pt idx="18">
                  <c:v>28.345678899999999</c:v>
                </c:pt>
                <c:pt idx="19">
                  <c:v>28.345678899999999</c:v>
                </c:pt>
                <c:pt idx="20">
                  <c:v>28.345678899999999</c:v>
                </c:pt>
              </c:numCache>
            </c:numRef>
          </c:yVal>
          <c:smooth val="1"/>
        </c:ser>
        <c:ser>
          <c:idx val="1"/>
          <c:order val="1"/>
          <c:tx>
            <c:strRef>
              <c:f>Sheet4!$AE$37</c:f>
              <c:strCache>
                <c:ptCount val="1"/>
                <c:pt idx="0">
                  <c:v>DGD (ps)</c:v>
                </c:pt>
              </c:strCache>
            </c:strRef>
          </c:tx>
          <c:spPr>
            <a:ln w="28575" cap="rnd">
              <a:solidFill>
                <a:schemeClr val="accent2"/>
              </a:solidFill>
              <a:round/>
            </a:ln>
            <a:effectLst/>
          </c:spPr>
          <c:marker>
            <c:symbol val="none"/>
          </c:marker>
          <c:yVal>
            <c:numRef>
              <c:f>Sheet4!$AE$38:$AE$58</c:f>
              <c:numCache>
                <c:formatCode>General</c:formatCode>
                <c:ptCount val="21"/>
                <c:pt idx="0">
                  <c:v>0.32500000000000001</c:v>
                </c:pt>
                <c:pt idx="1">
                  <c:v>0.435</c:v>
                </c:pt>
                <c:pt idx="2">
                  <c:v>0.48799999999999999</c:v>
                </c:pt>
                <c:pt idx="3">
                  <c:v>0.61499999999999999</c:v>
                </c:pt>
                <c:pt idx="4">
                  <c:v>0.84699999999999998</c:v>
                </c:pt>
                <c:pt idx="5">
                  <c:v>0.80600000000000005</c:v>
                </c:pt>
                <c:pt idx="6">
                  <c:v>0.98899999999999999</c:v>
                </c:pt>
                <c:pt idx="7">
                  <c:v>1.1990000000000001</c:v>
                </c:pt>
                <c:pt idx="8">
                  <c:v>1.0289999999999999</c:v>
                </c:pt>
                <c:pt idx="9">
                  <c:v>1.3456789</c:v>
                </c:pt>
                <c:pt idx="10">
                  <c:v>1.567890123</c:v>
                </c:pt>
                <c:pt idx="11">
                  <c:v>0.87654321000000002</c:v>
                </c:pt>
                <c:pt idx="12">
                  <c:v>0.45678901230000002</c:v>
                </c:pt>
                <c:pt idx="13">
                  <c:v>1.254321</c:v>
                </c:pt>
                <c:pt idx="14">
                  <c:v>0.87654321000000002</c:v>
                </c:pt>
                <c:pt idx="15">
                  <c:v>0.98765432099999995</c:v>
                </c:pt>
                <c:pt idx="16">
                  <c:v>1.123456789</c:v>
                </c:pt>
                <c:pt idx="17">
                  <c:v>1.454321</c:v>
                </c:pt>
                <c:pt idx="18">
                  <c:v>1.2234567890000001</c:v>
                </c:pt>
                <c:pt idx="19">
                  <c:v>1.0234567889999999</c:v>
                </c:pt>
                <c:pt idx="20">
                  <c:v>1.2234567890000001</c:v>
                </c:pt>
              </c:numCache>
            </c:numRef>
          </c:yVal>
          <c:smooth val="1"/>
        </c:ser>
        <c:dLbls>
          <c:showLegendKey val="0"/>
          <c:showVal val="0"/>
          <c:showCatName val="0"/>
          <c:showSerName val="0"/>
          <c:showPercent val="0"/>
          <c:showBubbleSize val="0"/>
        </c:dLbls>
        <c:axId val="603686536"/>
        <c:axId val="603688888"/>
      </c:scatterChart>
      <c:valAx>
        <c:axId val="60368653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3688888"/>
        <c:crosses val="autoZero"/>
        <c:crossBetween val="midCat"/>
      </c:valAx>
      <c:valAx>
        <c:axId val="60368888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3686536"/>
        <c:crosses val="autoZero"/>
        <c:crossBetween val="midCat"/>
      </c:valAx>
      <c:spPr>
        <a:noFill/>
        <a:ln>
          <a:noFill/>
        </a:ln>
        <a:effectLst/>
      </c:spPr>
    </c:plotArea>
    <c:legend>
      <c:legendPos val="b"/>
      <c:layout>
        <c:manualLayout>
          <c:xMode val="edge"/>
          <c:yMode val="edge"/>
          <c:x val="0.05"/>
          <c:y val="0.8251137759156254"/>
          <c:w val="0.9"/>
          <c:h val="0.1290146644513472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90</TotalTime>
  <Pages>2</Pages>
  <Words>509</Words>
  <Characters>2903</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2025-11-30T04:26:00Z</dcterms:created>
  <dcterms:modified xsi:type="dcterms:W3CDTF">2025-11-30T07:48:00Z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e015150f-c3d8-4ffd-89b3-f0d24ffd6049</vt:lpwstr>
  </property>
</Properties>
</file>