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71FD7" w14:textId="77777777" w:rsidR="005D12D3" w:rsidRDefault="005D12D3" w:rsidP="005D12D3">
      <w:pPr>
        <w:jc w:val="both"/>
        <w:rPr>
          <w:b/>
          <w:bCs/>
          <w:lang w:bidi="fa-IR"/>
        </w:rPr>
      </w:pPr>
      <w:r w:rsidRPr="00230BD0">
        <w:rPr>
          <w:b/>
          <w:bCs/>
          <w:lang w:bidi="fa-IR"/>
        </w:rPr>
        <w:t xml:space="preserve">Nonlinear </w:t>
      </w:r>
      <w:r>
        <w:rPr>
          <w:b/>
          <w:bCs/>
          <w:lang w:bidi="fa-IR"/>
        </w:rPr>
        <w:t>g</w:t>
      </w:r>
      <w:r w:rsidRPr="00230BD0">
        <w:rPr>
          <w:b/>
          <w:bCs/>
          <w:lang w:bidi="fa-IR"/>
        </w:rPr>
        <w:t>uided</w:t>
      </w:r>
      <w:r w:rsidRPr="00230BD0">
        <w:rPr>
          <w:b/>
          <w:bCs/>
          <w:lang w:bidi="fa-IR"/>
        </w:rPr>
        <w:noBreakHyphen/>
      </w:r>
      <w:r>
        <w:rPr>
          <w:b/>
          <w:bCs/>
          <w:lang w:bidi="fa-IR"/>
        </w:rPr>
        <w:t>w</w:t>
      </w:r>
      <w:r w:rsidRPr="00230BD0">
        <w:rPr>
          <w:b/>
          <w:bCs/>
          <w:lang w:bidi="fa-IR"/>
        </w:rPr>
        <w:t xml:space="preserve">ave </w:t>
      </w:r>
      <w:r>
        <w:rPr>
          <w:b/>
          <w:bCs/>
          <w:lang w:bidi="fa-IR"/>
        </w:rPr>
        <w:t>t</w:t>
      </w:r>
      <w:r w:rsidRPr="00230BD0">
        <w:rPr>
          <w:b/>
          <w:bCs/>
          <w:lang w:bidi="fa-IR"/>
        </w:rPr>
        <w:t xml:space="preserve">erahertz </w:t>
      </w:r>
      <w:r>
        <w:rPr>
          <w:b/>
          <w:bCs/>
          <w:lang w:bidi="fa-IR"/>
        </w:rPr>
        <w:t>g</w:t>
      </w:r>
      <w:r w:rsidRPr="00230BD0">
        <w:rPr>
          <w:b/>
          <w:bCs/>
          <w:lang w:bidi="fa-IR"/>
        </w:rPr>
        <w:t xml:space="preserve">eneration and </w:t>
      </w:r>
      <w:r>
        <w:rPr>
          <w:b/>
          <w:bCs/>
          <w:lang w:bidi="fa-IR"/>
        </w:rPr>
        <w:t>d</w:t>
      </w:r>
      <w:r w:rsidRPr="00230BD0">
        <w:rPr>
          <w:b/>
          <w:bCs/>
          <w:lang w:bidi="fa-IR"/>
        </w:rPr>
        <w:t>etection</w:t>
      </w:r>
      <w:r>
        <w:rPr>
          <w:b/>
          <w:bCs/>
          <w:lang w:bidi="fa-IR"/>
        </w:rPr>
        <w:t xml:space="preserve"> for high-speed communications</w:t>
      </w:r>
    </w:p>
    <w:p w14:paraId="54FD2DAE" w14:textId="77777777" w:rsidR="005D12D3" w:rsidRPr="004344BF" w:rsidRDefault="005D12D3" w:rsidP="005D12D3">
      <w:pPr>
        <w:jc w:val="both"/>
        <w:rPr>
          <w:sz w:val="22"/>
          <w:szCs w:val="22"/>
          <w:lang w:bidi="fa-IR"/>
        </w:rPr>
      </w:pPr>
      <w:r w:rsidRPr="004344BF">
        <w:rPr>
          <w:sz w:val="22"/>
          <w:szCs w:val="22"/>
          <w:lang w:bidi="fa-IR"/>
        </w:rPr>
        <w:t>Hesam Heydarian,</w:t>
      </w:r>
      <w:r w:rsidRPr="004344BF">
        <w:rPr>
          <w:sz w:val="22"/>
          <w:szCs w:val="22"/>
          <w:vertAlign w:val="superscript"/>
          <w:lang w:bidi="fa-IR"/>
        </w:rPr>
        <w:t>1</w:t>
      </w:r>
      <w:r w:rsidRPr="004344BF">
        <w:rPr>
          <w:sz w:val="22"/>
          <w:szCs w:val="22"/>
          <w:lang w:bidi="fa-IR"/>
        </w:rPr>
        <w:t xml:space="preserve"> Aswin Vishnuradhan,</w:t>
      </w:r>
      <w:r w:rsidRPr="004344BF">
        <w:rPr>
          <w:sz w:val="22"/>
          <w:szCs w:val="22"/>
          <w:vertAlign w:val="superscript"/>
          <w:lang w:bidi="fa-IR"/>
        </w:rPr>
        <w:t>1</w:t>
      </w:r>
      <w:r w:rsidRPr="004344BF">
        <w:rPr>
          <w:sz w:val="22"/>
          <w:szCs w:val="22"/>
          <w:lang w:bidi="fa-IR"/>
        </w:rPr>
        <w:t xml:space="preserve"> Ariana Rodríguez Escamilla,</w:t>
      </w:r>
      <w:r w:rsidRPr="004344BF">
        <w:rPr>
          <w:sz w:val="22"/>
          <w:szCs w:val="22"/>
          <w:vertAlign w:val="superscript"/>
          <w:lang w:bidi="fa-IR"/>
        </w:rPr>
        <w:t>1</w:t>
      </w:r>
      <w:r w:rsidRPr="004344BF">
        <w:rPr>
          <w:sz w:val="22"/>
          <w:szCs w:val="22"/>
          <w:lang w:bidi="fa-IR"/>
        </w:rPr>
        <w:t xml:space="preserve"> David Girard,</w:t>
      </w:r>
      <w:r w:rsidRPr="004344BF">
        <w:rPr>
          <w:sz w:val="22"/>
          <w:szCs w:val="22"/>
          <w:vertAlign w:val="superscript"/>
          <w:lang w:bidi="fa-IR"/>
        </w:rPr>
        <w:t>1</w:t>
      </w:r>
      <w:r w:rsidRPr="004344BF">
        <w:rPr>
          <w:sz w:val="22"/>
          <w:szCs w:val="22"/>
          <w:lang w:bidi="fa-IR"/>
        </w:rPr>
        <w:t xml:space="preserve"> </w:t>
      </w:r>
      <w:r>
        <w:rPr>
          <w:sz w:val="22"/>
          <w:szCs w:val="22"/>
          <w:lang w:bidi="fa-IR"/>
        </w:rPr>
        <w:br/>
      </w:r>
      <w:r w:rsidRPr="004344BF">
        <w:rPr>
          <w:sz w:val="22"/>
          <w:szCs w:val="22"/>
          <w:lang w:bidi="fa-IR"/>
        </w:rPr>
        <w:t>Arnaud Weck,</w:t>
      </w:r>
      <w:r w:rsidRPr="004344BF">
        <w:rPr>
          <w:sz w:val="22"/>
          <w:szCs w:val="22"/>
          <w:vertAlign w:val="superscript"/>
          <w:lang w:bidi="fa-IR"/>
        </w:rPr>
        <w:t>1,2</w:t>
      </w:r>
      <w:r w:rsidRPr="004344BF">
        <w:rPr>
          <w:sz w:val="22"/>
          <w:szCs w:val="22"/>
          <w:lang w:bidi="fa-IR"/>
        </w:rPr>
        <w:t xml:space="preserve"> Angela Gamouras,</w:t>
      </w:r>
      <w:r w:rsidRPr="004344BF">
        <w:rPr>
          <w:sz w:val="22"/>
          <w:szCs w:val="22"/>
          <w:vertAlign w:val="superscript"/>
          <w:lang w:bidi="fa-IR"/>
        </w:rPr>
        <w:t>1,3</w:t>
      </w:r>
      <w:r w:rsidRPr="004344BF">
        <w:rPr>
          <w:sz w:val="22"/>
          <w:szCs w:val="22"/>
          <w:lang w:bidi="fa-IR"/>
        </w:rPr>
        <w:t xml:space="preserve"> and Jean-Michel Ménard</w:t>
      </w:r>
      <w:r w:rsidRPr="004344BF">
        <w:rPr>
          <w:sz w:val="22"/>
          <w:szCs w:val="22"/>
          <w:vertAlign w:val="superscript"/>
          <w:lang w:bidi="fa-IR"/>
        </w:rPr>
        <w:t>1,3</w:t>
      </w:r>
    </w:p>
    <w:p w14:paraId="0FCE5D5B" w14:textId="77777777" w:rsidR="005D12D3" w:rsidRPr="004344BF" w:rsidRDefault="005D12D3" w:rsidP="005D12D3">
      <w:pPr>
        <w:jc w:val="both"/>
        <w:rPr>
          <w:sz w:val="20"/>
          <w:szCs w:val="20"/>
          <w:lang w:bidi="fa-IR"/>
        </w:rPr>
      </w:pPr>
      <w:r w:rsidRPr="004344BF">
        <w:rPr>
          <w:sz w:val="20"/>
          <w:szCs w:val="20"/>
          <w:lang w:bidi="fa-IR"/>
        </w:rPr>
        <w:t>1) Department of Physics, University of Ottawa, Ottawa, K1N 6N5, ON, Canada</w:t>
      </w:r>
    </w:p>
    <w:p w14:paraId="7AE035A3" w14:textId="77777777" w:rsidR="005D12D3" w:rsidRPr="004344BF" w:rsidRDefault="005D12D3" w:rsidP="005D12D3">
      <w:pPr>
        <w:jc w:val="both"/>
        <w:rPr>
          <w:sz w:val="20"/>
          <w:szCs w:val="20"/>
          <w:lang w:bidi="fa-IR"/>
        </w:rPr>
      </w:pPr>
      <w:r w:rsidRPr="004344BF">
        <w:rPr>
          <w:sz w:val="20"/>
          <w:szCs w:val="20"/>
          <w:lang w:bidi="fa-IR"/>
        </w:rPr>
        <w:t>2) Department of Mechanical Engineering, University of Ottawa, Ottawa, K1N 6N5, ON, Canada</w:t>
      </w:r>
    </w:p>
    <w:p w14:paraId="0676964B" w14:textId="77777777" w:rsidR="005D12D3" w:rsidRPr="004344BF" w:rsidRDefault="005D12D3" w:rsidP="005D12D3">
      <w:pPr>
        <w:jc w:val="both"/>
        <w:rPr>
          <w:sz w:val="20"/>
          <w:szCs w:val="20"/>
          <w:lang w:bidi="fa-IR"/>
        </w:rPr>
      </w:pPr>
      <w:r w:rsidRPr="004344BF">
        <w:rPr>
          <w:sz w:val="20"/>
          <w:szCs w:val="20"/>
          <w:lang w:bidi="fa-IR"/>
        </w:rPr>
        <w:t>3) National Research Council Canada, Ottawa, K1A 0R6, ON, Canada</w:t>
      </w:r>
    </w:p>
    <w:p w14:paraId="0E707A44" w14:textId="77777777" w:rsidR="005D12D3" w:rsidRDefault="005D12D3" w:rsidP="005D12D3">
      <w:pPr>
        <w:jc w:val="both"/>
      </w:pPr>
    </w:p>
    <w:p w14:paraId="0C0F2CF7" w14:textId="77777777" w:rsidR="005D12D3" w:rsidRPr="002757FE" w:rsidRDefault="005D12D3" w:rsidP="005D12D3">
      <w:pPr>
        <w:jc w:val="both"/>
      </w:pPr>
      <w:r w:rsidRPr="002757FE">
        <w:t xml:space="preserve">We demonstrate compact terahertz (THz) </w:t>
      </w:r>
      <w:r>
        <w:t>components</w:t>
      </w:r>
      <w:r w:rsidRPr="002757FE">
        <w:t xml:space="preserve"> that combine</w:t>
      </w:r>
      <w:r>
        <w:t xml:space="preserve"> a </w:t>
      </w:r>
      <w:r w:rsidRPr="002757FE">
        <w:t xml:space="preserve">photonic crystal waveguide with </w:t>
      </w:r>
      <w:r>
        <w:t>a</w:t>
      </w:r>
      <w:r w:rsidRPr="002757FE">
        <w:t xml:space="preserve"> plasmonic bull’s</w:t>
      </w:r>
      <w:r w:rsidRPr="002757FE">
        <w:noBreakHyphen/>
        <w:t>eye coupler. The waveguide</w:t>
      </w:r>
      <w:r>
        <w:t xml:space="preserve">, </w:t>
      </w:r>
      <w:r w:rsidRPr="00D43445">
        <w:t xml:space="preserve">formed by </w:t>
      </w:r>
      <w:r>
        <w:t xml:space="preserve">a pattern of </w:t>
      </w:r>
      <w:r w:rsidRPr="00D43445">
        <w:t>laser</w:t>
      </w:r>
      <w:r w:rsidRPr="00D43445">
        <w:noBreakHyphen/>
        <w:t xml:space="preserve">written holes </w:t>
      </w:r>
      <w:r>
        <w:t>that extend through</w:t>
      </w:r>
      <w:r w:rsidRPr="00D43445">
        <w:t xml:space="preserve"> the thickness of a GaP window</w:t>
      </w:r>
      <w:r>
        <w:t>, allows</w:t>
      </w:r>
      <w:r w:rsidRPr="002757FE">
        <w:t xml:space="preserve"> efficient THz generation through optical rectification</w:t>
      </w:r>
      <w:r>
        <w:t xml:space="preserve"> of a co-propagating near-infrared pulse. A similar waveguiding structure </w:t>
      </w:r>
      <w:r w:rsidRPr="002757FE">
        <w:t>allows sensitive guided</w:t>
      </w:r>
      <w:r w:rsidRPr="002757FE">
        <w:noBreakHyphen/>
        <w:t>wave detection via electro</w:t>
      </w:r>
      <w:r w:rsidRPr="002757FE">
        <w:noBreakHyphen/>
        <w:t xml:space="preserve">optic sampling. </w:t>
      </w:r>
      <w:r>
        <w:t xml:space="preserve">These THz components </w:t>
      </w:r>
      <w:r w:rsidRPr="002757FE">
        <w:t>address key limitations of free</w:t>
      </w:r>
      <w:r w:rsidRPr="002757FE">
        <w:noBreakHyphen/>
        <w:t>space THz systems, including phase mismatch, short interaction lengths, weak mode overlap, and alignment sensitivity.</w:t>
      </w:r>
    </w:p>
    <w:p w14:paraId="3D3CC44A" w14:textId="77777777" w:rsidR="005D12D3" w:rsidRDefault="005D12D3" w:rsidP="005D12D3">
      <w:pPr>
        <w:jc w:val="both"/>
      </w:pPr>
      <w:r w:rsidRPr="00D43445">
        <w:t>The waveguide is engineered to tailor the effective refractive index of the THz mode, achieving velocity matching with a co</w:t>
      </w:r>
      <w:r w:rsidRPr="00D43445">
        <w:noBreakHyphen/>
        <w:t>propagating near</w:t>
      </w:r>
      <w:r w:rsidRPr="00D43445">
        <w:noBreakHyphen/>
        <w:t>infrared pulse. This design increases optical</w:t>
      </w:r>
      <w:r w:rsidRPr="00D43445">
        <w:noBreakHyphen/>
        <w:t>to</w:t>
      </w:r>
      <w:r w:rsidRPr="00D43445">
        <w:noBreakHyphen/>
        <w:t xml:space="preserve">THz conversion efficiency </w:t>
      </w:r>
      <w:r>
        <w:t>by</w:t>
      </w:r>
      <w:r w:rsidRPr="00D43445">
        <w:t xml:space="preserve"> extend</w:t>
      </w:r>
      <w:r>
        <w:t>ing</w:t>
      </w:r>
      <w:r w:rsidRPr="00D43445">
        <w:t xml:space="preserve"> the coherence length beyond that of bulk GaP. The plasmonic bull’s</w:t>
      </w:r>
      <w:r w:rsidRPr="00D43445">
        <w:noBreakHyphen/>
        <w:t>eye antenna further enhances performance by concentrating incident THz fields into a small interaction volume and coupling them efficiently into the guided mode.</w:t>
      </w:r>
    </w:p>
    <w:p w14:paraId="5F432C70" w14:textId="77777777" w:rsidR="005D12D3" w:rsidRDefault="005D12D3" w:rsidP="005D12D3">
      <w:pPr>
        <w:jc w:val="both"/>
      </w:pPr>
      <w:r>
        <w:t>We demonstrate this concept with b</w:t>
      </w:r>
      <w:r w:rsidRPr="002757FE">
        <w:t xml:space="preserve">roadband and tunable THz generation and detection from 1.9 to 3.9 THz. </w:t>
      </w:r>
      <w:r>
        <w:t>S</w:t>
      </w:r>
      <w:r w:rsidRPr="002757FE">
        <w:t>ignificant improvements</w:t>
      </w:r>
      <w:r>
        <w:t xml:space="preserve"> are observed in comparison to results obtained </w:t>
      </w:r>
      <w:r w:rsidRPr="002757FE">
        <w:t xml:space="preserve">with </w:t>
      </w:r>
      <w:r>
        <w:t>a bulk</w:t>
      </w:r>
      <w:r w:rsidRPr="002757FE">
        <w:t xml:space="preserve"> GaP</w:t>
      </w:r>
      <w:r>
        <w:t xml:space="preserve"> crystal.</w:t>
      </w:r>
    </w:p>
    <w:p w14:paraId="5845BFAE" w14:textId="14F4AB63" w:rsidR="00043FEB" w:rsidRPr="005D12D3" w:rsidRDefault="005D12D3" w:rsidP="005D12D3">
      <w:pPr>
        <w:jc w:val="both"/>
        <w:rPr>
          <w:rtl/>
          <w:lang w:bidi="fa-IR"/>
        </w:rPr>
      </w:pPr>
      <w:r w:rsidRPr="002757FE">
        <w:t xml:space="preserve">All structures </w:t>
      </w:r>
      <w:r w:rsidRPr="00D43445">
        <w:rPr>
          <w:lang w:bidi="fa-IR"/>
        </w:rPr>
        <w:t>are fabricated directly in bulk GaP using femtosecond laser writing, enabling precise three-dimensional patterning at the micrometer scale. This scalable and versatile fabrication approach allows rapid prototyping while ensuring consistent, reliable device performance. The resulting platform provides a compact, high-performance solution for both THz generation and detection, with strong relevance for next-generation high-speed wireless communication systems.</w:t>
      </w:r>
    </w:p>
    <w:sectPr w:rsidR="00043FEB" w:rsidRPr="005D12D3" w:rsidSect="005D12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E26"/>
    <w:rsid w:val="00043FEB"/>
    <w:rsid w:val="000D5151"/>
    <w:rsid w:val="00230BD0"/>
    <w:rsid w:val="00245C9C"/>
    <w:rsid w:val="00316D47"/>
    <w:rsid w:val="00336E26"/>
    <w:rsid w:val="004344BF"/>
    <w:rsid w:val="004C7DB6"/>
    <w:rsid w:val="005D12D3"/>
    <w:rsid w:val="006330DF"/>
    <w:rsid w:val="00695AF2"/>
    <w:rsid w:val="006A4D33"/>
    <w:rsid w:val="006F4BBA"/>
    <w:rsid w:val="00713475"/>
    <w:rsid w:val="0072405D"/>
    <w:rsid w:val="00770AE4"/>
    <w:rsid w:val="007A6989"/>
    <w:rsid w:val="008174AD"/>
    <w:rsid w:val="008F23BB"/>
    <w:rsid w:val="008F6783"/>
    <w:rsid w:val="009220B4"/>
    <w:rsid w:val="00C95080"/>
    <w:rsid w:val="00CC4124"/>
    <w:rsid w:val="00EA441B"/>
    <w:rsid w:val="00EC5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B2165"/>
  <w15:chartTrackingRefBased/>
  <w15:docId w15:val="{735F3853-20C4-4683-82CC-A9E1D3E03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12D3"/>
  </w:style>
  <w:style w:type="paragraph" w:styleId="Heading1">
    <w:name w:val="heading 1"/>
    <w:basedOn w:val="Normal"/>
    <w:next w:val="Normal"/>
    <w:link w:val="Heading1Char"/>
    <w:uiPriority w:val="9"/>
    <w:qFormat/>
    <w:rsid w:val="00336E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36E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36E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36E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36E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36E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36E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36E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36E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6E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36E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36E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36E2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36E2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36E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36E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36E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36E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36E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36E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36E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36E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36E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36E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36E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36E2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6E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6E2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36E2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Hesam Heydarian</dc:creator>
  <cp:keywords/>
  <dc:description/>
  <cp:lastModifiedBy>Hesam Heydarian</cp:lastModifiedBy>
  <cp:revision>2</cp:revision>
  <dcterms:created xsi:type="dcterms:W3CDTF">2026-01-15T20:30:00Z</dcterms:created>
  <dcterms:modified xsi:type="dcterms:W3CDTF">2026-01-15T20:30:00Z</dcterms:modified>
</cp:coreProperties>
</file>