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91DA8" w14:textId="77777777" w:rsidR="00E00BBD" w:rsidRPr="00E00BBD" w:rsidRDefault="00E00BBD" w:rsidP="00E00BBD">
      <w:pPr>
        <w:pBdr>
          <w:top w:val="nil"/>
          <w:left w:val="nil"/>
          <w:bottom w:val="nil"/>
          <w:right w:val="nil"/>
          <w:between w:val="nil"/>
        </w:pBdr>
        <w:spacing w:before="120" w:after="120"/>
        <w:jc w:val="center"/>
        <w:rPr>
          <w:rFonts w:ascii="Roboto" w:eastAsia="Roboto" w:hAnsi="Roboto" w:cs="Roboto"/>
          <w:b/>
          <w:bCs/>
          <w:color w:val="000000"/>
          <w:lang w:val="es-ES"/>
        </w:rPr>
      </w:pPr>
      <w:r w:rsidRPr="00E00BBD">
        <w:rPr>
          <w:rFonts w:ascii="Roboto" w:eastAsia="Roboto" w:hAnsi="Roboto" w:cs="Roboto"/>
          <w:b/>
          <w:bCs/>
          <w:color w:val="000000"/>
          <w:lang w:val="es-ES"/>
        </w:rPr>
        <w:t>Impacto de las tecnologías inmersivas en el periodismo y la formación de los profesionales de la comunicación</w:t>
      </w:r>
    </w:p>
    <w:p w14:paraId="0350F3E6" w14:textId="1FDA6C35" w:rsidR="00371D16" w:rsidRDefault="00E00BBD">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Molina</w:t>
      </w:r>
      <w:r w:rsidR="003C59B9">
        <w:rPr>
          <w:rFonts w:ascii="Roboto" w:eastAsia="Roboto" w:hAnsi="Roboto" w:cs="Roboto"/>
          <w:b/>
          <w:bCs/>
          <w:color w:val="000000"/>
          <w:sz w:val="20"/>
          <w:szCs w:val="20"/>
        </w:rPr>
        <w:t xml:space="preserve"> D</w:t>
      </w:r>
      <w:r w:rsidR="00C7622F">
        <w:rPr>
          <w:rFonts w:ascii="Roboto" w:eastAsia="Roboto" w:hAnsi="Roboto" w:cs="Roboto"/>
          <w:b/>
          <w:bCs/>
          <w:color w:val="000000"/>
          <w:sz w:val="20"/>
          <w:szCs w:val="20"/>
        </w:rPr>
        <w:t>í</w:t>
      </w:r>
      <w:r>
        <w:rPr>
          <w:rFonts w:ascii="Roboto" w:eastAsia="Roboto" w:hAnsi="Roboto" w:cs="Roboto"/>
          <w:b/>
          <w:bCs/>
          <w:color w:val="000000"/>
          <w:sz w:val="20"/>
          <w:szCs w:val="20"/>
        </w:rPr>
        <w:t>ez, Marta</w:t>
      </w:r>
      <w:r>
        <w:rPr>
          <w:rFonts w:ascii="Roboto" w:eastAsia="Roboto" w:hAnsi="Roboto" w:cs="Roboto"/>
          <w:b/>
          <w:bCs/>
          <w:color w:val="000000"/>
          <w:sz w:val="20"/>
          <w:szCs w:val="20"/>
          <w:vertAlign w:val="superscript"/>
        </w:rPr>
        <w:t>1*</w:t>
      </w:r>
    </w:p>
    <w:p w14:paraId="53A96A89" w14:textId="3B369F58" w:rsidR="00371D16" w:rsidRPr="00C53336" w:rsidRDefault="000C1EBF">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C53336" w:rsidRPr="00C53336">
        <w:t xml:space="preserve"> </w:t>
      </w:r>
      <w:proofErr w:type="gramStart"/>
      <w:r w:rsidR="00DE1BDB">
        <w:rPr>
          <w:rFonts w:ascii="Roboto" w:eastAsia="Roboto" w:hAnsi="Roboto" w:cs="Roboto"/>
          <w:color w:val="000000"/>
          <w:sz w:val="18"/>
          <w:szCs w:val="18"/>
        </w:rPr>
        <w:t>Profesora</w:t>
      </w:r>
      <w:proofErr w:type="gramEnd"/>
      <w:r w:rsidR="00DE1BDB">
        <w:rPr>
          <w:rFonts w:ascii="Roboto" w:eastAsia="Roboto" w:hAnsi="Roboto" w:cs="Roboto"/>
          <w:color w:val="000000"/>
          <w:sz w:val="18"/>
          <w:szCs w:val="18"/>
        </w:rPr>
        <w:t xml:space="preserve"> e investigadora. U</w:t>
      </w:r>
      <w:r w:rsidR="00C53336" w:rsidRPr="00C53336">
        <w:rPr>
          <w:rFonts w:ascii="Roboto" w:eastAsia="Roboto" w:hAnsi="Roboto" w:cs="Roboto"/>
          <w:color w:val="000000"/>
          <w:sz w:val="18"/>
          <w:szCs w:val="18"/>
        </w:rPr>
        <w:t>niversidad Francisco de Vitoria, ORCID: 0000-0002-8963-301X</w:t>
      </w:r>
    </w:p>
    <w:p w14:paraId="4785B717" w14:textId="29936F36" w:rsidR="00371D16" w:rsidRDefault="000C1EBF">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E00BBD">
        <w:rPr>
          <w:rFonts w:ascii="Roboto" w:eastAsia="Roboto" w:hAnsi="Roboto" w:cs="Roboto"/>
          <w:sz w:val="18"/>
          <w:szCs w:val="18"/>
        </w:rPr>
        <w:t>marta.molina@ufv.es</w:t>
      </w:r>
      <w:r>
        <w:rPr>
          <w:rFonts w:ascii="Roboto" w:eastAsia="Roboto" w:hAnsi="Roboto" w:cs="Roboto"/>
          <w:sz w:val="18"/>
          <w:szCs w:val="18"/>
        </w:rPr>
        <w:t>)</w:t>
      </w:r>
    </w:p>
    <w:p w14:paraId="6FCDD9C6" w14:textId="77777777" w:rsidR="00371D16" w:rsidRDefault="00000000">
      <w:pPr>
        <w:spacing w:before="60"/>
        <w:jc w:val="center"/>
        <w:rPr>
          <w:rFonts w:ascii="Roboto" w:eastAsia="Roboto" w:hAnsi="Roboto" w:cs="Roboto"/>
          <w:sz w:val="18"/>
          <w:szCs w:val="18"/>
        </w:rPr>
        <w:sectPr w:rsidR="00371D16">
          <w:headerReference w:type="default" r:id="rId8"/>
          <w:pgSz w:w="11906" w:h="16838"/>
          <w:pgMar w:top="851" w:right="851" w:bottom="828" w:left="851" w:header="357" w:footer="720" w:gutter="0"/>
          <w:pgNumType w:start="1"/>
          <w:cols w:space="720"/>
        </w:sectPr>
      </w:pPr>
      <w:r>
        <w:pict w14:anchorId="42C72D1D">
          <v:rect id="_x0000_i1025" style="width:0;height:1.5pt" o:hralign="center" o:hrstd="t" o:hr="t" fillcolor="#a0a0a0" stroked="f"/>
        </w:pict>
      </w:r>
    </w:p>
    <w:p w14:paraId="47287AC3" w14:textId="712AABE6" w:rsidR="00371D16" w:rsidRDefault="00234A6C">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06F579C8" w14:textId="77777777" w:rsidR="00C64EDA" w:rsidRDefault="00C64EDA">
      <w:pPr>
        <w:pBdr>
          <w:top w:val="nil"/>
          <w:left w:val="nil"/>
          <w:bottom w:val="nil"/>
          <w:right w:val="nil"/>
          <w:between w:val="nil"/>
        </w:pBdr>
        <w:spacing w:before="60"/>
        <w:jc w:val="both"/>
        <w:rPr>
          <w:rFonts w:ascii="Roboto" w:eastAsia="Roboto" w:hAnsi="Roboto" w:cs="Roboto"/>
          <w:b/>
          <w:bCs/>
          <w:color w:val="000000"/>
          <w:sz w:val="20"/>
          <w:szCs w:val="20"/>
        </w:rPr>
      </w:pPr>
    </w:p>
    <w:p w14:paraId="67013A6D" w14:textId="77777777" w:rsidR="002408BB" w:rsidRPr="002408BB" w:rsidRDefault="002408BB" w:rsidP="002408BB">
      <w:pPr>
        <w:pBdr>
          <w:top w:val="nil"/>
          <w:left w:val="nil"/>
          <w:bottom w:val="nil"/>
          <w:right w:val="nil"/>
          <w:between w:val="nil"/>
        </w:pBdr>
        <w:jc w:val="both"/>
        <w:rPr>
          <w:rFonts w:ascii="Roboto" w:eastAsia="Roboto" w:hAnsi="Roboto" w:cs="Roboto"/>
          <w:color w:val="000000"/>
          <w:sz w:val="20"/>
          <w:szCs w:val="20"/>
          <w:lang w:val="es-ES"/>
        </w:rPr>
      </w:pPr>
      <w:r w:rsidRPr="002408BB">
        <w:rPr>
          <w:rFonts w:ascii="Roboto" w:eastAsia="Roboto" w:hAnsi="Roboto" w:cs="Roboto"/>
          <w:color w:val="000000"/>
          <w:sz w:val="20"/>
          <w:szCs w:val="20"/>
          <w:lang w:val="es-ES"/>
        </w:rPr>
        <w:t>En el contexto de la convergencia digital, las tecnologías inmersivas —especialmente la realidad virtual y el vídeo 360— están transformando de manera significativa el ecosistema mediático. Estas innovaciones no solo afectan a los formatos informativos, sino que reconfiguran la relación entre el usuario y el contenido, introduciendo formas de experiencia más participativas y sensoriales.</w:t>
      </w:r>
    </w:p>
    <w:p w14:paraId="13D42549" w14:textId="77777777" w:rsidR="005642ED" w:rsidRPr="005642ED" w:rsidRDefault="005642ED" w:rsidP="002408BB">
      <w:pPr>
        <w:pBdr>
          <w:top w:val="nil"/>
          <w:left w:val="nil"/>
          <w:bottom w:val="nil"/>
          <w:right w:val="nil"/>
          <w:between w:val="nil"/>
        </w:pBdr>
        <w:jc w:val="both"/>
        <w:rPr>
          <w:rFonts w:ascii="Roboto" w:eastAsia="Roboto" w:hAnsi="Roboto" w:cs="Roboto"/>
          <w:color w:val="000000"/>
          <w:sz w:val="20"/>
          <w:szCs w:val="20"/>
        </w:rPr>
      </w:pPr>
      <w:r w:rsidRPr="005642ED">
        <w:rPr>
          <w:rFonts w:ascii="Roboto" w:eastAsia="Roboto" w:hAnsi="Roboto" w:cs="Roboto"/>
          <w:color w:val="000000"/>
          <w:sz w:val="20"/>
          <w:szCs w:val="20"/>
        </w:rPr>
        <w:t>Desde una perspectiva humanística, estas transformaciones pueden interpretarse como una evolución de las formas de representación contemporánea, en la que convergen elementos del lenguaje audiovisual, la narrativa digital y la experiencia estética. Desde el ámbito artístico, la inmersión ha sido analizada como una estrategia de construcción de experiencia en entornos visuales y digitales (Grau, 2003). En este sentido, las narrativas inmersivas se vinculan con el concepto de presencia, entendido como la sensación de “estar dentro” del entorno mediado (Slater &amp; Sanchez-Vives, 2016).</w:t>
      </w:r>
    </w:p>
    <w:p w14:paraId="59320392" w14:textId="46B47408" w:rsidR="002408BB" w:rsidRDefault="002408BB" w:rsidP="002408BB">
      <w:pPr>
        <w:pBdr>
          <w:top w:val="nil"/>
          <w:left w:val="nil"/>
          <w:bottom w:val="nil"/>
          <w:right w:val="nil"/>
          <w:between w:val="nil"/>
        </w:pBdr>
        <w:jc w:val="both"/>
        <w:rPr>
          <w:rFonts w:ascii="Roboto" w:eastAsia="Roboto" w:hAnsi="Roboto" w:cs="Roboto"/>
          <w:color w:val="000000"/>
          <w:sz w:val="20"/>
          <w:szCs w:val="20"/>
          <w:lang w:val="es-ES"/>
        </w:rPr>
      </w:pPr>
      <w:r w:rsidRPr="002408BB">
        <w:rPr>
          <w:rFonts w:ascii="Roboto" w:eastAsia="Roboto" w:hAnsi="Roboto" w:cs="Roboto"/>
          <w:color w:val="000000"/>
          <w:sz w:val="20"/>
          <w:szCs w:val="20"/>
          <w:lang w:val="es-ES"/>
        </w:rPr>
        <w:t>En línea con investigaciones previas sobre el uso de la realidad virtual en medios de referencia internacionales (Molina Díez, 2022), este trabajo se propone analizar el impacto de estas tecnologías en el periodismo desde tres dimensiones: su efecto en la audiencia, su potencial transformador en el ejercicio profesional y su integración en la formación universitaria.</w:t>
      </w:r>
    </w:p>
    <w:p w14:paraId="53CE6D5B" w14:textId="0A13DD07" w:rsidR="006B0BDC" w:rsidRPr="002408BB" w:rsidRDefault="006B0BDC" w:rsidP="002408BB">
      <w:pPr>
        <w:pBdr>
          <w:top w:val="nil"/>
          <w:left w:val="nil"/>
          <w:bottom w:val="nil"/>
          <w:right w:val="nil"/>
          <w:between w:val="nil"/>
        </w:pBdr>
        <w:jc w:val="both"/>
        <w:rPr>
          <w:rFonts w:ascii="Roboto" w:eastAsia="Roboto" w:hAnsi="Roboto" w:cs="Roboto"/>
          <w:color w:val="000000"/>
          <w:sz w:val="20"/>
          <w:szCs w:val="20"/>
          <w:lang w:val="es-ES"/>
        </w:rPr>
      </w:pPr>
      <w:r w:rsidRPr="006B0BDC">
        <w:rPr>
          <w:rFonts w:ascii="Roboto" w:eastAsia="Roboto" w:hAnsi="Roboto" w:cs="Roboto"/>
          <w:color w:val="000000"/>
          <w:sz w:val="20"/>
          <w:szCs w:val="20"/>
        </w:rPr>
        <w:t>Sin embargo, la incorporación de estas tecnologías plantea un desafío fundamental para el periodismo contemporáneo: cómo integrar la intensidad de la experiencia inmersiva sin comprometer la distancia crítica necesaria para la interpretación de la información.</w:t>
      </w:r>
    </w:p>
    <w:p w14:paraId="75A94F77" w14:textId="77777777" w:rsidR="00234A6C" w:rsidRDefault="00234A6C" w:rsidP="00C64EDA">
      <w:pPr>
        <w:pBdr>
          <w:top w:val="nil"/>
          <w:left w:val="nil"/>
          <w:bottom w:val="nil"/>
          <w:right w:val="nil"/>
          <w:between w:val="nil"/>
        </w:pBdr>
        <w:jc w:val="both"/>
        <w:rPr>
          <w:rFonts w:ascii="Roboto" w:eastAsia="Roboto" w:hAnsi="Roboto" w:cs="Roboto"/>
          <w:color w:val="000000"/>
          <w:sz w:val="20"/>
          <w:szCs w:val="20"/>
          <w:lang w:val="es-ES"/>
        </w:rPr>
      </w:pPr>
    </w:p>
    <w:p w14:paraId="5B7E78A7" w14:textId="59AFC795" w:rsidR="00234A6C" w:rsidRPr="00234A6C" w:rsidRDefault="00234A6C" w:rsidP="00C64EDA">
      <w:pPr>
        <w:pBdr>
          <w:top w:val="nil"/>
          <w:left w:val="nil"/>
          <w:bottom w:val="nil"/>
          <w:right w:val="nil"/>
          <w:between w:val="nil"/>
        </w:pBdr>
        <w:jc w:val="both"/>
        <w:rPr>
          <w:rFonts w:ascii="Roboto" w:eastAsia="Roboto" w:hAnsi="Roboto" w:cs="Roboto"/>
          <w:b/>
          <w:bCs/>
          <w:color w:val="000000"/>
          <w:sz w:val="20"/>
          <w:szCs w:val="20"/>
          <w:lang w:val="es-ES"/>
        </w:rPr>
      </w:pPr>
      <w:r w:rsidRPr="00234A6C">
        <w:rPr>
          <w:rFonts w:ascii="Roboto" w:eastAsia="Roboto" w:hAnsi="Roboto" w:cs="Roboto"/>
          <w:b/>
          <w:bCs/>
          <w:color w:val="000000"/>
          <w:sz w:val="20"/>
          <w:szCs w:val="20"/>
          <w:lang w:val="es-ES"/>
        </w:rPr>
        <w:t>METODOLOGÍA</w:t>
      </w:r>
    </w:p>
    <w:p w14:paraId="69FDF465" w14:textId="77777777" w:rsidR="00C64EDA" w:rsidRPr="00C64EDA" w:rsidRDefault="00C64EDA" w:rsidP="00C64EDA">
      <w:pPr>
        <w:pBdr>
          <w:top w:val="nil"/>
          <w:left w:val="nil"/>
          <w:bottom w:val="nil"/>
          <w:right w:val="nil"/>
          <w:between w:val="nil"/>
        </w:pBdr>
        <w:jc w:val="both"/>
        <w:rPr>
          <w:rFonts w:ascii="Roboto" w:eastAsia="Roboto" w:hAnsi="Roboto" w:cs="Roboto"/>
          <w:color w:val="000000"/>
          <w:sz w:val="20"/>
          <w:szCs w:val="20"/>
          <w:lang w:val="es-ES"/>
        </w:rPr>
      </w:pPr>
    </w:p>
    <w:p w14:paraId="175C4AC0" w14:textId="52C84F2D" w:rsidR="005764DF" w:rsidRP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 xml:space="preserve">La investigación se basa en un diseño </w:t>
      </w:r>
      <w:r>
        <w:rPr>
          <w:rFonts w:ascii="Roboto" w:eastAsia="Roboto" w:hAnsi="Roboto" w:cs="Roboto"/>
          <w:color w:val="000000"/>
          <w:sz w:val="20"/>
          <w:szCs w:val="20"/>
          <w:lang w:val="es-ES"/>
        </w:rPr>
        <w:t>mixto</w:t>
      </w:r>
      <w:r w:rsidRPr="005764DF">
        <w:rPr>
          <w:rFonts w:ascii="Roboto" w:eastAsia="Roboto" w:hAnsi="Roboto" w:cs="Roboto"/>
          <w:color w:val="000000"/>
          <w:sz w:val="20"/>
          <w:szCs w:val="20"/>
          <w:lang w:val="es-ES"/>
        </w:rPr>
        <w:t xml:space="preserve"> orientado a analizar el impacto de las tecnologías inmersivas en el ámbito periodístico y educativo.</w:t>
      </w:r>
    </w:p>
    <w:p w14:paraId="4AAC59BA" w14:textId="77777777" w:rsidR="005764DF" w:rsidRP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 xml:space="preserve">En primer lugar, se realizaron entrevistas semiestructuradas a profesionales y expertos internacionales en periodismo inmersivo y comunicación digital, entre los que se encuentran referentes académicos y profesionales del sector como John V. Pavlik, Robert Hernández, Ben Stubbs, Kim Grinfeder, Pavel Sidorenko, Eva Domínguez, Sara Pérez, Fabio Giacomelli, Antonio Baia y Jesús López. Estas entrevistas han permitido obtener una visión cualitativa experta sobre la evolución, los desafíos y las </w:t>
      </w:r>
      <w:r w:rsidRPr="005764DF">
        <w:rPr>
          <w:rFonts w:ascii="Roboto" w:eastAsia="Roboto" w:hAnsi="Roboto" w:cs="Roboto"/>
          <w:color w:val="000000"/>
          <w:sz w:val="20"/>
          <w:szCs w:val="20"/>
          <w:lang w:val="es-ES"/>
        </w:rPr>
        <w:t>oportunidades del periodismo inmersivo en el contexto actual.</w:t>
      </w:r>
    </w:p>
    <w:p w14:paraId="50FB1454" w14:textId="77777777" w:rsidR="005764DF" w:rsidRP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En segundo lugar, se realizó una encuesta a estudiantes universitarios de Periodismo con el objetivo de conocer su percepción sobre el uso de tecnologías inmersivas en la información, así como su interés en adquirir competencias relacionadas con estas herramientas.</w:t>
      </w:r>
    </w:p>
    <w:p w14:paraId="4B47B999" w14:textId="77777777" w:rsidR="005764DF" w:rsidRP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En tercer lugar, se llevó a cabo una experiencia docente aplicada, consistente en el diseño e implementación de una sesión especializada en periodismo inmersivo. Esta intervención permitió recoger información cualitativa sobre la acogida de estos contenidos, el nivel de comprensión y la valoración por parte del alumnado.</w:t>
      </w:r>
    </w:p>
    <w:p w14:paraId="19A80FAE" w14:textId="77777777" w:rsidR="005764DF" w:rsidRP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Finalmente, se desarrolló un análisis de los planes de estudio de los grados en Periodismo en España, con el fin de identificar la presencia (o ausencia) de asignaturas específicas relacionadas con el periodismo inmersivo y evaluar su grado de integración en la formación universitaria.</w:t>
      </w:r>
    </w:p>
    <w:p w14:paraId="5F6E4BAB" w14:textId="77777777" w:rsidR="005764DF" w:rsidRDefault="005764DF" w:rsidP="005764DF">
      <w:pPr>
        <w:pBdr>
          <w:top w:val="nil"/>
          <w:left w:val="nil"/>
          <w:bottom w:val="nil"/>
          <w:right w:val="nil"/>
          <w:between w:val="nil"/>
        </w:pBdr>
        <w:jc w:val="both"/>
        <w:rPr>
          <w:rFonts w:ascii="Roboto" w:eastAsia="Roboto" w:hAnsi="Roboto" w:cs="Roboto"/>
          <w:color w:val="000000"/>
          <w:sz w:val="20"/>
          <w:szCs w:val="20"/>
          <w:lang w:val="es-ES"/>
        </w:rPr>
      </w:pPr>
      <w:r w:rsidRPr="005764DF">
        <w:rPr>
          <w:rFonts w:ascii="Roboto" w:eastAsia="Roboto" w:hAnsi="Roboto" w:cs="Roboto"/>
          <w:color w:val="000000"/>
          <w:sz w:val="20"/>
          <w:szCs w:val="20"/>
          <w:lang w:val="es-ES"/>
        </w:rPr>
        <w:t>Este enfoque combinado permite articular datos empíricos con una reflexión teórica sobre las implicaciones narrativas, estéticas y formativas del periodismo inmersivo.</w:t>
      </w:r>
    </w:p>
    <w:p w14:paraId="703D2CC2" w14:textId="04B5DAC3" w:rsidR="009B6258" w:rsidRPr="005764DF" w:rsidRDefault="009B6258" w:rsidP="005764DF">
      <w:pPr>
        <w:pBdr>
          <w:top w:val="nil"/>
          <w:left w:val="nil"/>
          <w:bottom w:val="nil"/>
          <w:right w:val="nil"/>
          <w:between w:val="nil"/>
        </w:pBdr>
        <w:jc w:val="both"/>
        <w:rPr>
          <w:rFonts w:ascii="Roboto" w:eastAsia="Roboto" w:hAnsi="Roboto" w:cs="Roboto"/>
          <w:color w:val="000000"/>
          <w:sz w:val="20"/>
          <w:szCs w:val="20"/>
          <w:lang w:val="es-ES"/>
        </w:rPr>
      </w:pPr>
      <w:r w:rsidRPr="009B6258">
        <w:rPr>
          <w:rFonts w:ascii="Roboto" w:eastAsia="Roboto" w:hAnsi="Roboto" w:cs="Roboto"/>
          <w:color w:val="000000"/>
          <w:sz w:val="20"/>
          <w:szCs w:val="20"/>
        </w:rPr>
        <w:t>El análisis de los datos se realizó mediante una aproximación descriptiva y comparativa, combinando interpretación cualitativa y análisis de tendencias en los datos recogidos.</w:t>
      </w:r>
    </w:p>
    <w:p w14:paraId="6D79ACD4" w14:textId="77777777" w:rsidR="00802C62" w:rsidRDefault="00802C62" w:rsidP="00C64EDA">
      <w:pPr>
        <w:pBdr>
          <w:top w:val="nil"/>
          <w:left w:val="nil"/>
          <w:bottom w:val="nil"/>
          <w:right w:val="nil"/>
          <w:between w:val="nil"/>
        </w:pBdr>
        <w:jc w:val="both"/>
        <w:rPr>
          <w:rFonts w:ascii="Roboto" w:eastAsia="Roboto" w:hAnsi="Roboto" w:cs="Roboto"/>
          <w:color w:val="000000"/>
          <w:sz w:val="20"/>
          <w:szCs w:val="20"/>
          <w:lang w:val="es-ES"/>
        </w:rPr>
      </w:pPr>
    </w:p>
    <w:p w14:paraId="3CCD0B13" w14:textId="4482746B" w:rsidR="00802C62" w:rsidRPr="007E22EC" w:rsidRDefault="00802C62" w:rsidP="00C64EDA">
      <w:pPr>
        <w:pBdr>
          <w:top w:val="nil"/>
          <w:left w:val="nil"/>
          <w:bottom w:val="nil"/>
          <w:right w:val="nil"/>
          <w:between w:val="nil"/>
        </w:pBdr>
        <w:jc w:val="both"/>
        <w:rPr>
          <w:rFonts w:ascii="Roboto" w:eastAsia="Roboto" w:hAnsi="Roboto" w:cs="Roboto"/>
          <w:b/>
          <w:bCs/>
          <w:color w:val="000000"/>
          <w:sz w:val="20"/>
          <w:szCs w:val="20"/>
          <w:lang w:val="es-ES"/>
        </w:rPr>
      </w:pPr>
      <w:r w:rsidRPr="007E22EC">
        <w:rPr>
          <w:rFonts w:ascii="Roboto" w:eastAsia="Roboto" w:hAnsi="Roboto" w:cs="Roboto"/>
          <w:b/>
          <w:bCs/>
          <w:color w:val="000000"/>
          <w:sz w:val="20"/>
          <w:szCs w:val="20"/>
          <w:lang w:val="es-ES"/>
        </w:rPr>
        <w:t>RESULTADOS</w:t>
      </w:r>
      <w:r w:rsidR="007E22EC" w:rsidRPr="007E22EC">
        <w:rPr>
          <w:rFonts w:ascii="Roboto" w:eastAsia="Roboto" w:hAnsi="Roboto" w:cs="Roboto"/>
          <w:b/>
          <w:bCs/>
          <w:color w:val="000000"/>
          <w:sz w:val="20"/>
          <w:szCs w:val="20"/>
          <w:lang w:val="es-ES"/>
        </w:rPr>
        <w:t xml:space="preserve"> Y DISCUSIÓN</w:t>
      </w:r>
    </w:p>
    <w:p w14:paraId="655FD8FC" w14:textId="77777777" w:rsidR="007E22EC" w:rsidRDefault="007E22EC" w:rsidP="00C64EDA">
      <w:pPr>
        <w:pBdr>
          <w:top w:val="nil"/>
          <w:left w:val="nil"/>
          <w:bottom w:val="nil"/>
          <w:right w:val="nil"/>
          <w:between w:val="nil"/>
        </w:pBdr>
        <w:jc w:val="both"/>
        <w:rPr>
          <w:rFonts w:ascii="Roboto" w:eastAsia="Roboto" w:hAnsi="Roboto" w:cs="Roboto"/>
          <w:color w:val="000000"/>
          <w:sz w:val="20"/>
          <w:szCs w:val="20"/>
          <w:lang w:val="es-ES"/>
        </w:rPr>
      </w:pPr>
    </w:p>
    <w:p w14:paraId="54ECE6CA" w14:textId="77777777" w:rsidR="007E22EC" w:rsidRPr="007E22EC" w:rsidRDefault="007E22EC" w:rsidP="007E22EC">
      <w:pPr>
        <w:pBdr>
          <w:top w:val="nil"/>
          <w:left w:val="nil"/>
          <w:bottom w:val="nil"/>
          <w:right w:val="nil"/>
          <w:between w:val="nil"/>
        </w:pBdr>
        <w:jc w:val="both"/>
        <w:rPr>
          <w:rFonts w:ascii="Roboto" w:eastAsia="Roboto" w:hAnsi="Roboto" w:cs="Roboto"/>
          <w:color w:val="000000"/>
          <w:sz w:val="20"/>
          <w:szCs w:val="20"/>
          <w:lang w:val="es-ES"/>
        </w:rPr>
      </w:pPr>
      <w:r w:rsidRPr="007E22EC">
        <w:rPr>
          <w:rFonts w:ascii="Roboto" w:eastAsia="Roboto" w:hAnsi="Roboto" w:cs="Roboto"/>
          <w:color w:val="000000"/>
          <w:sz w:val="20"/>
          <w:szCs w:val="20"/>
          <w:lang w:val="es-ES"/>
        </w:rPr>
        <w:t>Los resultados se estructuran en tres ejes principales.</w:t>
      </w:r>
    </w:p>
    <w:p w14:paraId="2B8C4D69" w14:textId="77777777" w:rsidR="00B03E57" w:rsidRDefault="00B03E57" w:rsidP="007E22EC">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En primer lugar, l</w:t>
      </w:r>
      <w:r w:rsidRPr="00B03E57">
        <w:rPr>
          <w:rFonts w:ascii="Roboto" w:eastAsia="Roboto" w:hAnsi="Roboto" w:cs="Roboto"/>
          <w:color w:val="000000"/>
          <w:sz w:val="20"/>
          <w:szCs w:val="20"/>
        </w:rPr>
        <w:t>as entrevistas a expertos refuerzan estos resultados, señalando de forma coincidente el potencial del periodismo inmersivo para generar mayor implicación del usuario, así como los retos asociados a su implementación en contextos profesionales y educativos.</w:t>
      </w:r>
    </w:p>
    <w:p w14:paraId="1F5EAD26" w14:textId="1A69E3D9" w:rsidR="007E22EC" w:rsidRPr="007E22EC" w:rsidRDefault="007E22EC" w:rsidP="007E22EC">
      <w:pPr>
        <w:pBdr>
          <w:top w:val="nil"/>
          <w:left w:val="nil"/>
          <w:bottom w:val="nil"/>
          <w:right w:val="nil"/>
          <w:between w:val="nil"/>
        </w:pBdr>
        <w:jc w:val="both"/>
        <w:rPr>
          <w:rFonts w:ascii="Roboto" w:eastAsia="Roboto" w:hAnsi="Roboto" w:cs="Roboto"/>
          <w:color w:val="000000"/>
          <w:sz w:val="20"/>
          <w:szCs w:val="20"/>
          <w:lang w:val="es-ES"/>
        </w:rPr>
      </w:pPr>
      <w:r w:rsidRPr="007E22EC">
        <w:rPr>
          <w:rFonts w:ascii="Roboto" w:eastAsia="Roboto" w:hAnsi="Roboto" w:cs="Roboto"/>
          <w:color w:val="000000"/>
          <w:sz w:val="20"/>
          <w:szCs w:val="20"/>
          <w:lang w:val="es-ES"/>
        </w:rPr>
        <w:t xml:space="preserve">En </w:t>
      </w:r>
      <w:r w:rsidR="00B03E57">
        <w:rPr>
          <w:rFonts w:ascii="Roboto" w:eastAsia="Roboto" w:hAnsi="Roboto" w:cs="Roboto"/>
          <w:color w:val="000000"/>
          <w:sz w:val="20"/>
          <w:szCs w:val="20"/>
          <w:lang w:val="es-ES"/>
        </w:rPr>
        <w:t xml:space="preserve">segundo </w:t>
      </w:r>
      <w:r w:rsidRPr="007E22EC">
        <w:rPr>
          <w:rFonts w:ascii="Roboto" w:eastAsia="Roboto" w:hAnsi="Roboto" w:cs="Roboto"/>
          <w:color w:val="000000"/>
          <w:sz w:val="20"/>
          <w:szCs w:val="20"/>
          <w:lang w:val="es-ES"/>
        </w:rPr>
        <w:t>lugar, la encuesta evidencia que las narrativas inmersivas generan altos niveles de interés y percepción de valor entre el alumnado, asociándose a una mayor implicación y comprensión de los contenidos informativos. La dimensión experiencial se presenta como un factor clave en la recepción del mensaje.</w:t>
      </w:r>
    </w:p>
    <w:p w14:paraId="0E255583" w14:textId="3096B3CA" w:rsidR="007E22EC" w:rsidRPr="007E22EC" w:rsidRDefault="007E22EC" w:rsidP="007E22EC">
      <w:pPr>
        <w:pBdr>
          <w:top w:val="nil"/>
          <w:left w:val="nil"/>
          <w:bottom w:val="nil"/>
          <w:right w:val="nil"/>
          <w:between w:val="nil"/>
        </w:pBdr>
        <w:jc w:val="both"/>
        <w:rPr>
          <w:rFonts w:ascii="Roboto" w:eastAsia="Roboto" w:hAnsi="Roboto" w:cs="Roboto"/>
          <w:color w:val="000000"/>
          <w:sz w:val="20"/>
          <w:szCs w:val="20"/>
          <w:lang w:val="es-ES"/>
        </w:rPr>
      </w:pPr>
      <w:r w:rsidRPr="007E22EC">
        <w:rPr>
          <w:rFonts w:ascii="Roboto" w:eastAsia="Roboto" w:hAnsi="Roboto" w:cs="Roboto"/>
          <w:color w:val="000000"/>
          <w:sz w:val="20"/>
          <w:szCs w:val="20"/>
          <w:lang w:val="es-ES"/>
        </w:rPr>
        <w:t xml:space="preserve">En </w:t>
      </w:r>
      <w:r w:rsidR="00B03E57">
        <w:rPr>
          <w:rFonts w:ascii="Roboto" w:eastAsia="Roboto" w:hAnsi="Roboto" w:cs="Roboto"/>
          <w:color w:val="000000"/>
          <w:sz w:val="20"/>
          <w:szCs w:val="20"/>
          <w:lang w:val="es-ES"/>
        </w:rPr>
        <w:t>tercer</w:t>
      </w:r>
      <w:r w:rsidRPr="007E22EC">
        <w:rPr>
          <w:rFonts w:ascii="Roboto" w:eastAsia="Roboto" w:hAnsi="Roboto" w:cs="Roboto"/>
          <w:color w:val="000000"/>
          <w:sz w:val="20"/>
          <w:szCs w:val="20"/>
          <w:lang w:val="es-ES"/>
        </w:rPr>
        <w:t xml:space="preserve"> lugar, la experiencia docente confirma una valoración positiva de la incorporación del periodismo inmersivo en el aula. Los estudiantes no solo muestran interés en el uso de estas tecnologías, sino que reconocen su potencial para transformar la forma en que se construyen y consumen los relatos informativos.</w:t>
      </w:r>
    </w:p>
    <w:p w14:paraId="494E39BD" w14:textId="4E4335FD" w:rsidR="007E22EC" w:rsidRPr="007E22EC" w:rsidRDefault="00B03E57" w:rsidP="007E22EC">
      <w:pPr>
        <w:pBdr>
          <w:top w:val="nil"/>
          <w:left w:val="nil"/>
          <w:bottom w:val="nil"/>
          <w:right w:val="nil"/>
          <w:between w:val="nil"/>
        </w:pBdr>
        <w:jc w:val="both"/>
        <w:rPr>
          <w:rFonts w:ascii="Roboto" w:eastAsia="Roboto" w:hAnsi="Roboto" w:cs="Roboto"/>
          <w:color w:val="000000"/>
          <w:sz w:val="20"/>
          <w:szCs w:val="20"/>
          <w:lang w:val="es-ES"/>
        </w:rPr>
      </w:pPr>
      <w:r>
        <w:rPr>
          <w:rFonts w:ascii="Roboto" w:eastAsia="Roboto" w:hAnsi="Roboto" w:cs="Roboto"/>
          <w:color w:val="000000"/>
          <w:sz w:val="20"/>
          <w:szCs w:val="20"/>
          <w:lang w:val="es-ES"/>
        </w:rPr>
        <w:t>Finalmente</w:t>
      </w:r>
      <w:r w:rsidR="007E22EC" w:rsidRPr="007E22EC">
        <w:rPr>
          <w:rFonts w:ascii="Roboto" w:eastAsia="Roboto" w:hAnsi="Roboto" w:cs="Roboto"/>
          <w:color w:val="000000"/>
          <w:sz w:val="20"/>
          <w:szCs w:val="20"/>
          <w:lang w:val="es-ES"/>
        </w:rPr>
        <w:t xml:space="preserve">, el análisis de los planes de estudio revela una presencia todavía limitada de asignaturas específicas sobre periodismo inmersivo, lo que pone de </w:t>
      </w:r>
      <w:r w:rsidR="007E22EC" w:rsidRPr="007E22EC">
        <w:rPr>
          <w:rFonts w:ascii="Roboto" w:eastAsia="Roboto" w:hAnsi="Roboto" w:cs="Roboto"/>
          <w:color w:val="000000"/>
          <w:sz w:val="20"/>
          <w:szCs w:val="20"/>
          <w:lang w:val="es-ES"/>
        </w:rPr>
        <w:lastRenderedPageBreak/>
        <w:t>manifiesto una brecha entre el interés del alumnado y la oferta formativa existente.</w:t>
      </w:r>
    </w:p>
    <w:p w14:paraId="5909D582" w14:textId="77777777" w:rsidR="007E22EC" w:rsidRPr="007E22EC" w:rsidRDefault="007E22EC" w:rsidP="007E22EC">
      <w:pPr>
        <w:pBdr>
          <w:top w:val="nil"/>
          <w:left w:val="nil"/>
          <w:bottom w:val="nil"/>
          <w:right w:val="nil"/>
          <w:between w:val="nil"/>
        </w:pBdr>
        <w:jc w:val="both"/>
        <w:rPr>
          <w:rFonts w:ascii="Roboto" w:eastAsia="Roboto" w:hAnsi="Roboto" w:cs="Roboto"/>
          <w:color w:val="000000"/>
          <w:sz w:val="20"/>
          <w:szCs w:val="20"/>
          <w:lang w:val="es-ES"/>
        </w:rPr>
      </w:pPr>
      <w:r w:rsidRPr="007E22EC">
        <w:rPr>
          <w:rFonts w:ascii="Roboto" w:eastAsia="Roboto" w:hAnsi="Roboto" w:cs="Roboto"/>
          <w:color w:val="000000"/>
          <w:sz w:val="20"/>
          <w:szCs w:val="20"/>
          <w:lang w:val="es-ES"/>
        </w:rPr>
        <w:t>Desde una perspectiva humanística, estos resultados apuntan a una transformación del relato periodístico en la que la experiencia adquiere un papel central. La posibilidad de “habitar” el espacio informativo introduce una dimensión estética que reconfigura el punto de vista y el papel del receptor. Sin embargo, esta intensificación de la experiencia plantea una cuestión relevante: la tensión entre la inmersión emocional y la distancia crítica necesaria para la interpretación de la información.</w:t>
      </w:r>
    </w:p>
    <w:p w14:paraId="1550E387" w14:textId="77777777" w:rsidR="00802C62" w:rsidRDefault="00802C62" w:rsidP="00C64EDA">
      <w:pPr>
        <w:pBdr>
          <w:top w:val="nil"/>
          <w:left w:val="nil"/>
          <w:bottom w:val="nil"/>
          <w:right w:val="nil"/>
          <w:between w:val="nil"/>
        </w:pBdr>
        <w:jc w:val="both"/>
        <w:rPr>
          <w:rFonts w:ascii="Roboto" w:eastAsia="Roboto" w:hAnsi="Roboto" w:cs="Roboto"/>
          <w:color w:val="000000"/>
          <w:sz w:val="20"/>
          <w:szCs w:val="20"/>
          <w:lang w:val="es-ES"/>
        </w:rPr>
      </w:pPr>
    </w:p>
    <w:p w14:paraId="41B7AA17" w14:textId="49E4B59C" w:rsidR="00A92932" w:rsidRPr="00A92932" w:rsidRDefault="00A92932" w:rsidP="00C64EDA">
      <w:pPr>
        <w:pBdr>
          <w:top w:val="nil"/>
          <w:left w:val="nil"/>
          <w:bottom w:val="nil"/>
          <w:right w:val="nil"/>
          <w:between w:val="nil"/>
        </w:pBdr>
        <w:jc w:val="both"/>
        <w:rPr>
          <w:rFonts w:ascii="Roboto" w:eastAsia="Roboto" w:hAnsi="Roboto" w:cs="Roboto"/>
          <w:b/>
          <w:bCs/>
          <w:color w:val="000000"/>
          <w:sz w:val="20"/>
          <w:szCs w:val="20"/>
          <w:lang w:val="es-ES"/>
        </w:rPr>
      </w:pPr>
      <w:r w:rsidRPr="00A92932">
        <w:rPr>
          <w:rFonts w:ascii="Roboto" w:eastAsia="Roboto" w:hAnsi="Roboto" w:cs="Roboto"/>
          <w:b/>
          <w:bCs/>
          <w:color w:val="000000"/>
          <w:sz w:val="20"/>
          <w:szCs w:val="20"/>
          <w:lang w:val="es-ES"/>
        </w:rPr>
        <w:t>CONCLUSIONES</w:t>
      </w:r>
    </w:p>
    <w:p w14:paraId="401BADA5" w14:textId="77777777" w:rsidR="00A92932" w:rsidRDefault="00A92932" w:rsidP="00C64EDA">
      <w:pPr>
        <w:pBdr>
          <w:top w:val="nil"/>
          <w:left w:val="nil"/>
          <w:bottom w:val="nil"/>
          <w:right w:val="nil"/>
          <w:between w:val="nil"/>
        </w:pBdr>
        <w:jc w:val="both"/>
        <w:rPr>
          <w:rFonts w:ascii="Roboto" w:eastAsia="Roboto" w:hAnsi="Roboto" w:cs="Roboto"/>
          <w:color w:val="000000"/>
          <w:sz w:val="20"/>
          <w:szCs w:val="20"/>
          <w:lang w:val="es-ES"/>
        </w:rPr>
      </w:pPr>
    </w:p>
    <w:p w14:paraId="32DB52CE" w14:textId="77777777" w:rsidR="00A92932" w:rsidRPr="00A92932" w:rsidRDefault="00A92932" w:rsidP="00A92932">
      <w:pPr>
        <w:pBdr>
          <w:top w:val="nil"/>
          <w:left w:val="nil"/>
          <w:bottom w:val="nil"/>
          <w:right w:val="nil"/>
          <w:between w:val="nil"/>
        </w:pBdr>
        <w:jc w:val="both"/>
        <w:rPr>
          <w:rFonts w:ascii="Roboto" w:eastAsia="Roboto" w:hAnsi="Roboto" w:cs="Roboto"/>
          <w:color w:val="000000"/>
          <w:sz w:val="20"/>
          <w:szCs w:val="20"/>
          <w:lang w:val="es-ES"/>
        </w:rPr>
      </w:pPr>
      <w:r w:rsidRPr="00A92932">
        <w:rPr>
          <w:rFonts w:ascii="Roboto" w:eastAsia="Roboto" w:hAnsi="Roboto" w:cs="Roboto"/>
          <w:color w:val="000000"/>
          <w:sz w:val="20"/>
          <w:szCs w:val="20"/>
          <w:lang w:val="es-ES"/>
        </w:rPr>
        <w:t>Las narrativas inmersivas representan una transformación significativa del periodismo contemporáneo, al introducir nuevas formas de relación entre el usuario y la información. Su desarrollo no solo implica cambios tecnológicos, sino también narrativos, estéticos y formativos.</w:t>
      </w:r>
    </w:p>
    <w:p w14:paraId="2304703F" w14:textId="77777777" w:rsidR="00A92932" w:rsidRPr="00A92932" w:rsidRDefault="00A92932" w:rsidP="00A92932">
      <w:pPr>
        <w:pBdr>
          <w:top w:val="nil"/>
          <w:left w:val="nil"/>
          <w:bottom w:val="nil"/>
          <w:right w:val="nil"/>
          <w:between w:val="nil"/>
        </w:pBdr>
        <w:jc w:val="both"/>
        <w:rPr>
          <w:rFonts w:ascii="Roboto" w:eastAsia="Roboto" w:hAnsi="Roboto" w:cs="Roboto"/>
          <w:color w:val="000000"/>
          <w:sz w:val="20"/>
          <w:szCs w:val="20"/>
          <w:lang w:val="es-ES"/>
        </w:rPr>
      </w:pPr>
      <w:r w:rsidRPr="00A92932">
        <w:rPr>
          <w:rFonts w:ascii="Roboto" w:eastAsia="Roboto" w:hAnsi="Roboto" w:cs="Roboto"/>
          <w:color w:val="000000"/>
          <w:sz w:val="20"/>
          <w:szCs w:val="20"/>
          <w:lang w:val="es-ES"/>
        </w:rPr>
        <w:t>Desde el ámbito de las humanidades y las artes, estas prácticas pueden entenderse como nuevos lenguajes expresivos que amplían las posibilidades de la representación. No obstante, su implementación plantea desafíos relacionados con la construcción de la verdad informativa, la mediación y el papel del receptor.</w:t>
      </w:r>
    </w:p>
    <w:p w14:paraId="7C52D855" w14:textId="77777777" w:rsidR="00A92932" w:rsidRPr="00A92932" w:rsidRDefault="00A92932" w:rsidP="00A92932">
      <w:pPr>
        <w:pBdr>
          <w:top w:val="nil"/>
          <w:left w:val="nil"/>
          <w:bottom w:val="nil"/>
          <w:right w:val="nil"/>
          <w:between w:val="nil"/>
        </w:pBdr>
        <w:jc w:val="both"/>
        <w:rPr>
          <w:rFonts w:ascii="Roboto" w:eastAsia="Roboto" w:hAnsi="Roboto" w:cs="Roboto"/>
          <w:color w:val="000000"/>
          <w:sz w:val="20"/>
          <w:szCs w:val="20"/>
          <w:lang w:val="es-ES"/>
        </w:rPr>
      </w:pPr>
      <w:r w:rsidRPr="00A92932">
        <w:rPr>
          <w:rFonts w:ascii="Roboto" w:eastAsia="Roboto" w:hAnsi="Roboto" w:cs="Roboto"/>
          <w:color w:val="000000"/>
          <w:sz w:val="20"/>
          <w:szCs w:val="20"/>
          <w:lang w:val="es-ES"/>
        </w:rPr>
        <w:t>En el ámbito educativo, los resultados evidencian la necesidad de integrar estas tecnologías en los planes de estudio de manera estructurada, combinando competencias técnicas con pensamiento crítico y reflexión estética.</w:t>
      </w:r>
    </w:p>
    <w:p w14:paraId="11421E9B" w14:textId="77777777" w:rsidR="00A92932" w:rsidRPr="00A92932" w:rsidRDefault="00A92932" w:rsidP="00A92932">
      <w:pPr>
        <w:pBdr>
          <w:top w:val="nil"/>
          <w:left w:val="nil"/>
          <w:bottom w:val="nil"/>
          <w:right w:val="nil"/>
          <w:between w:val="nil"/>
        </w:pBdr>
        <w:jc w:val="both"/>
        <w:rPr>
          <w:rFonts w:ascii="Roboto" w:eastAsia="Roboto" w:hAnsi="Roboto" w:cs="Roboto"/>
          <w:color w:val="000000"/>
          <w:sz w:val="20"/>
          <w:szCs w:val="20"/>
          <w:lang w:val="es-ES"/>
        </w:rPr>
      </w:pPr>
      <w:r w:rsidRPr="00A92932">
        <w:rPr>
          <w:rFonts w:ascii="Roboto" w:eastAsia="Roboto" w:hAnsi="Roboto" w:cs="Roboto"/>
          <w:color w:val="000000"/>
          <w:sz w:val="20"/>
          <w:szCs w:val="20"/>
          <w:lang w:val="es-ES"/>
        </w:rPr>
        <w:t>Finalmente, se abren líneas de investigación orientadas al estudio de la relación entre experiencia, emoción y credibilidad, así como al diseño de metodologías docentes que permitan incorporar el periodismo inmersivo de forma crítica y creativa.</w:t>
      </w:r>
    </w:p>
    <w:p w14:paraId="5FE0EB50" w14:textId="0D6CEC9B" w:rsidR="00A92932" w:rsidRPr="00C64EDA" w:rsidRDefault="00556452" w:rsidP="00C64EDA">
      <w:pPr>
        <w:pBdr>
          <w:top w:val="nil"/>
          <w:left w:val="nil"/>
          <w:bottom w:val="nil"/>
          <w:right w:val="nil"/>
          <w:between w:val="nil"/>
        </w:pBdr>
        <w:jc w:val="both"/>
        <w:rPr>
          <w:rFonts w:ascii="Roboto" w:eastAsia="Roboto" w:hAnsi="Roboto" w:cs="Roboto"/>
          <w:color w:val="000000"/>
          <w:sz w:val="20"/>
          <w:szCs w:val="20"/>
          <w:lang w:val="es-ES"/>
        </w:rPr>
      </w:pPr>
      <w:r w:rsidRPr="00556452">
        <w:rPr>
          <w:rFonts w:ascii="Roboto" w:eastAsia="Roboto" w:hAnsi="Roboto" w:cs="Roboto"/>
          <w:color w:val="000000"/>
          <w:sz w:val="20"/>
          <w:szCs w:val="20"/>
        </w:rPr>
        <w:t>En este sentido, el periodismo inmersivo no debe entenderse únicamente como una innovación tecnológica, sino como un cambio de paradigma en la forma de construir, experimentar y comprender la información.</w:t>
      </w:r>
    </w:p>
    <w:p w14:paraId="0AB0C607" w14:textId="77777777" w:rsidR="00371D16" w:rsidRDefault="00371D16">
      <w:pPr>
        <w:jc w:val="both"/>
        <w:rPr>
          <w:rFonts w:ascii="Roboto" w:eastAsia="Roboto" w:hAnsi="Roboto" w:cs="Roboto"/>
          <w:sz w:val="20"/>
          <w:szCs w:val="20"/>
        </w:rPr>
      </w:pPr>
    </w:p>
    <w:p w14:paraId="3AA9AE3F" w14:textId="77777777" w:rsidR="00371D16" w:rsidRDefault="000C1EBF">
      <w:pPr>
        <w:jc w:val="both"/>
        <w:rPr>
          <w:rFonts w:ascii="Roboto" w:eastAsia="Roboto" w:hAnsi="Roboto" w:cs="Roboto"/>
          <w:b/>
          <w:bCs/>
          <w:sz w:val="20"/>
          <w:szCs w:val="20"/>
        </w:rPr>
      </w:pPr>
      <w:r>
        <w:rPr>
          <w:rFonts w:ascii="Roboto" w:eastAsia="Roboto" w:hAnsi="Roboto" w:cs="Roboto"/>
          <w:b/>
          <w:bCs/>
          <w:sz w:val="20"/>
          <w:szCs w:val="20"/>
        </w:rPr>
        <w:t>REFERENCIAS (Formato APA)</w:t>
      </w:r>
    </w:p>
    <w:p w14:paraId="0CDEFF8F" w14:textId="77777777" w:rsidR="00DE1BDB" w:rsidRDefault="00DE1BDB" w:rsidP="00DE1BDB">
      <w:pPr>
        <w:jc w:val="both"/>
        <w:rPr>
          <w:rFonts w:ascii="Roboto" w:eastAsia="Roboto" w:hAnsi="Roboto" w:cs="Roboto"/>
          <w:sz w:val="20"/>
          <w:szCs w:val="20"/>
          <w:lang w:val="es-ES"/>
        </w:rPr>
      </w:pPr>
    </w:p>
    <w:p w14:paraId="01797BE4" w14:textId="593622B9" w:rsidR="00DE1BDB" w:rsidRPr="00DE1BDB" w:rsidRDefault="00DE1BDB" w:rsidP="00DE1BDB">
      <w:pPr>
        <w:jc w:val="both"/>
        <w:rPr>
          <w:rFonts w:ascii="Roboto" w:eastAsia="Roboto" w:hAnsi="Roboto" w:cs="Roboto"/>
          <w:sz w:val="20"/>
          <w:szCs w:val="20"/>
          <w:lang w:val="es-ES"/>
        </w:rPr>
      </w:pPr>
      <w:r w:rsidRPr="00DE1BDB">
        <w:rPr>
          <w:rFonts w:ascii="Roboto" w:eastAsia="Roboto" w:hAnsi="Roboto" w:cs="Roboto"/>
          <w:sz w:val="20"/>
          <w:szCs w:val="20"/>
          <w:lang w:val="es-ES"/>
        </w:rPr>
        <w:t xml:space="preserve">Molina Díez, M. (2022). </w:t>
      </w:r>
      <w:r w:rsidRPr="00DE1BDB">
        <w:rPr>
          <w:rFonts w:ascii="Roboto" w:eastAsia="Roboto" w:hAnsi="Roboto" w:cs="Roboto"/>
          <w:i/>
          <w:iCs/>
          <w:sz w:val="20"/>
          <w:szCs w:val="20"/>
          <w:lang w:val="es-ES"/>
        </w:rPr>
        <w:t>El uso de la realidad virtual aplicada al periodismo: estudio de los casos de The New York Times y The Guardian</w:t>
      </w:r>
      <w:r w:rsidRPr="00DE1BDB">
        <w:rPr>
          <w:rFonts w:ascii="Roboto" w:eastAsia="Roboto" w:hAnsi="Roboto" w:cs="Roboto"/>
          <w:sz w:val="20"/>
          <w:szCs w:val="20"/>
          <w:lang w:val="es-ES"/>
        </w:rPr>
        <w:t>. En Comunicación, pantallas y ficción (pp. 461–474). Thomson Reuters Aranzadi.</w:t>
      </w:r>
    </w:p>
    <w:p w14:paraId="03C2B24B" w14:textId="77777777" w:rsidR="00DE1BDB" w:rsidRDefault="00DE1BDB" w:rsidP="00DE1BDB">
      <w:pPr>
        <w:jc w:val="both"/>
        <w:rPr>
          <w:rFonts w:ascii="Roboto" w:eastAsia="Roboto" w:hAnsi="Roboto" w:cs="Roboto"/>
          <w:sz w:val="20"/>
          <w:szCs w:val="20"/>
          <w:lang w:val="es-ES"/>
        </w:rPr>
      </w:pPr>
    </w:p>
    <w:p w14:paraId="2C928DAE" w14:textId="61FEB716" w:rsidR="00DE1BDB" w:rsidRDefault="00DE1BDB" w:rsidP="00DE1BDB">
      <w:pPr>
        <w:jc w:val="both"/>
        <w:rPr>
          <w:rFonts w:ascii="Roboto" w:eastAsia="Roboto" w:hAnsi="Roboto" w:cs="Roboto"/>
          <w:sz w:val="20"/>
          <w:szCs w:val="20"/>
          <w:lang w:val="en-US"/>
        </w:rPr>
      </w:pPr>
      <w:r w:rsidRPr="00DE1BDB">
        <w:rPr>
          <w:rFonts w:ascii="Roboto" w:eastAsia="Roboto" w:hAnsi="Roboto" w:cs="Roboto"/>
          <w:sz w:val="20"/>
          <w:szCs w:val="20"/>
          <w:lang w:val="es-ES"/>
        </w:rPr>
        <w:t xml:space="preserve">De la Peña, N., et al. </w:t>
      </w:r>
      <w:r w:rsidRPr="00DE1BDB">
        <w:rPr>
          <w:rFonts w:ascii="Roboto" w:eastAsia="Roboto" w:hAnsi="Roboto" w:cs="Roboto"/>
          <w:sz w:val="20"/>
          <w:szCs w:val="20"/>
          <w:lang w:val="en-US"/>
        </w:rPr>
        <w:t xml:space="preserve">(2010). Immersive journalism. </w:t>
      </w:r>
      <w:r w:rsidRPr="00DE1BDB">
        <w:rPr>
          <w:rFonts w:ascii="Roboto" w:eastAsia="Roboto" w:hAnsi="Roboto" w:cs="Roboto"/>
          <w:i/>
          <w:iCs/>
          <w:sz w:val="20"/>
          <w:szCs w:val="20"/>
          <w:lang w:val="en-US"/>
        </w:rPr>
        <w:t>Presence</w:t>
      </w:r>
      <w:r w:rsidRPr="00DE1BDB">
        <w:rPr>
          <w:rFonts w:ascii="Roboto" w:eastAsia="Roboto" w:hAnsi="Roboto" w:cs="Roboto"/>
          <w:sz w:val="20"/>
          <w:szCs w:val="20"/>
          <w:lang w:val="en-US"/>
        </w:rPr>
        <w:t>, 19(4), 291–301.</w:t>
      </w:r>
    </w:p>
    <w:p w14:paraId="38ABCF14" w14:textId="77777777" w:rsidR="00B0539B" w:rsidRDefault="00B0539B" w:rsidP="00DE1BDB">
      <w:pPr>
        <w:jc w:val="both"/>
        <w:rPr>
          <w:rFonts w:ascii="Roboto" w:eastAsia="Roboto" w:hAnsi="Roboto" w:cs="Roboto"/>
          <w:sz w:val="20"/>
          <w:szCs w:val="20"/>
          <w:lang w:val="en-US"/>
        </w:rPr>
      </w:pPr>
    </w:p>
    <w:p w14:paraId="0F403653" w14:textId="123526D7" w:rsidR="00B0539B" w:rsidRPr="00DE1BDB" w:rsidRDefault="00B0539B" w:rsidP="00DE1BDB">
      <w:pPr>
        <w:jc w:val="both"/>
        <w:rPr>
          <w:rFonts w:ascii="Roboto" w:eastAsia="Roboto" w:hAnsi="Roboto" w:cs="Roboto"/>
          <w:sz w:val="20"/>
          <w:szCs w:val="20"/>
          <w:lang w:val="en-US"/>
        </w:rPr>
      </w:pPr>
      <w:r w:rsidRPr="00B0539B">
        <w:rPr>
          <w:rFonts w:ascii="Roboto" w:eastAsia="Roboto" w:hAnsi="Roboto" w:cs="Roboto"/>
          <w:sz w:val="20"/>
          <w:szCs w:val="20"/>
          <w:lang w:val="en-US"/>
        </w:rPr>
        <w:t xml:space="preserve">Grau, O. (2003). </w:t>
      </w:r>
      <w:r w:rsidRPr="00B0539B">
        <w:rPr>
          <w:rFonts w:ascii="Roboto" w:eastAsia="Roboto" w:hAnsi="Roboto" w:cs="Roboto"/>
          <w:i/>
          <w:iCs/>
          <w:sz w:val="20"/>
          <w:szCs w:val="20"/>
          <w:lang w:val="en-US"/>
        </w:rPr>
        <w:t>Virtual Art: From Illusion to Immersion</w:t>
      </w:r>
      <w:r w:rsidRPr="00B0539B">
        <w:rPr>
          <w:rFonts w:ascii="Roboto" w:eastAsia="Roboto" w:hAnsi="Roboto" w:cs="Roboto"/>
          <w:sz w:val="20"/>
          <w:szCs w:val="20"/>
          <w:lang w:val="en-US"/>
        </w:rPr>
        <w:t xml:space="preserve">. </w:t>
      </w:r>
      <w:r w:rsidRPr="006B0BDC">
        <w:rPr>
          <w:rFonts w:ascii="Roboto" w:eastAsia="Roboto" w:hAnsi="Roboto" w:cs="Roboto"/>
          <w:sz w:val="20"/>
          <w:szCs w:val="20"/>
          <w:lang w:val="en-US"/>
        </w:rPr>
        <w:t>MIT Press.</w:t>
      </w:r>
    </w:p>
    <w:p w14:paraId="006375A4" w14:textId="77777777" w:rsidR="00DE1BDB" w:rsidRDefault="00DE1BDB" w:rsidP="00DE1BDB">
      <w:pPr>
        <w:jc w:val="both"/>
        <w:rPr>
          <w:rFonts w:ascii="Roboto" w:eastAsia="Roboto" w:hAnsi="Roboto" w:cs="Roboto"/>
          <w:sz w:val="20"/>
          <w:szCs w:val="20"/>
          <w:lang w:val="en-US"/>
        </w:rPr>
      </w:pPr>
    </w:p>
    <w:p w14:paraId="0D521A5E" w14:textId="5F3E9EEB" w:rsidR="00DE1BDB" w:rsidRPr="00DE1BDB" w:rsidRDefault="00DE1BDB" w:rsidP="00DE1BDB">
      <w:pPr>
        <w:jc w:val="both"/>
        <w:rPr>
          <w:rFonts w:ascii="Roboto" w:eastAsia="Roboto" w:hAnsi="Roboto" w:cs="Roboto"/>
          <w:sz w:val="20"/>
          <w:szCs w:val="20"/>
          <w:lang w:val="en-US"/>
        </w:rPr>
      </w:pPr>
      <w:r w:rsidRPr="00DE1BDB">
        <w:rPr>
          <w:rFonts w:ascii="Roboto" w:eastAsia="Roboto" w:hAnsi="Roboto" w:cs="Roboto"/>
          <w:sz w:val="20"/>
          <w:szCs w:val="20"/>
          <w:lang w:val="en-US"/>
        </w:rPr>
        <w:t xml:space="preserve">Pavlik, J. V. (2019). </w:t>
      </w:r>
      <w:r w:rsidRPr="00DE1BDB">
        <w:rPr>
          <w:rFonts w:ascii="Roboto" w:eastAsia="Roboto" w:hAnsi="Roboto" w:cs="Roboto"/>
          <w:i/>
          <w:iCs/>
          <w:sz w:val="20"/>
          <w:szCs w:val="20"/>
          <w:lang w:val="en-US"/>
        </w:rPr>
        <w:t>Journalism in the age of virtual reality</w:t>
      </w:r>
      <w:r w:rsidRPr="00DE1BDB">
        <w:rPr>
          <w:rFonts w:ascii="Roboto" w:eastAsia="Roboto" w:hAnsi="Roboto" w:cs="Roboto"/>
          <w:sz w:val="20"/>
          <w:szCs w:val="20"/>
          <w:lang w:val="en-US"/>
        </w:rPr>
        <w:t>. Columbia University Press.</w:t>
      </w:r>
    </w:p>
    <w:p w14:paraId="06735493" w14:textId="77777777" w:rsidR="00DE1BDB" w:rsidRDefault="00DE1BDB" w:rsidP="00DE1BDB">
      <w:pPr>
        <w:jc w:val="both"/>
        <w:rPr>
          <w:rFonts w:ascii="Roboto" w:eastAsia="Roboto" w:hAnsi="Roboto" w:cs="Roboto"/>
          <w:sz w:val="20"/>
          <w:szCs w:val="20"/>
          <w:lang w:val="en-US"/>
        </w:rPr>
      </w:pPr>
    </w:p>
    <w:p w14:paraId="21CA3213" w14:textId="02A4C702" w:rsidR="00DE1BDB" w:rsidRPr="00DE1BDB" w:rsidRDefault="00DE1BDB" w:rsidP="00DE1BDB">
      <w:pPr>
        <w:jc w:val="both"/>
        <w:rPr>
          <w:rFonts w:ascii="Roboto" w:eastAsia="Roboto" w:hAnsi="Roboto" w:cs="Roboto"/>
          <w:sz w:val="20"/>
          <w:szCs w:val="20"/>
          <w:lang w:val="en-US"/>
        </w:rPr>
      </w:pPr>
      <w:r w:rsidRPr="00DE1BDB">
        <w:rPr>
          <w:rFonts w:ascii="Roboto" w:eastAsia="Roboto" w:hAnsi="Roboto" w:cs="Roboto"/>
          <w:sz w:val="20"/>
          <w:szCs w:val="20"/>
          <w:lang w:val="en-US"/>
        </w:rPr>
        <w:t xml:space="preserve">Slater, M., &amp; Sanchez-Vives, M. V. (2016). Immersive virtual reality. </w:t>
      </w:r>
      <w:r w:rsidRPr="00DE1BDB">
        <w:rPr>
          <w:rFonts w:ascii="Roboto" w:eastAsia="Roboto" w:hAnsi="Roboto" w:cs="Roboto"/>
          <w:i/>
          <w:iCs/>
          <w:sz w:val="20"/>
          <w:szCs w:val="20"/>
          <w:lang w:val="en-US"/>
        </w:rPr>
        <w:t>Frontiers in Robotics and AI</w:t>
      </w:r>
      <w:r w:rsidRPr="00DE1BDB">
        <w:rPr>
          <w:rFonts w:ascii="Roboto" w:eastAsia="Roboto" w:hAnsi="Roboto" w:cs="Roboto"/>
          <w:sz w:val="20"/>
          <w:szCs w:val="20"/>
          <w:lang w:val="en-US"/>
        </w:rPr>
        <w:t>, 3, 74.</w:t>
      </w:r>
    </w:p>
    <w:p w14:paraId="2DD6845B" w14:textId="77777777" w:rsidR="00371D16" w:rsidRPr="00E00BBD" w:rsidRDefault="00371D16">
      <w:pPr>
        <w:jc w:val="both"/>
        <w:rPr>
          <w:rFonts w:ascii="Roboto" w:eastAsia="Roboto" w:hAnsi="Roboto" w:cs="Roboto"/>
          <w:sz w:val="20"/>
          <w:szCs w:val="20"/>
          <w:lang w:val="en-US"/>
        </w:rPr>
      </w:pPr>
    </w:p>
    <w:p w14:paraId="19A05733" w14:textId="77777777" w:rsidR="00371D16" w:rsidRPr="00E00BBD" w:rsidRDefault="00371D16">
      <w:pPr>
        <w:jc w:val="both"/>
        <w:rPr>
          <w:rFonts w:ascii="Roboto" w:eastAsia="Roboto" w:hAnsi="Roboto" w:cs="Roboto"/>
          <w:sz w:val="20"/>
          <w:szCs w:val="20"/>
          <w:lang w:val="en-US"/>
        </w:rPr>
      </w:pPr>
    </w:p>
    <w:p w14:paraId="373E0596" w14:textId="77777777" w:rsidR="00371D16" w:rsidRPr="00E00BBD" w:rsidRDefault="00371D16">
      <w:pPr>
        <w:jc w:val="both"/>
        <w:rPr>
          <w:rFonts w:ascii="Roboto" w:eastAsia="Roboto" w:hAnsi="Roboto" w:cs="Roboto"/>
          <w:sz w:val="20"/>
          <w:szCs w:val="20"/>
          <w:lang w:val="en-US"/>
        </w:rPr>
        <w:sectPr w:rsidR="00371D16" w:rsidRPr="00E00BBD">
          <w:type w:val="continuous"/>
          <w:pgSz w:w="11906" w:h="16838"/>
          <w:pgMar w:top="1134" w:right="851" w:bottom="1134" w:left="851" w:header="357" w:footer="720" w:gutter="0"/>
          <w:cols w:num="2" w:space="720" w:equalWidth="0">
            <w:col w:w="4934" w:space="335"/>
            <w:col w:w="4934" w:space="0"/>
          </w:cols>
        </w:sectPr>
      </w:pPr>
    </w:p>
    <w:p w14:paraId="61691EF6" w14:textId="77777777" w:rsidR="00371D16" w:rsidRDefault="000C1EBF">
      <w:pPr>
        <w:spacing w:before="240"/>
        <w:jc w:val="center"/>
        <w:rPr>
          <w:rFonts w:ascii="Roboto" w:eastAsia="Roboto" w:hAnsi="Roboto" w:cs="Roboto"/>
          <w:b/>
          <w:bCs/>
          <w:color w:val="FF0000"/>
          <w:sz w:val="20"/>
          <w:szCs w:val="20"/>
        </w:rPr>
      </w:pPr>
      <w:r w:rsidRPr="006B0BDC">
        <w:rPr>
          <w:rFonts w:ascii="Roboto" w:eastAsia="Roboto" w:hAnsi="Roboto" w:cs="Roboto"/>
          <w:b/>
          <w:bCs/>
          <w:color w:val="FF0000"/>
          <w:sz w:val="20"/>
          <w:szCs w:val="20"/>
          <w:lang w:val="es-ES"/>
        </w:rPr>
        <w:lastRenderedPageBreak/>
        <w:t xml:space="preserve">NO ELIMINAR ESTA HOJA DEL ARCHIVO. </w:t>
      </w:r>
      <w:r>
        <w:rPr>
          <w:rFonts w:ascii="Roboto" w:eastAsia="Roboto" w:hAnsi="Roboto" w:cs="Roboto"/>
          <w:b/>
          <w:bCs/>
          <w:color w:val="FF0000"/>
          <w:sz w:val="20"/>
          <w:szCs w:val="20"/>
        </w:rPr>
        <w:t>ENVÍE EL ARCHIVO COMPLETO</w:t>
      </w:r>
    </w:p>
    <w:p w14:paraId="18D5AA8C" w14:textId="77777777" w:rsidR="00371D16" w:rsidRDefault="000C1EBF">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57FC74E8" w14:textId="77777777" w:rsidR="00371D16" w:rsidRDefault="000C1EBF">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0B1DBD07"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0EE979BB"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DEFB9A6"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60B1F06A"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25610DEB"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75FAA12"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4C0C22C5"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089EBC2E" w14:textId="77777777" w:rsidR="00371D16" w:rsidRDefault="000C1EBF">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CA5F7AB" w14:textId="77777777" w:rsidR="00371D16" w:rsidRDefault="000C1EBF">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61B357D" w14:textId="77777777" w:rsidR="00371D16" w:rsidRDefault="000C1EBF">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2CDFB223" w14:textId="77777777" w:rsidR="00371D16" w:rsidRDefault="000C1EBF">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1CC1A542"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4BEDA5D3"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6FF691D" w14:textId="77777777" w:rsidR="00371D16" w:rsidRDefault="000C1EBF">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F707918" w14:textId="77777777" w:rsidR="00371D16" w:rsidRDefault="000C1EBF">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8E2556D" w14:textId="77777777" w:rsidR="00371D16" w:rsidRDefault="000C1EBF">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DF409EA"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62D559D"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43A2866" w14:textId="77777777" w:rsidR="00371D16" w:rsidRDefault="000C1EBF">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62CAC05" w14:textId="77777777" w:rsidR="00371D16" w:rsidRDefault="000C1EBF">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1AD002ED" w14:textId="77777777" w:rsidR="00371D16" w:rsidRDefault="000C1EBF">
      <w:pPr>
        <w:spacing w:before="240" w:after="240"/>
        <w:jc w:val="both"/>
        <w:rPr>
          <w:rFonts w:ascii="Roboto" w:eastAsia="Roboto" w:hAnsi="Roboto" w:cs="Roboto"/>
          <w:sz w:val="20"/>
          <w:szCs w:val="20"/>
        </w:rPr>
      </w:pPr>
      <w:proofErr w:type="gramStart"/>
      <w:r>
        <w:rPr>
          <w:rFonts w:ascii="Roboto" w:eastAsia="Roboto" w:hAnsi="Roboto" w:cs="Roboto"/>
          <w:sz w:val="20"/>
          <w:szCs w:val="20"/>
        </w:rPr>
        <w:t>(  Marque</w:t>
      </w:r>
      <w:proofErr w:type="gramEnd"/>
      <w:r>
        <w:rPr>
          <w:rFonts w:ascii="Roboto" w:eastAsia="Roboto" w:hAnsi="Roboto" w:cs="Roboto"/>
          <w:sz w:val="20"/>
          <w:szCs w:val="20"/>
        </w:rPr>
        <w:t xml:space="preserve"> con X  )  Declaro que he leído y acepto los términos de esta declaración y autorización de publicación.</w:t>
      </w:r>
    </w:p>
    <w:p w14:paraId="390D0009" w14:textId="77777777" w:rsidR="00371D16" w:rsidRDefault="000C1EBF">
      <w:pPr>
        <w:spacing w:before="240" w:after="240"/>
        <w:jc w:val="both"/>
        <w:rPr>
          <w:rFonts w:ascii="Roboto" w:eastAsia="Roboto" w:hAnsi="Roboto" w:cs="Roboto"/>
          <w:sz w:val="20"/>
          <w:szCs w:val="20"/>
        </w:rPr>
      </w:pPr>
      <w:r>
        <w:rPr>
          <w:rFonts w:ascii="Roboto" w:eastAsia="Roboto" w:hAnsi="Roboto" w:cs="Roboto"/>
          <w:b/>
          <w:bCs/>
          <w:sz w:val="20"/>
          <w:szCs w:val="20"/>
        </w:rPr>
        <w:lastRenderedPageBreak/>
        <w:t>Autor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sectPr w:rsidR="00371D16">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5A4B3D" w14:textId="77777777" w:rsidR="00C046D3" w:rsidRDefault="00C046D3">
      <w:r>
        <w:separator/>
      </w:r>
    </w:p>
  </w:endnote>
  <w:endnote w:type="continuationSeparator" w:id="0">
    <w:p w14:paraId="4ADF50B7" w14:textId="77777777" w:rsidR="00C046D3" w:rsidRDefault="00C046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F97C4BCF-EFDE-4733-AF4A-0C75383DB321}"/>
  </w:font>
  <w:font w:name="Georgia">
    <w:panose1 w:val="02040502050405020303"/>
    <w:charset w:val="00"/>
    <w:family w:val="roman"/>
    <w:pitch w:val="variable"/>
    <w:sig w:usb0="00000287" w:usb1="00000000" w:usb2="00000000" w:usb3="00000000" w:csb0="0000009F" w:csb1="00000000"/>
    <w:embedItalic r:id="rId2" w:fontKey="{CC3C6025-70B3-4594-B78A-F8482154B182}"/>
  </w:font>
  <w:font w:name="Roboto">
    <w:charset w:val="00"/>
    <w:family w:val="auto"/>
    <w:pitch w:val="variable"/>
    <w:sig w:usb0="E0000AFF" w:usb1="5000217F" w:usb2="00000021" w:usb3="00000000" w:csb0="0000019F" w:csb1="00000000"/>
    <w:embedRegular r:id="rId3" w:fontKey="{B17DCE6D-FB4A-4430-8F17-A2535DB1AF4F}"/>
    <w:embedBold r:id="rId4" w:fontKey="{5A681517-4954-48BB-822A-DA97833B9FF5}"/>
    <w:embedItalic r:id="rId5" w:fontKey="{E14326F8-3DB7-463F-9F90-D7DED2958A5A}"/>
  </w:font>
  <w:font w:name="Calibri Light">
    <w:panose1 w:val="020F0302020204030204"/>
    <w:charset w:val="00"/>
    <w:family w:val="swiss"/>
    <w:pitch w:val="variable"/>
    <w:sig w:usb0="E4002EFF" w:usb1="C200247B" w:usb2="00000009" w:usb3="00000000" w:csb0="000001FF" w:csb1="00000000"/>
    <w:embedRegular r:id="rId6" w:fontKey="{43D24934-D64E-41B6-8CF0-565690EA60C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E049D" w14:textId="77777777" w:rsidR="00C046D3" w:rsidRDefault="00C046D3">
      <w:r>
        <w:separator/>
      </w:r>
    </w:p>
  </w:footnote>
  <w:footnote w:type="continuationSeparator" w:id="0">
    <w:p w14:paraId="7B34F82C" w14:textId="77777777" w:rsidR="00C046D3" w:rsidRDefault="00C046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9118A3" w14:textId="77777777" w:rsidR="00371D16" w:rsidRDefault="00371D1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371D16" w14:paraId="4B3039AC" w14:textId="77777777">
      <w:trPr>
        <w:trHeight w:val="345"/>
        <w:jc w:val="center"/>
      </w:trPr>
      <w:tc>
        <w:tcPr>
          <w:tcW w:w="6306" w:type="dxa"/>
          <w:vAlign w:val="center"/>
        </w:tcPr>
        <w:p w14:paraId="066AD313" w14:textId="77777777" w:rsidR="00371D16" w:rsidRDefault="00371D16">
          <w:pPr>
            <w:jc w:val="center"/>
            <w:rPr>
              <w:i/>
              <w:iCs/>
              <w:sz w:val="18"/>
              <w:szCs w:val="18"/>
            </w:rPr>
          </w:pPr>
        </w:p>
      </w:tc>
    </w:tr>
  </w:tbl>
  <w:p w14:paraId="1421570D" w14:textId="77777777" w:rsidR="00371D16" w:rsidRDefault="00371D1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02247"/>
    <w:multiLevelType w:val="multilevel"/>
    <w:tmpl w:val="66928D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A1B3232"/>
    <w:multiLevelType w:val="multilevel"/>
    <w:tmpl w:val="EE8C17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42262062">
    <w:abstractNumId w:val="0"/>
  </w:num>
  <w:num w:numId="2" w16cid:durableId="6798192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D16"/>
    <w:rsid w:val="000C1EBF"/>
    <w:rsid w:val="001478BD"/>
    <w:rsid w:val="00156590"/>
    <w:rsid w:val="00234A6C"/>
    <w:rsid w:val="002408BB"/>
    <w:rsid w:val="002B7E32"/>
    <w:rsid w:val="003509BE"/>
    <w:rsid w:val="00371D16"/>
    <w:rsid w:val="003C59B9"/>
    <w:rsid w:val="004A022E"/>
    <w:rsid w:val="00556452"/>
    <w:rsid w:val="005642ED"/>
    <w:rsid w:val="005764DF"/>
    <w:rsid w:val="006B0BDC"/>
    <w:rsid w:val="007E22EC"/>
    <w:rsid w:val="00802C62"/>
    <w:rsid w:val="00877865"/>
    <w:rsid w:val="009006AB"/>
    <w:rsid w:val="009B6258"/>
    <w:rsid w:val="00A92932"/>
    <w:rsid w:val="00B03E57"/>
    <w:rsid w:val="00B0539B"/>
    <w:rsid w:val="00C046D3"/>
    <w:rsid w:val="00C53336"/>
    <w:rsid w:val="00C64EDA"/>
    <w:rsid w:val="00C7622F"/>
    <w:rsid w:val="00D91B40"/>
    <w:rsid w:val="00DE1BDB"/>
    <w:rsid w:val="00E00BBD"/>
    <w:rsid w:val="00FB64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2B606"/>
  <w15:docId w15:val="{31F86E2D-2A22-466C-AF53-1A58382A2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Metadata/LabelInfo.xml><?xml version="1.0" encoding="utf-8"?>
<clbl:labelList xmlns:clbl="http://schemas.microsoft.com/office/2020/mipLabelMetadata">
  <clbl:label id="{5818c103-b4ff-4ab6-8c05-dc2fb6993bc0}" enabled="0" method="" siteId="{5818c103-b4ff-4ab6-8c05-dc2fb6993bc0}"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1640</Words>
  <Characters>9026</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Mariana Berenice González Leija</cp:lastModifiedBy>
  <cp:revision>2</cp:revision>
  <dcterms:created xsi:type="dcterms:W3CDTF">2026-04-28T19:04:00Z</dcterms:created>
  <dcterms:modified xsi:type="dcterms:W3CDTF">2026-04-28T19:04:00Z</dcterms:modified>
</cp:coreProperties>
</file>