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BC51BA" w14:textId="2CC59E67" w:rsidR="00681EB0" w:rsidRDefault="00577191" w:rsidP="004205A8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</w:rPr>
      </w:pPr>
      <w:r w:rsidRPr="00577191">
        <w:rPr>
          <w:rFonts w:ascii="Roboto" w:eastAsia="Roboto" w:hAnsi="Roboto" w:cs="Roboto"/>
          <w:b/>
          <w:bCs/>
          <w:color w:val="000000"/>
        </w:rPr>
        <w:t>Modelo de asociación entre inteligencia artificial generativa y liderazgo creativo en estudiantes de arquitectura: caso embebido en la Universidad Anáhuac Cancún, 2026-2028</w:t>
      </w:r>
    </w:p>
    <w:p w14:paraId="2E981B3F" w14:textId="0315BB70" w:rsidR="00681EB0" w:rsidRDefault="00577191" w:rsidP="004205A8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Magos Hernández Raymundo</w:t>
      </w:r>
    </w:p>
    <w:p w14:paraId="1C5A0F17" w14:textId="133DFA33" w:rsidR="00681EB0" w:rsidRDefault="00577191" w:rsidP="004205A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</w:rPr>
        <w:t xml:space="preserve">Escuela Internacional de Arquitectura, Universidad Anáhuac Cancún </w:t>
      </w:r>
    </w:p>
    <w:p w14:paraId="60028F70" w14:textId="77777777" w:rsidR="00681EB0" w:rsidRDefault="0000000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681EB0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7C152F08">
          <v:rect id="_x0000_i1025" style="width:0;height:1.5pt" o:hralign="center" o:hrstd="t" o:hr="t" fillcolor="#a0a0a0" stroked="f"/>
        </w:pict>
      </w:r>
    </w:p>
    <w:p w14:paraId="37B48B61" w14:textId="19A6757F" w:rsidR="00577191" w:rsidRDefault="00577191" w:rsidP="00EE4D9F">
      <w:pPr>
        <w:jc w:val="both"/>
        <w:rPr>
          <w:rFonts w:ascii="Roboto" w:eastAsia="Roboto" w:hAnsi="Roboto" w:cs="Roboto"/>
          <w:sz w:val="20"/>
          <w:szCs w:val="20"/>
        </w:rPr>
      </w:pPr>
      <w:r w:rsidRPr="00577191">
        <w:rPr>
          <w:rFonts w:ascii="Roboto" w:eastAsia="Roboto" w:hAnsi="Roboto" w:cs="Roboto"/>
          <w:sz w:val="20"/>
          <w:szCs w:val="20"/>
        </w:rPr>
        <w:t>El taller de arquitectura constituye un espacio central de formación donde las decisiones de diseño se construyen mediante iteración, crítica, argumentación, coordinación y síntesis de alternativas. En este contexto, el liderazgo creativo resulta clave para conducir procesos de diseño y sostener decisiones con criterio, integración de ideas, colaboración y manejo de incertidumbre. Paralelamente, la inteligencia artificial generativa se ha incorporado al proceso de diseño como recurso para idear, visualizar e iterar; sin embargo, su adopción es desigual y, cuando no existe una guía formativa clara, puede propiciar usos superficiales o dependientes. La literatura reciente muestra que la IA suele concentrarse en fases tempranas del diseño y que su aporte debe evaluarse desde el proceso, no sólo desde el producto final (Aly et al., 2025; Jang et al., 2025; Oezorhon et al., 2025; Strobel et al., 2025).</w:t>
      </w:r>
    </w:p>
    <w:p w14:paraId="01BBFF77" w14:textId="77777777" w:rsidR="00577191" w:rsidRPr="00577191" w:rsidRDefault="00577191" w:rsidP="00EE4D9F">
      <w:pPr>
        <w:jc w:val="both"/>
        <w:rPr>
          <w:rFonts w:ascii="Roboto" w:eastAsia="Roboto" w:hAnsi="Roboto" w:cs="Roboto"/>
          <w:sz w:val="20"/>
          <w:szCs w:val="20"/>
        </w:rPr>
      </w:pPr>
    </w:p>
    <w:p w14:paraId="66984D10" w14:textId="76241A6E" w:rsidR="00577191" w:rsidRDefault="00577191" w:rsidP="00EE4D9F">
      <w:pPr>
        <w:jc w:val="both"/>
        <w:rPr>
          <w:rFonts w:ascii="Roboto" w:eastAsia="Roboto" w:hAnsi="Roboto" w:cs="Roboto"/>
          <w:sz w:val="20"/>
          <w:szCs w:val="20"/>
        </w:rPr>
      </w:pPr>
      <w:r w:rsidRPr="00577191">
        <w:rPr>
          <w:rFonts w:ascii="Roboto" w:eastAsia="Roboto" w:hAnsi="Roboto" w:cs="Roboto"/>
          <w:sz w:val="20"/>
          <w:szCs w:val="20"/>
        </w:rPr>
        <w:t xml:space="preserve">La presente investigación tiene como propósito evaluar en qué medida un modelo propuesto describe y se ajusta a la asociación entre uso/competencia de IA generativa y liderazgo creativo en estudiantes de arquitectura de la Universidad Anáhuac Cancún, durante el periodo 2026-2028. El problema se justifica porque, en este contexto institucional, no existe evidencia suficiente ni un modelo evaluado que permita explicar cómo se relacionan ambas variables entre semestres, talleres y grupos, lo que limita la toma de decisiones académicas sobre reglas de uso, capacitación y criterios de evaluación. Además, el estudio busca pasar del debate general sobre si la IA ayuda o perjudica a una comprensión más rigurosa sobre qué tipo de uso se vincula con manifestaciones observables de liderazgo creativo y </w:t>
      </w:r>
      <w:r w:rsidR="00301F66" w:rsidRPr="00577191">
        <w:rPr>
          <w:rFonts w:ascii="Roboto" w:eastAsia="Roboto" w:hAnsi="Roboto" w:cs="Roboto"/>
          <w:sz w:val="20"/>
          <w:szCs w:val="20"/>
        </w:rPr>
        <w:t>en qué condiciones</w:t>
      </w:r>
      <w:r w:rsidRPr="00577191">
        <w:rPr>
          <w:rFonts w:ascii="Roboto" w:eastAsia="Roboto" w:hAnsi="Roboto" w:cs="Roboto"/>
          <w:sz w:val="20"/>
          <w:szCs w:val="20"/>
        </w:rPr>
        <w:t xml:space="preserve"> pedagógicas dicha relación se fortalece o se debilita (Miao &amp; Holmes, 2023; Oezorhon et al., 2025).</w:t>
      </w:r>
    </w:p>
    <w:p w14:paraId="5B693A18" w14:textId="77777777" w:rsidR="00EE4D9F" w:rsidRPr="00577191" w:rsidRDefault="00EE4D9F" w:rsidP="00EE4D9F">
      <w:pPr>
        <w:jc w:val="both"/>
        <w:rPr>
          <w:rFonts w:ascii="Roboto" w:eastAsia="Roboto" w:hAnsi="Roboto" w:cs="Roboto"/>
          <w:sz w:val="20"/>
          <w:szCs w:val="20"/>
        </w:rPr>
      </w:pPr>
    </w:p>
    <w:p w14:paraId="4034B506" w14:textId="77777777" w:rsidR="00577191" w:rsidRDefault="00577191" w:rsidP="00EE4D9F">
      <w:pPr>
        <w:jc w:val="both"/>
        <w:rPr>
          <w:rFonts w:ascii="Roboto" w:eastAsia="Roboto" w:hAnsi="Roboto" w:cs="Roboto"/>
          <w:sz w:val="20"/>
          <w:szCs w:val="20"/>
        </w:rPr>
      </w:pPr>
      <w:r w:rsidRPr="00577191">
        <w:rPr>
          <w:rFonts w:ascii="Roboto" w:eastAsia="Roboto" w:hAnsi="Roboto" w:cs="Roboto"/>
          <w:sz w:val="20"/>
          <w:szCs w:val="20"/>
        </w:rPr>
        <w:t xml:space="preserve">Metodológicamente, se adopta un enfoque mixto con diseño de caso embebido. El caso corresponde a la Escuela de Arquitectura de la Universidad Anáhuac Cancún y las subunidades de análisis son semestres, talleres y grupos. La variable independiente es el uso/competencia de IA generativa, operacionalizada mediante dimensiones como frecuencia de uso, propósito, calidad de interacción, verificación con criterio y trazabilidad del proceso. La variable dependiente es el liderazgo creativo, entendido como un conjunto de manifestaciones observables: integración de ideas, coordinación y colaboración, comunicación y argumentación, toma de decisiones creativas con criterio y gestión de incertidumbre. También se considera la cultura y prácticas del taller como dimensión contextual con posible papel regulador, junto con variables académicas de control. La fase </w:t>
      </w:r>
      <w:r w:rsidRPr="00577191">
        <w:rPr>
          <w:rFonts w:ascii="Roboto" w:eastAsia="Roboto" w:hAnsi="Roboto" w:cs="Roboto"/>
          <w:sz w:val="20"/>
          <w:szCs w:val="20"/>
        </w:rPr>
        <w:t>cuantitativa contempla cuestionarios estructurados para describir patrones y estimar la fuerza y dirección de la asociación entre variables; la fase cualitativa incorpora entrevistas semiestructuradas, observación de críticas y análisis de evidencias del proceso, con el fin de explicar cómo y por qué dicha asociación se manifiesta en el taller. Ambas fases se integrarán mediante triangulación para valorar el ajuste del modelo y su utilidad explicativa (Jang et al., 2025; Miao &amp; Holmes, 2023; Strobel et al., 2025).</w:t>
      </w:r>
    </w:p>
    <w:p w14:paraId="29091BB5" w14:textId="77777777" w:rsidR="00577191" w:rsidRPr="00577191" w:rsidRDefault="00577191" w:rsidP="00EE4D9F">
      <w:pPr>
        <w:jc w:val="both"/>
        <w:rPr>
          <w:rFonts w:ascii="Roboto" w:eastAsia="Roboto" w:hAnsi="Roboto" w:cs="Roboto"/>
          <w:sz w:val="20"/>
          <w:szCs w:val="20"/>
        </w:rPr>
      </w:pPr>
    </w:p>
    <w:p w14:paraId="41118F1B" w14:textId="77777777" w:rsidR="00577191" w:rsidRDefault="00577191" w:rsidP="00EE4D9F">
      <w:pPr>
        <w:jc w:val="both"/>
        <w:rPr>
          <w:rFonts w:ascii="Roboto" w:eastAsia="Roboto" w:hAnsi="Roboto" w:cs="Roboto"/>
          <w:sz w:val="20"/>
          <w:szCs w:val="20"/>
        </w:rPr>
      </w:pPr>
      <w:r w:rsidRPr="00577191">
        <w:rPr>
          <w:rFonts w:ascii="Roboto" w:eastAsia="Roboto" w:hAnsi="Roboto" w:cs="Roboto"/>
          <w:sz w:val="20"/>
          <w:szCs w:val="20"/>
        </w:rPr>
        <w:t>Se espera identificar perfiles diferenciados de uso de IA generativa y niveles de liderazgo creativo, así como variaciones entre subunidades del caso. Asimismo, se prevé que un uso competente, crítico y transparente de la IA muestre una asociación positiva con manifestaciones de liderazgo creativo, aunque modulada por las reglas, la retroalimentación y los criterios de evaluación del taller. La relevancia del estudio radica en su potencial para aportar un modelo contrastado, orientaciones pedagógicas y criterios institucionales que favorezcan una integración ética, formativa y contextualizada de la IA generativa en la enseñanza de la arquitectura.</w:t>
      </w:r>
    </w:p>
    <w:p w14:paraId="79813141" w14:textId="77777777" w:rsidR="00577191" w:rsidRPr="00577191" w:rsidRDefault="00577191" w:rsidP="00EE4D9F">
      <w:pPr>
        <w:jc w:val="both"/>
        <w:rPr>
          <w:rFonts w:ascii="Roboto" w:eastAsia="Roboto" w:hAnsi="Roboto" w:cs="Roboto"/>
          <w:sz w:val="20"/>
          <w:szCs w:val="20"/>
        </w:rPr>
      </w:pPr>
    </w:p>
    <w:p w14:paraId="59ABD62C" w14:textId="77777777" w:rsidR="00577191" w:rsidRPr="00577191" w:rsidRDefault="00577191" w:rsidP="00EE4D9F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 w:rsidRPr="00577191">
        <w:rPr>
          <w:rFonts w:ascii="Roboto" w:eastAsia="Roboto" w:hAnsi="Roboto" w:cs="Roboto"/>
          <w:b/>
          <w:bCs/>
          <w:sz w:val="20"/>
          <w:szCs w:val="20"/>
        </w:rPr>
        <w:t>REFERENCIAS</w:t>
      </w:r>
    </w:p>
    <w:p w14:paraId="30444E3F" w14:textId="319BFC11" w:rsidR="00577191" w:rsidRDefault="00577191" w:rsidP="00EE4D9F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  <w:r w:rsidRPr="00577191">
        <w:rPr>
          <w:rFonts w:ascii="Roboto" w:eastAsia="Roboto" w:hAnsi="Roboto" w:cs="Roboto"/>
          <w:sz w:val="20"/>
          <w:szCs w:val="20"/>
        </w:rPr>
        <w:t xml:space="preserve">Aly, A., </w:t>
      </w:r>
      <w:proofErr w:type="spellStart"/>
      <w:r w:rsidRPr="00577191">
        <w:rPr>
          <w:rFonts w:ascii="Roboto" w:eastAsia="Roboto" w:hAnsi="Roboto" w:cs="Roboto"/>
          <w:sz w:val="20"/>
          <w:szCs w:val="20"/>
        </w:rPr>
        <w:t>Elazazy</w:t>
      </w:r>
      <w:proofErr w:type="spellEnd"/>
      <w:r w:rsidRPr="00577191">
        <w:rPr>
          <w:rFonts w:ascii="Roboto" w:eastAsia="Roboto" w:hAnsi="Roboto" w:cs="Roboto"/>
          <w:sz w:val="20"/>
          <w:szCs w:val="20"/>
        </w:rPr>
        <w:t xml:space="preserve">, A., &amp; Sharaf, N. (2025). </w:t>
      </w:r>
      <w:r w:rsidRPr="00577191">
        <w:rPr>
          <w:rFonts w:ascii="Roboto" w:eastAsia="Roboto" w:hAnsi="Roboto" w:cs="Roboto"/>
          <w:sz w:val="20"/>
          <w:szCs w:val="20"/>
          <w:lang w:val="en-US"/>
        </w:rPr>
        <w:t xml:space="preserve">Integrating generative AI in architectural education: A comparative study of traditional, stock LLMs, and custom tools. In Proceedings of the 20th International Joint Conference on Computer Vision, Imaging and Computer Graphics Theory and Applications (VISIGRAPP 2025) (Vol. 1: GRAPP, HUCAPP and IVAPP, pp. 415-420). SCITEPRESS. </w:t>
      </w:r>
      <w:r w:rsidR="00301F66">
        <w:fldChar w:fldCharType="begin"/>
      </w:r>
      <w:r w:rsidR="00301F66" w:rsidRPr="004205A8">
        <w:rPr>
          <w:lang w:val="en-GB"/>
        </w:rPr>
        <w:instrText>HYPERLINK "https://doi.org/10.5220/0013378000003912"</w:instrText>
      </w:r>
      <w:r w:rsidR="00301F66">
        <w:fldChar w:fldCharType="separate"/>
      </w:r>
      <w:r w:rsidR="00301F66" w:rsidRPr="00301F66">
        <w:rPr>
          <w:rStyle w:val="Hipervnculo"/>
          <w:rFonts w:ascii="Roboto" w:eastAsia="Roboto" w:hAnsi="Roboto" w:cs="Roboto"/>
          <w:color w:val="auto"/>
          <w:sz w:val="20"/>
          <w:szCs w:val="20"/>
          <w:lang w:val="en-US"/>
        </w:rPr>
        <w:t>https://doi.org/10.5220/0013378000003912</w:t>
      </w:r>
      <w:r w:rsidR="00301F66">
        <w:fldChar w:fldCharType="end"/>
      </w:r>
    </w:p>
    <w:p w14:paraId="61F7F7EE" w14:textId="77777777" w:rsidR="00301F66" w:rsidRPr="00577191" w:rsidRDefault="00301F66" w:rsidP="00EE4D9F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</w:p>
    <w:p w14:paraId="477A8ED1" w14:textId="77777777" w:rsidR="00577191" w:rsidRPr="00577191" w:rsidRDefault="00577191" w:rsidP="00EE4D9F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  <w:r w:rsidRPr="00577191">
        <w:rPr>
          <w:rFonts w:ascii="Roboto" w:eastAsia="Roboto" w:hAnsi="Roboto" w:cs="Roboto"/>
          <w:sz w:val="20"/>
          <w:szCs w:val="20"/>
          <w:lang w:val="en-US"/>
        </w:rPr>
        <w:t>Jang, S., Roh, H., &amp; Lee, G. (2025). Generative AI in architectural design: Application, data, and evaluation methods. Automation in Construction, 174, 106174. https://doi.org/10.1016/j.autcon.2025.106174</w:t>
      </w:r>
    </w:p>
    <w:p w14:paraId="43C5D027" w14:textId="77777777" w:rsidR="00577191" w:rsidRPr="00577191" w:rsidRDefault="00577191" w:rsidP="00EE4D9F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  <w:r w:rsidRPr="00577191">
        <w:rPr>
          <w:rFonts w:ascii="Roboto" w:eastAsia="Roboto" w:hAnsi="Roboto" w:cs="Roboto"/>
          <w:sz w:val="20"/>
          <w:szCs w:val="20"/>
          <w:lang w:val="en-US"/>
        </w:rPr>
        <w:t>Miao, F., &amp; Holmes, W. (2023). Guidance for generative AI in education and research. UNESCO. https://doi.org/10.54675/EWZM9535</w:t>
      </w:r>
    </w:p>
    <w:p w14:paraId="16CF350C" w14:textId="77777777" w:rsidR="00577191" w:rsidRPr="00577191" w:rsidRDefault="00577191" w:rsidP="00EE4D9F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  <w:proofErr w:type="spellStart"/>
      <w:r w:rsidRPr="00577191">
        <w:rPr>
          <w:rFonts w:ascii="Roboto" w:eastAsia="Roboto" w:hAnsi="Roboto" w:cs="Roboto"/>
          <w:sz w:val="20"/>
          <w:szCs w:val="20"/>
          <w:lang w:val="en-US"/>
        </w:rPr>
        <w:t>Oezorhon</w:t>
      </w:r>
      <w:proofErr w:type="spellEnd"/>
      <w:r w:rsidRPr="00577191">
        <w:rPr>
          <w:rFonts w:ascii="Roboto" w:eastAsia="Roboto" w:hAnsi="Roboto" w:cs="Roboto"/>
          <w:sz w:val="20"/>
          <w:szCs w:val="20"/>
          <w:lang w:val="en-US"/>
        </w:rPr>
        <w:t>, G., et al. (2025). AI-assisted architectural design studio: integrating generative AI as a creative agent in design education.</w:t>
      </w:r>
    </w:p>
    <w:p w14:paraId="5EBDDABB" w14:textId="6EE6A47A" w:rsidR="00681EB0" w:rsidRPr="004C783A" w:rsidRDefault="00577191" w:rsidP="00EE4D9F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  <w:r w:rsidRPr="00577191">
        <w:rPr>
          <w:rFonts w:ascii="Roboto" w:eastAsia="Roboto" w:hAnsi="Roboto" w:cs="Roboto"/>
          <w:sz w:val="20"/>
          <w:szCs w:val="20"/>
          <w:lang w:val="en-US"/>
        </w:rPr>
        <w:t>Strobel, M., et al. (2025). Creative leadership manifestations and their effects on creativity and innovation.</w:t>
      </w:r>
    </w:p>
    <w:p w14:paraId="347D2ACD" w14:textId="77777777" w:rsidR="00681EB0" w:rsidRPr="004C783A" w:rsidRDefault="00681EB0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</w:p>
    <w:p w14:paraId="40DFBF68" w14:textId="77777777" w:rsidR="00681EB0" w:rsidRPr="004C783A" w:rsidRDefault="00681EB0">
      <w:pPr>
        <w:jc w:val="both"/>
        <w:rPr>
          <w:rFonts w:ascii="Roboto" w:eastAsia="Roboto" w:hAnsi="Roboto" w:cs="Roboto"/>
          <w:sz w:val="20"/>
          <w:szCs w:val="20"/>
          <w:lang w:val="en-US"/>
        </w:rPr>
      </w:pPr>
    </w:p>
    <w:p w14:paraId="62BED6D1" w14:textId="77777777" w:rsidR="00681EB0" w:rsidRPr="004C783A" w:rsidRDefault="00681EB0">
      <w:pPr>
        <w:jc w:val="both"/>
        <w:rPr>
          <w:rFonts w:ascii="Roboto" w:eastAsia="Roboto" w:hAnsi="Roboto" w:cs="Roboto"/>
          <w:sz w:val="20"/>
          <w:szCs w:val="20"/>
          <w:lang w:val="en-US"/>
        </w:rPr>
        <w:sectPr w:rsidR="00681EB0" w:rsidRPr="004C783A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4E43E831" w14:textId="77777777" w:rsidR="00681EB0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 w:rsidRPr="00C534CA"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 xml:space="preserve">NO ELIMINAR ESTA HOJA DEL ARCHIVO. </w:t>
      </w: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ENVÍE EL ARCHIVO COMPLETO</w:t>
      </w:r>
    </w:p>
    <w:p w14:paraId="1E2F7898" w14:textId="77777777" w:rsidR="00681EB0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1E321C10" w14:textId="77777777" w:rsidR="00681EB0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</w:p>
    <w:p w14:paraId="036B582D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Memorias del 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482258F7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68BBD26C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08845925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585CA719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75834EEF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49781365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1E8CEB2D" w14:textId="77777777" w:rsidR="00681EB0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1F26DCE4" w14:textId="77777777" w:rsidR="00681EB0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30F4CB81" w14:textId="77777777" w:rsidR="00681EB0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A2FE1F0" w14:textId="77777777" w:rsidR="00681EB0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</w:t>
      </w:r>
      <w:proofErr w:type="spellStart"/>
      <w:r>
        <w:rPr>
          <w:rFonts w:ascii="Roboto" w:eastAsia="Roboto" w:hAnsi="Roboto" w:cs="Roboto"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Christi.</w:t>
      </w:r>
    </w:p>
    <w:p w14:paraId="59FB985E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2411225F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40605048" w14:textId="77777777" w:rsidR="00681EB0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9F4B5B8" w14:textId="77777777" w:rsidR="00681EB0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BEC2C55" w14:textId="77777777" w:rsidR="00681EB0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3E6DA693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0F9C2C3F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55A345E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2097DEEE" w14:textId="77777777" w:rsidR="00681EB0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D500FC6" w14:textId="39F6D118" w:rsidR="00681EB0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proofErr w:type="gramStart"/>
      <w:r>
        <w:rPr>
          <w:rFonts w:ascii="Roboto" w:eastAsia="Roboto" w:hAnsi="Roboto" w:cs="Roboto"/>
          <w:sz w:val="20"/>
          <w:szCs w:val="20"/>
        </w:rPr>
        <w:t>(  Marque</w:t>
      </w:r>
      <w:proofErr w:type="gramEnd"/>
      <w:r>
        <w:rPr>
          <w:rFonts w:ascii="Roboto" w:eastAsia="Roboto" w:hAnsi="Roboto" w:cs="Roboto"/>
          <w:sz w:val="20"/>
          <w:szCs w:val="20"/>
        </w:rPr>
        <w:t xml:space="preserve"> con </w:t>
      </w:r>
      <w:proofErr w:type="gramStart"/>
      <w:r>
        <w:rPr>
          <w:rFonts w:ascii="Roboto" w:eastAsia="Roboto" w:hAnsi="Roboto" w:cs="Roboto"/>
          <w:sz w:val="20"/>
          <w:szCs w:val="20"/>
        </w:rPr>
        <w:t>X  )</w:t>
      </w:r>
      <w:proofErr w:type="gramEnd"/>
      <w:r>
        <w:rPr>
          <w:rFonts w:ascii="Roboto" w:eastAsia="Roboto" w:hAnsi="Roboto" w:cs="Roboto"/>
          <w:sz w:val="20"/>
          <w:szCs w:val="20"/>
        </w:rPr>
        <w:t xml:space="preserve">  Declaro que he leído y acepto los términos de esta declaración y autorización de publicación.</w:t>
      </w:r>
      <w:r w:rsidR="00C534CA">
        <w:rPr>
          <w:rFonts w:ascii="Roboto" w:eastAsia="Roboto" w:hAnsi="Roboto" w:cs="Roboto"/>
          <w:sz w:val="20"/>
          <w:szCs w:val="20"/>
        </w:rPr>
        <w:t xml:space="preserve"> </w:t>
      </w:r>
      <w:r w:rsidR="00C534CA" w:rsidRPr="00C534CA">
        <w:rPr>
          <w:rFonts w:ascii="Roboto" w:eastAsia="Roboto" w:hAnsi="Roboto" w:cs="Roboto"/>
          <w:b/>
          <w:bCs/>
          <w:sz w:val="20"/>
          <w:szCs w:val="20"/>
        </w:rPr>
        <w:t>X</w:t>
      </w:r>
    </w:p>
    <w:p w14:paraId="269835C2" w14:textId="77777777" w:rsidR="00C534CA" w:rsidRDefault="00C534CA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</w:p>
    <w:p w14:paraId="68D35B8C" w14:textId="77777777" w:rsidR="00C534CA" w:rsidRDefault="00C534CA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</w:p>
    <w:p w14:paraId="037A0B6E" w14:textId="2B1E38AF" w:rsidR="00681EB0" w:rsidRPr="00C534CA" w:rsidRDefault="00000000" w:rsidP="00C534CA">
      <w:pPr>
        <w:spacing w:before="240" w:after="240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Autor responsable:</w:t>
      </w:r>
      <w:r w:rsidR="00C534CA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C534CA" w:rsidRPr="00C534CA">
        <w:rPr>
          <w:rFonts w:ascii="Roboto" w:eastAsia="Roboto" w:hAnsi="Roboto" w:cs="Roboto"/>
          <w:sz w:val="20"/>
          <w:szCs w:val="20"/>
        </w:rPr>
        <w:t>Magos Hernández Raymundo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Institución:</w:t>
      </w:r>
      <w:r w:rsidR="00C534CA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C534CA" w:rsidRPr="00C534CA">
        <w:rPr>
          <w:rFonts w:ascii="Roboto" w:eastAsia="Roboto" w:hAnsi="Roboto" w:cs="Roboto"/>
          <w:sz w:val="20"/>
          <w:szCs w:val="20"/>
        </w:rPr>
        <w:t>Escuela Internacional de Arquitectura, Universidad Anáhuac Cancún</w:t>
      </w:r>
      <w:r w:rsidRPr="00C534CA">
        <w:rPr>
          <w:rFonts w:ascii="Roboto" w:eastAsia="Roboto" w:hAnsi="Roboto" w:cs="Roboto"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Título del trabajo:</w:t>
      </w:r>
      <w:r w:rsidR="00C534CA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C534CA" w:rsidRPr="00C534CA">
        <w:rPr>
          <w:rFonts w:ascii="Roboto" w:eastAsia="Roboto" w:hAnsi="Roboto" w:cs="Roboto"/>
          <w:sz w:val="20"/>
          <w:szCs w:val="20"/>
        </w:rPr>
        <w:t>Modelo de asociación entre inteligencia artificial generativa y liderazgo creativo en estudiantes de arquitectura: caso embebido en la Universidad Anáhuac Cancún, 2026-2028</w:t>
      </w:r>
    </w:p>
    <w:sectPr w:rsidR="00681EB0" w:rsidRPr="00C534CA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6D4A9" w14:textId="77777777" w:rsidR="00CF7159" w:rsidRDefault="00CF7159">
      <w:r>
        <w:separator/>
      </w:r>
    </w:p>
  </w:endnote>
  <w:endnote w:type="continuationSeparator" w:id="0">
    <w:p w14:paraId="2CAD7A37" w14:textId="77777777" w:rsidR="00CF7159" w:rsidRDefault="00CF71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4FEE1FDF-9F49-4B57-BBA9-E4843FDE3832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38FBB328-848A-4C68-9735-1AC2649C3E4B}"/>
  </w:font>
  <w:font w:name="Roboto">
    <w:charset w:val="00"/>
    <w:family w:val="auto"/>
    <w:pitch w:val="variable"/>
    <w:sig w:usb0="E0000AFF" w:usb1="5000217F" w:usb2="00000021" w:usb3="00000000" w:csb0="0000019F" w:csb1="00000000"/>
    <w:embedRegular r:id="rId3" w:fontKey="{9583715F-0FAA-4BDA-A3F6-EC25080C99BC}"/>
    <w:embedBold r:id="rId4" w:fontKey="{51572870-D9B1-4DB0-90FE-14CEAB631428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5" w:fontKey="{595F54D3-DA2D-4ADE-873E-5C1F3999042F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99AF73" w14:textId="77777777" w:rsidR="00CF7159" w:rsidRDefault="00CF7159">
      <w:r>
        <w:separator/>
      </w:r>
    </w:p>
  </w:footnote>
  <w:footnote w:type="continuationSeparator" w:id="0">
    <w:p w14:paraId="64F0C85D" w14:textId="77777777" w:rsidR="00CF7159" w:rsidRDefault="00CF71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C7A5B" w14:textId="77777777" w:rsidR="00681EB0" w:rsidRDefault="00681EB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681EB0" w14:paraId="4A51C623" w14:textId="77777777">
      <w:trPr>
        <w:trHeight w:val="345"/>
        <w:jc w:val="center"/>
      </w:trPr>
      <w:tc>
        <w:tcPr>
          <w:tcW w:w="6306" w:type="dxa"/>
          <w:vAlign w:val="center"/>
        </w:tcPr>
        <w:p w14:paraId="790EDD6E" w14:textId="77777777" w:rsidR="00681EB0" w:rsidRDefault="00681EB0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3E2B0C40" w14:textId="77777777" w:rsidR="00681EB0" w:rsidRDefault="00681EB0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A214D7"/>
    <w:multiLevelType w:val="multilevel"/>
    <w:tmpl w:val="3D24EE4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8B969BC"/>
    <w:multiLevelType w:val="multilevel"/>
    <w:tmpl w:val="F9E217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73357509">
    <w:abstractNumId w:val="1"/>
  </w:num>
  <w:num w:numId="2" w16cid:durableId="17628715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EB0"/>
    <w:rsid w:val="0025621B"/>
    <w:rsid w:val="00301F66"/>
    <w:rsid w:val="004205A8"/>
    <w:rsid w:val="004C783A"/>
    <w:rsid w:val="00577191"/>
    <w:rsid w:val="00681EB0"/>
    <w:rsid w:val="007F7BD9"/>
    <w:rsid w:val="008914F0"/>
    <w:rsid w:val="00C534CA"/>
    <w:rsid w:val="00CF7159"/>
    <w:rsid w:val="00D31180"/>
    <w:rsid w:val="00D4671A"/>
    <w:rsid w:val="00EE4D9F"/>
    <w:rsid w:val="00F86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7BAAD"/>
  <w15:docId w15:val="{67499F6F-10D7-4019-9549-0A9756037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styleId="Hipervnculovisitado">
    <w:name w:val="FollowedHyperlink"/>
    <w:basedOn w:val="Fuentedeprrafopredeter"/>
    <w:uiPriority w:val="99"/>
    <w:semiHidden/>
    <w:unhideWhenUsed/>
    <w:rsid w:val="00301F6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1336</Words>
  <Characters>7348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Ena Jocelyn Pérez Carballo</cp:lastModifiedBy>
  <cp:revision>4</cp:revision>
  <dcterms:created xsi:type="dcterms:W3CDTF">2026-04-13T23:07:00Z</dcterms:created>
  <dcterms:modified xsi:type="dcterms:W3CDTF">2026-04-15T19:44:00Z</dcterms:modified>
</cp:coreProperties>
</file>