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09A6FB" w14:textId="77777777" w:rsidR="00A618FF" w:rsidRDefault="00000000">
      <w:pPr>
        <w:pStyle w:val="Ttulo1"/>
        <w:keepNext w:val="0"/>
        <w:keepLines w:val="0"/>
        <w:jc w:val="center"/>
        <w:rPr>
          <w:rFonts w:ascii="Roboto" w:eastAsia="Roboto" w:hAnsi="Roboto" w:cs="Roboto"/>
        </w:rPr>
      </w:pPr>
      <w:bookmarkStart w:id="0" w:name="_heading=h.ypfg0w2a5jyf" w:colFirst="0" w:colLast="0"/>
      <w:bookmarkEnd w:id="0"/>
      <w:r>
        <w:rPr>
          <w:rFonts w:ascii="Roboto" w:eastAsia="Roboto" w:hAnsi="Roboto" w:cs="Roboto"/>
          <w:sz w:val="46"/>
          <w:szCs w:val="46"/>
        </w:rPr>
        <w:t>Evaluación del proceso de aprendizaje con IA generativa: relación entre la calidad de la interacción con GPT y la calidad del ensayo</w:t>
      </w:r>
    </w:p>
    <w:p w14:paraId="7B57C22C" w14:textId="77777777" w:rsidR="00A618FF" w:rsidRDefault="00000000">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sz w:val="20"/>
          <w:szCs w:val="20"/>
        </w:rPr>
        <w:t>Robles-Ponce C.</w:t>
      </w:r>
      <w:r>
        <w:rPr>
          <w:rFonts w:ascii="Roboto" w:eastAsia="Roboto" w:hAnsi="Roboto" w:cs="Roboto"/>
          <w:b/>
          <w:bCs/>
          <w:sz w:val="20"/>
          <w:szCs w:val="20"/>
          <w:vertAlign w:val="superscript"/>
        </w:rPr>
        <w:t>1*</w:t>
      </w:r>
      <w:r>
        <w:rPr>
          <w:rFonts w:ascii="Roboto" w:eastAsia="Roboto" w:hAnsi="Roboto" w:cs="Roboto"/>
          <w:b/>
          <w:bCs/>
          <w:sz w:val="20"/>
          <w:szCs w:val="20"/>
        </w:rPr>
        <w:t>, Sánchez-Garza JA.</w:t>
      </w:r>
      <w:r>
        <w:rPr>
          <w:rFonts w:ascii="Roboto" w:eastAsia="Roboto" w:hAnsi="Roboto" w:cs="Roboto"/>
          <w:b/>
          <w:bCs/>
          <w:sz w:val="20"/>
          <w:szCs w:val="20"/>
          <w:vertAlign w:val="superscript"/>
        </w:rPr>
        <w:t>2</w:t>
      </w:r>
    </w:p>
    <w:p w14:paraId="70C10DC3" w14:textId="77777777" w:rsidR="00A618FF" w:rsidRDefault="00000000">
      <w:pPr>
        <w:pBdr>
          <w:top w:val="nil"/>
          <w:left w:val="nil"/>
          <w:bottom w:val="nil"/>
          <w:right w:val="nil"/>
          <w:between w:val="nil"/>
        </w:pBdr>
        <w:jc w:val="center"/>
        <w:rPr>
          <w:rFonts w:ascii="Roboto" w:eastAsia="Roboto" w:hAnsi="Roboto" w:cs="Roboto"/>
          <w:color w:val="000000"/>
          <w:sz w:val="18"/>
          <w:szCs w:val="18"/>
        </w:rPr>
      </w:pPr>
      <w:r>
        <w:rPr>
          <w:rFonts w:ascii="Roboto" w:eastAsia="Roboto" w:hAnsi="Roboto" w:cs="Roboto"/>
          <w:color w:val="000000"/>
          <w:sz w:val="18"/>
          <w:szCs w:val="18"/>
          <w:vertAlign w:val="superscript"/>
        </w:rPr>
        <w:t>1</w:t>
      </w:r>
      <w:r>
        <w:rPr>
          <w:rFonts w:ascii="Roboto" w:eastAsia="Roboto" w:hAnsi="Roboto" w:cs="Roboto"/>
          <w:sz w:val="18"/>
          <w:szCs w:val="18"/>
        </w:rPr>
        <w:t>Anáhuac Online</w:t>
      </w:r>
      <w:r>
        <w:rPr>
          <w:rFonts w:ascii="Roboto" w:eastAsia="Roboto" w:hAnsi="Roboto" w:cs="Roboto"/>
          <w:color w:val="000000"/>
          <w:sz w:val="18"/>
          <w:szCs w:val="18"/>
        </w:rPr>
        <w:t>, ORCID 0009-0007-0124-7004</w:t>
      </w:r>
    </w:p>
    <w:p w14:paraId="3939F4BE" w14:textId="77777777" w:rsidR="00A618FF" w:rsidRDefault="00000000">
      <w:pPr>
        <w:jc w:val="center"/>
        <w:rPr>
          <w:rFonts w:ascii="Roboto" w:eastAsia="Roboto" w:hAnsi="Roboto" w:cs="Roboto"/>
          <w:sz w:val="18"/>
          <w:szCs w:val="18"/>
        </w:rPr>
      </w:pPr>
      <w:r>
        <w:rPr>
          <w:rFonts w:ascii="Roboto" w:eastAsia="Roboto" w:hAnsi="Roboto" w:cs="Roboto"/>
          <w:sz w:val="18"/>
          <w:szCs w:val="18"/>
          <w:vertAlign w:val="superscript"/>
        </w:rPr>
        <w:t>2</w:t>
      </w:r>
      <w:r>
        <w:rPr>
          <w:rFonts w:ascii="Roboto" w:eastAsia="Roboto" w:hAnsi="Roboto" w:cs="Roboto"/>
          <w:sz w:val="18"/>
          <w:szCs w:val="18"/>
        </w:rPr>
        <w:t>Anáhuac Online, ORCID 0009-0004-3842-4375</w:t>
      </w:r>
    </w:p>
    <w:p w14:paraId="7F6EDD15" w14:textId="77777777" w:rsidR="00A618FF" w:rsidRDefault="00000000">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Pr>
          <w:rFonts w:ascii="Roboto" w:eastAsia="Roboto" w:hAnsi="Roboto" w:cs="Roboto"/>
          <w:sz w:val="18"/>
          <w:szCs w:val="18"/>
        </w:rPr>
        <w:t>carlos.roblesp@anahuac.mx)</w:t>
      </w:r>
    </w:p>
    <w:p w14:paraId="5B247A72" w14:textId="77777777" w:rsidR="00A618FF" w:rsidRDefault="000D28CC">
      <w:pPr>
        <w:spacing w:before="60"/>
        <w:jc w:val="center"/>
        <w:rPr>
          <w:rFonts w:ascii="Roboto" w:eastAsia="Roboto" w:hAnsi="Roboto" w:cs="Roboto"/>
          <w:sz w:val="18"/>
          <w:szCs w:val="18"/>
        </w:rPr>
        <w:sectPr w:rsidR="00A618FF">
          <w:headerReference w:type="default" r:id="rId8"/>
          <w:pgSz w:w="11906" w:h="16838"/>
          <w:pgMar w:top="851" w:right="851" w:bottom="828" w:left="851" w:header="357" w:footer="720" w:gutter="0"/>
          <w:pgNumType w:start="1"/>
          <w:cols w:space="720"/>
        </w:sectPr>
      </w:pPr>
      <w:r>
        <w:rPr>
          <w:noProof/>
        </w:rPr>
      </w:r>
      <w:r>
        <w:pict w14:anchorId="583D986D">
          <v:rect id="Horizontal Line 1" o:spid="_x0000_s1026" style="width:510.2pt;height:1.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" filled="f">
            <o:lock v:ext="edit" rotation="t" aspectratio="t" verticies="t" text="t" shapetype="t"/>
            <w10:anchorlock/>
          </v:rect>
        </w:pict>
      </w:r>
    </w:p>
    <w:p w14:paraId="217A3F02" w14:textId="77777777" w:rsidR="00A618FF" w:rsidRDefault="00000000">
      <w:pPr>
        <w:pStyle w:val="Ttulo2"/>
        <w:keepNext w:val="0"/>
        <w:keepLines w:val="0"/>
        <w:jc w:val="both"/>
        <w:rPr>
          <w:rFonts w:ascii="Roboto" w:eastAsia="Roboto" w:hAnsi="Roboto" w:cs="Roboto"/>
          <w:color w:val="FF0000"/>
          <w:sz w:val="34"/>
          <w:szCs w:val="34"/>
          <w:u w:val="single"/>
        </w:rPr>
      </w:pPr>
      <w:bookmarkStart w:id="1" w:name="_heading=h.ktyu98j14gdv" w:colFirst="0" w:colLast="0"/>
      <w:bookmarkEnd w:id="1"/>
      <w:r>
        <w:rPr>
          <w:rFonts w:ascii="Roboto" w:eastAsia="Roboto" w:hAnsi="Roboto" w:cs="Roboto"/>
          <w:sz w:val="20"/>
          <w:szCs w:val="20"/>
        </w:rPr>
        <w:t>INTRODUCCIÓN</w:t>
      </w:r>
    </w:p>
    <w:p w14:paraId="69CFF02A"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inteligencia artificial generativa ha transformado la escritura académica en educación superior. Herramientas como ChatGPT pueden apoyar la generación de ideas, la organización de argumentos y la redacción de borradores; sin embargo, también vuelven más incierta la evaluación del aprendizaje cuando esta se basa únicamente en el producto final. Oliveira et al. (2025) sostienen que, cuando el texto entregado deja de ofrecer una señal clara sobre lo que el estudiante comprende o sabe hacer, la atención evaluativa debe desplazarse también hacia el proceso de interacción con la IA generativa. </w:t>
      </w:r>
    </w:p>
    <w:p w14:paraId="693D5D30"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Este problema es especialmente relevante en la escritura argumentativa, que exige formular una tesis, seleccionar evidencia, desarrollar objeciones y sostener un razonamiento disciplinar. En ese contexto, un ensayo puede verse formalmente correcto sin dejar claro cuánto del resultado corresponde al trabajo intelectual del estudiante y cuánto a una delegación pasiva a la herramienta (Oliveira et al., 2025). La literatura reciente además muestra que no todas las interacciones con IA son equivalentes: la calidad del prompting influye en la calidad de las respuestas generadas (Carrasco-Sáez et al., 2025), y la expansión pedagógica de la IA generativa exige nuevas formas de evaluación centradas en aprendizaje y no solo en uso tecnológico (Qian, 2025). En medicina, este problema adquiere mayor relevancia porque ChatGPT ya funciona como apoyo para la escritura académica, aunque ello no garantiza comprensión más profunda del contenido (Li et al., 2024; Shahsavar et al., 2024).</w:t>
      </w:r>
    </w:p>
    <w:p w14:paraId="3F2B7EB2" w14:textId="60577AE9" w:rsidR="00A618FF" w:rsidRDefault="00000000" w:rsidP="00EE2119">
      <w:pPr>
        <w:spacing w:before="240" w:after="240"/>
        <w:jc w:val="both"/>
        <w:rPr>
          <w:rFonts w:ascii="Roboto" w:eastAsia="Roboto" w:hAnsi="Roboto" w:cs="Roboto"/>
          <w:sz w:val="20"/>
          <w:szCs w:val="20"/>
        </w:rPr>
      </w:pPr>
      <w:r>
        <w:rPr>
          <w:rFonts w:ascii="Roboto" w:eastAsia="Roboto" w:hAnsi="Roboto" w:cs="Roboto"/>
          <w:sz w:val="20"/>
          <w:szCs w:val="20"/>
        </w:rPr>
        <w:t>A partir de ello, la investigación se planteó la siguiente pregunta: ¿la calidad de la interacción del alumno con GPT se relaciona con la calidad del ensayo que produce? La hipótesis central sostiene que, si esa relación existe, la evaluación del proceso puede convertirse en un instrumento docente útil para valorar aprendizaje.</w:t>
      </w:r>
      <w:bookmarkStart w:id="2" w:name="_heading=h.5yx8jdhdm0ba" w:colFirst="0" w:colLast="0"/>
      <w:bookmarkEnd w:id="2"/>
    </w:p>
    <w:p w14:paraId="51FF0878" w14:textId="77777777" w:rsidR="00EE2119" w:rsidRDefault="00EE2119" w:rsidP="00EE2119">
      <w:pPr>
        <w:spacing w:before="240" w:after="240"/>
        <w:jc w:val="both"/>
        <w:rPr>
          <w:rFonts w:ascii="Roboto" w:eastAsia="Roboto" w:hAnsi="Roboto" w:cs="Roboto"/>
          <w:sz w:val="20"/>
          <w:szCs w:val="20"/>
        </w:rPr>
      </w:pPr>
    </w:p>
    <w:p w14:paraId="2BAC7625" w14:textId="77777777" w:rsidR="00EE2119" w:rsidRDefault="00EE2119" w:rsidP="00EE2119">
      <w:pPr>
        <w:spacing w:before="240" w:after="240"/>
        <w:jc w:val="both"/>
        <w:rPr>
          <w:rFonts w:ascii="Roboto" w:eastAsia="Roboto" w:hAnsi="Roboto" w:cs="Roboto"/>
          <w:sz w:val="20"/>
          <w:szCs w:val="20"/>
        </w:rPr>
      </w:pPr>
    </w:p>
    <w:p w14:paraId="02A84311" w14:textId="77777777" w:rsidR="00A618FF" w:rsidRDefault="00000000">
      <w:pPr>
        <w:pStyle w:val="Ttulo2"/>
        <w:keepNext w:val="0"/>
        <w:keepLines w:val="0"/>
        <w:jc w:val="both"/>
        <w:rPr>
          <w:rFonts w:ascii="Roboto" w:eastAsia="Roboto" w:hAnsi="Roboto" w:cs="Roboto"/>
          <w:sz w:val="34"/>
          <w:szCs w:val="34"/>
        </w:rPr>
      </w:pPr>
      <w:bookmarkStart w:id="3" w:name="_heading=h.1blqd4v06um" w:colFirst="0" w:colLast="0"/>
      <w:bookmarkEnd w:id="3"/>
      <w:r>
        <w:rPr>
          <w:rFonts w:ascii="Roboto" w:eastAsia="Roboto" w:hAnsi="Roboto" w:cs="Roboto"/>
          <w:sz w:val="20"/>
          <w:szCs w:val="20"/>
        </w:rPr>
        <w:t>DESARROLLO DE LA INVESTIGACIÓN</w:t>
      </w:r>
    </w:p>
    <w:p w14:paraId="0C2192D5"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Se realizó un estudio piloto, cuantitativo y exploratorio-correlacional con 10 estudiantes de medicina en una universidad presencial. A cada participante se le pidió elaborar un ensayo con apoyo de ChatGPT y entregar, además, la transcripción completa de su interacción con la herramienta. El diseño comparó dos fuentes de evidencia: producto y proceso.  </w:t>
      </w:r>
    </w:p>
    <w:p w14:paraId="7F0ABCEF"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El producto se evaluó mediante una rúbrica de ensayo con cinco dimensiones: introducción, tesis, argumento, manejo de objeciones y claridad, con un puntaje máximo de 20. El proceso se evaluó con una rúbrica inspirada en el marco DRIVE de Oliveira et al. (2025), que propone analizar la interacción con IA a través de dos dimensiones: Directive Reasoning Interaction (DRI), referida a la conducción activa del diálogo con la IA, y Visible Expertise (VE), relativa al grado en que el estudiante hace visible su conocimiento disciplinar dentro de la interacción.</w:t>
      </w:r>
    </w:p>
    <w:p w14:paraId="59FF1F90"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En este piloto, la rúbrica de interacción incluyó tres componentes: AI for Writing, AI for Argumentation y AI for Course Content, con un total de 12 puntos. A partir de ellos se derivaron dos indicadores: DRI = Writing + Argumentation y VE = Course Content. Posteriormente, se compararon los puntajes del ensayo y de la interacción para explorar su relación. La lógica metodológica fue clara: si producto y proceso se mueven en la misma dirección, el proceso gana valor como evidencia de aprendizaje.  </w:t>
      </w:r>
    </w:p>
    <w:p w14:paraId="2B6AC6E2" w14:textId="77777777" w:rsidR="00A618FF" w:rsidRDefault="00000000">
      <w:pPr>
        <w:pStyle w:val="Ttulo2"/>
        <w:keepNext w:val="0"/>
        <w:keepLines w:val="0"/>
        <w:jc w:val="both"/>
        <w:rPr>
          <w:rFonts w:ascii="Roboto" w:eastAsia="Roboto" w:hAnsi="Roboto" w:cs="Roboto"/>
          <w:sz w:val="20"/>
          <w:szCs w:val="20"/>
        </w:rPr>
      </w:pPr>
      <w:bookmarkStart w:id="4" w:name="_heading=h.qempfvbwue0g" w:colFirst="0" w:colLast="0"/>
      <w:bookmarkEnd w:id="4"/>
      <w:r>
        <w:rPr>
          <w:rFonts w:ascii="Roboto" w:eastAsia="Roboto" w:hAnsi="Roboto" w:cs="Roboto"/>
          <w:sz w:val="20"/>
          <w:szCs w:val="20"/>
        </w:rPr>
        <w:t>RESULTADOS</w:t>
      </w:r>
    </w:p>
    <w:p w14:paraId="3A5C9156"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principal hallazgo fue una correlación positiva fuerte entre la evaluación del proceso y la del producto. En la muestra analizada, la correlación entre el puntaje total del ensayo y el puntaje total de la interacción fue de r = 0.86, lo que indica que los estudiantes con interacciones de mayor calidad con GPT tendieron también a producir ensayos mejor evaluados.  </w:t>
      </w:r>
    </w:p>
    <w:p w14:paraId="0C4063CA"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Además, la evaluación del proceso permitió distinguir perfiles de estudiantes. Cinco se ubicaron en el perfil VE alto | DRI alto; uno en VE alto | DRI bajo; y cuatro en VE </w:t>
      </w:r>
      <w:r>
        <w:rPr>
          <w:rFonts w:ascii="Roboto" w:eastAsia="Roboto" w:hAnsi="Roboto" w:cs="Roboto"/>
          <w:sz w:val="20"/>
          <w:szCs w:val="20"/>
        </w:rPr>
        <w:lastRenderedPageBreak/>
        <w:t xml:space="preserve">bajo | DRI bajo. No apareció ningún caso de VE bajo | DRI alto. Este hallazgo muestra que el análisis del proceso no solo permite correlacionar puntajes, sino también detectar diferencias cualitativas en la forma en que los estudiantes usan la IA. </w:t>
      </w:r>
    </w:p>
    <w:p w14:paraId="1D41042B" w14:textId="77777777" w:rsidR="00A618FF" w:rsidRDefault="00000000">
      <w:pPr>
        <w:pStyle w:val="Ttulo2"/>
        <w:keepNext w:val="0"/>
        <w:keepLines w:val="0"/>
        <w:jc w:val="both"/>
        <w:rPr>
          <w:rFonts w:ascii="Roboto" w:eastAsia="Roboto" w:hAnsi="Roboto" w:cs="Roboto"/>
          <w:sz w:val="34"/>
          <w:szCs w:val="34"/>
        </w:rPr>
      </w:pPr>
      <w:bookmarkStart w:id="5" w:name="_heading=h.llkfc3s744o" w:colFirst="0" w:colLast="0"/>
      <w:bookmarkEnd w:id="5"/>
      <w:r>
        <w:rPr>
          <w:rFonts w:ascii="Roboto" w:eastAsia="Roboto" w:hAnsi="Roboto" w:cs="Roboto"/>
          <w:sz w:val="20"/>
          <w:szCs w:val="20"/>
        </w:rPr>
        <w:t>DISCUSIÓN DE LOS RESULTADOS</w:t>
      </w:r>
    </w:p>
    <w:p w14:paraId="6249998B"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Los resultados sugieren, de manera preliminar, que la calidad de la interacción con ChatGPT no es una variable arbitraria, sino una dimensión que parece capturar algo real del trabajo intelectual del estudiante. La fuerte asociación entre proceso y producto apoya la premisa de DRIVE: cuando el producto final se vuelve ambiguo, el proceso puede ofrecer una vía más transparente para valorar aprendizaje (Oliveira et al., 2025).</w:t>
      </w:r>
    </w:p>
    <w:p w14:paraId="3C9464FA"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Asimismo, la diferenciación entre perfiles añade valor pedagógico. Mientras el ensayo muestra qué tan sólido fue el resultado académico, la interacción permite identificar quiénes requieren apoyo para estructurar mejor su diálogo con la IA y para hacer más visible su comprensión disciplinar. En ese sentido, la evaluación del proceso adquiere un valor no solo diagnóstico, sino también formativo.</w:t>
      </w:r>
    </w:p>
    <w:p w14:paraId="23F2B1D9" w14:textId="77777777" w:rsidR="00A618FF" w:rsidRDefault="00000000">
      <w:pPr>
        <w:pStyle w:val="Ttulo2"/>
        <w:keepNext w:val="0"/>
        <w:keepLines w:val="0"/>
        <w:jc w:val="both"/>
        <w:rPr>
          <w:rFonts w:ascii="Roboto" w:eastAsia="Roboto" w:hAnsi="Roboto" w:cs="Roboto"/>
          <w:sz w:val="20"/>
          <w:szCs w:val="20"/>
        </w:rPr>
      </w:pPr>
      <w:bookmarkStart w:id="6" w:name="_heading=h.ricrkecjch33" w:colFirst="0" w:colLast="0"/>
      <w:bookmarkEnd w:id="6"/>
      <w:r>
        <w:rPr>
          <w:rFonts w:ascii="Roboto" w:eastAsia="Roboto" w:hAnsi="Roboto" w:cs="Roboto"/>
          <w:sz w:val="20"/>
          <w:szCs w:val="20"/>
        </w:rPr>
        <w:t>CONCLUSIONES</w:t>
      </w:r>
    </w:p>
    <w:p w14:paraId="309DA24E"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La investigación sugiere que, en contextos mediados por IA generativa, evaluar solo el producto final resulta insuficiente cuando se desea valorar aprendizaje. En este piloto, la relación positiva entre la calidad del ensayo y la calidad de la interacción con GPT respalda la idea de que el proceso puede constituirse en una fuente relevante de evidencia pedagógica.</w:t>
      </w:r>
    </w:p>
    <w:p w14:paraId="2A686753"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Además, las dimensiones DRI y VE permitieron una lectura más fina del desempeño estudiantil. Por ello, la evaluación del proceso no debe entenderse solo como una respuesta técnica frente a la IA, sino como una oportunidad para recuperar dimensiones del aprendizaje que el texto final ya no deja ver con claridad.</w:t>
      </w:r>
    </w:p>
    <w:p w14:paraId="02509E98" w14:textId="77777777" w:rsidR="00A618FF" w:rsidRDefault="00000000">
      <w:pPr>
        <w:pStyle w:val="Ttulo2"/>
        <w:keepNext w:val="0"/>
        <w:keepLines w:val="0"/>
        <w:jc w:val="both"/>
        <w:rPr>
          <w:rFonts w:ascii="Roboto" w:eastAsia="Roboto" w:hAnsi="Roboto" w:cs="Roboto"/>
          <w:sz w:val="34"/>
          <w:szCs w:val="34"/>
        </w:rPr>
      </w:pPr>
      <w:bookmarkStart w:id="7" w:name="_heading=h.vi62kadbo2ey" w:colFirst="0" w:colLast="0"/>
      <w:bookmarkEnd w:id="7"/>
      <w:r>
        <w:rPr>
          <w:rFonts w:ascii="Roboto" w:eastAsia="Roboto" w:hAnsi="Roboto" w:cs="Roboto"/>
          <w:sz w:val="20"/>
          <w:szCs w:val="20"/>
        </w:rPr>
        <w:t>PRÓXIMOS PASOS</w:t>
      </w:r>
    </w:p>
    <w:p w14:paraId="69E0CC9D"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La siguiente fase del proyecto consistirá en incorporar una intervención mediada por Budly, un agente de IA generativa diseñado para amplificar las capacidades de aprendizaje del estudiante. Budly no produce el ensayo por el alumno, sino que lo acompaña en la comprensión de contenidos, la estructuración de ideas y la organización del trabajo académico.</w:t>
      </w:r>
    </w:p>
    <w:p w14:paraId="701680FF"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Uno de sus rasgos principales es su agente de explicación, que ofrece una explicación sencilla, presenta un ejemplo y después pide al estudiante explicar con sus propias palabras lo comprendido.. Budly también cuenta con un agente para ensayos, orientado a ayudar al estudiante a comprender la </w:t>
      </w:r>
      <w:r>
        <w:rPr>
          <w:rFonts w:ascii="Roboto" w:eastAsia="Roboto" w:hAnsi="Roboto" w:cs="Roboto"/>
          <w:sz w:val="20"/>
          <w:szCs w:val="20"/>
        </w:rPr>
        <w:t>estructura, secuencia e ilación de ideas del texto, así como con librerías documentales para trabajar a partir de apuntes y materiales del curso.</w:t>
      </w:r>
    </w:p>
    <w:p w14:paraId="2A5F9EF0"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La hipótesis de intervención sostiene que el uso de Budly favorecerá una mejor comprensión de los contenidos y actuará como habilitador para mejorar la calidad de la interacción posterior de los estudiantes con ChatGPT, especialmente en aquellos que inicialmente presentan perfiles VE bajo | DRI bajo. Para comprobarlo, se pedirá a los estudiantes elaborar un ensayo con Budly y después otro con ChatGPT, evaluando ambas interacciones con la rúbrica inspirada en DRIVE. Con ello se buscará observar si el proceso no solo puede evaluarse, sino también enseñarse, acompañarse y mejorarse.</w:t>
      </w:r>
    </w:p>
    <w:p w14:paraId="31613109" w14:textId="77777777" w:rsidR="00A618FF" w:rsidRDefault="00A618FF">
      <w:pPr>
        <w:jc w:val="both"/>
        <w:rPr>
          <w:rFonts w:ascii="Roboto" w:eastAsia="Roboto" w:hAnsi="Roboto" w:cs="Roboto"/>
          <w:sz w:val="20"/>
          <w:szCs w:val="20"/>
        </w:rPr>
      </w:pPr>
    </w:p>
    <w:p w14:paraId="78A2E38F" w14:textId="77777777" w:rsidR="00A618FF" w:rsidRDefault="00000000">
      <w:pPr>
        <w:jc w:val="both"/>
        <w:rPr>
          <w:rFonts w:ascii="Roboto" w:eastAsia="Roboto" w:hAnsi="Roboto" w:cs="Roboto"/>
          <w:sz w:val="20"/>
          <w:szCs w:val="20"/>
        </w:rPr>
      </w:pPr>
      <w:r>
        <w:rPr>
          <w:rFonts w:ascii="Roboto" w:eastAsia="Roboto" w:hAnsi="Roboto" w:cs="Roboto"/>
          <w:b/>
          <w:bCs/>
          <w:sz w:val="20"/>
          <w:szCs w:val="20"/>
        </w:rPr>
        <w:t>REFERENCIAS</w:t>
      </w:r>
      <w:r>
        <w:rPr>
          <w:rFonts w:ascii="Roboto" w:eastAsia="Roboto" w:hAnsi="Roboto" w:cs="Roboto"/>
          <w:sz w:val="20"/>
          <w:szCs w:val="20"/>
        </w:rPr>
        <w:t>:</w:t>
      </w:r>
    </w:p>
    <w:p w14:paraId="1C00D51F"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Carrasco-Sáez, J. L., Contreras-Saavedra, C., San-Martín-Quiroga, S., Contreras-Saavedra, C. E., &amp; Viveros-Muñoz, R. (2025). </w:t>
      </w:r>
      <w:r>
        <w:rPr>
          <w:rFonts w:ascii="Roboto" w:eastAsia="Roboto" w:hAnsi="Roboto" w:cs="Roboto"/>
          <w:i/>
          <w:iCs/>
          <w:sz w:val="20"/>
          <w:szCs w:val="20"/>
        </w:rPr>
        <w:t>Analyzing higher education students’ prompting techniques and their impact on ChatGPT’s performance: An exploratory study in Spanish</w:t>
      </w:r>
      <w:r>
        <w:rPr>
          <w:rFonts w:ascii="Roboto" w:eastAsia="Roboto" w:hAnsi="Roboto" w:cs="Roboto"/>
          <w:sz w:val="20"/>
          <w:szCs w:val="20"/>
        </w:rPr>
        <w:t xml:space="preserve">. </w:t>
      </w:r>
      <w:r>
        <w:rPr>
          <w:rFonts w:ascii="Roboto" w:eastAsia="Roboto" w:hAnsi="Roboto" w:cs="Roboto"/>
          <w:i/>
          <w:iCs/>
          <w:sz w:val="20"/>
          <w:szCs w:val="20"/>
        </w:rPr>
        <w:t>Applied Sciences, 15</w:t>
      </w:r>
      <w:r>
        <w:rPr>
          <w:rFonts w:ascii="Roboto" w:eastAsia="Roboto" w:hAnsi="Roboto" w:cs="Roboto"/>
          <w:sz w:val="20"/>
          <w:szCs w:val="20"/>
        </w:rPr>
        <w:t>(14), 7651.</w:t>
      </w:r>
    </w:p>
    <w:p w14:paraId="66FCB697"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Li, J., Zong, H., Wu, E., Wu, R., Peng, Z., Zhao, J., Yang, L., Xie, H., &amp; Shen, B. (2024). </w:t>
      </w:r>
      <w:r>
        <w:rPr>
          <w:rFonts w:ascii="Roboto" w:eastAsia="Roboto" w:hAnsi="Roboto" w:cs="Roboto"/>
          <w:i/>
          <w:iCs/>
          <w:sz w:val="20"/>
          <w:szCs w:val="20"/>
        </w:rPr>
        <w:t>Exploring the potential of artificial intelligence to enhance the writing of English academic papers by non-native English-speaking medical students: The educational application of ChatGPT</w:t>
      </w:r>
      <w:r>
        <w:rPr>
          <w:rFonts w:ascii="Roboto" w:eastAsia="Roboto" w:hAnsi="Roboto" w:cs="Roboto"/>
          <w:sz w:val="20"/>
          <w:szCs w:val="20"/>
        </w:rPr>
        <w:t xml:space="preserve">. </w:t>
      </w:r>
      <w:r>
        <w:rPr>
          <w:rFonts w:ascii="Roboto" w:eastAsia="Roboto" w:hAnsi="Roboto" w:cs="Roboto"/>
          <w:i/>
          <w:iCs/>
          <w:sz w:val="20"/>
          <w:szCs w:val="20"/>
        </w:rPr>
        <w:t>BMC Medical Education, 24</w:t>
      </w:r>
      <w:r>
        <w:rPr>
          <w:rFonts w:ascii="Roboto" w:eastAsia="Roboto" w:hAnsi="Roboto" w:cs="Roboto"/>
          <w:sz w:val="20"/>
          <w:szCs w:val="20"/>
        </w:rPr>
        <w:t>, 736.</w:t>
      </w:r>
    </w:p>
    <w:p w14:paraId="07F59EC4"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Oliveira, M., Zednik, C., Bombaerts, G., Sadowski, B., &amp; Conijn, R. (2025). </w:t>
      </w:r>
      <w:r>
        <w:rPr>
          <w:rFonts w:ascii="Roboto" w:eastAsia="Roboto" w:hAnsi="Roboto" w:cs="Roboto"/>
          <w:i/>
          <w:iCs/>
          <w:sz w:val="20"/>
          <w:szCs w:val="20"/>
        </w:rPr>
        <w:t>Assessing students’ DRIVE: A framework to evaluate learning through interactions with generative AI</w:t>
      </w:r>
      <w:r>
        <w:rPr>
          <w:rFonts w:ascii="Roboto" w:eastAsia="Roboto" w:hAnsi="Roboto" w:cs="Roboto"/>
          <w:sz w:val="20"/>
          <w:szCs w:val="20"/>
        </w:rPr>
        <w:t xml:space="preserve">. </w:t>
      </w:r>
      <w:r>
        <w:rPr>
          <w:rFonts w:ascii="Roboto" w:eastAsia="Roboto" w:hAnsi="Roboto" w:cs="Roboto"/>
          <w:i/>
          <w:iCs/>
          <w:sz w:val="20"/>
          <w:szCs w:val="20"/>
        </w:rPr>
        <w:t>Computers and Education: Artificial Intelligence, 9</w:t>
      </w:r>
      <w:r>
        <w:rPr>
          <w:rFonts w:ascii="Roboto" w:eastAsia="Roboto" w:hAnsi="Roboto" w:cs="Roboto"/>
          <w:sz w:val="20"/>
          <w:szCs w:val="20"/>
        </w:rPr>
        <w:t>, 100497.</w:t>
      </w:r>
    </w:p>
    <w:p w14:paraId="74D88BDC"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Qian, Y. (2025). </w:t>
      </w:r>
      <w:r>
        <w:rPr>
          <w:rFonts w:ascii="Roboto" w:eastAsia="Roboto" w:hAnsi="Roboto" w:cs="Roboto"/>
          <w:i/>
          <w:iCs/>
          <w:sz w:val="20"/>
          <w:szCs w:val="20"/>
        </w:rPr>
        <w:t>Pedagogical applications of generative AI in higher education: A systematic review of the field</w:t>
      </w:r>
      <w:r>
        <w:rPr>
          <w:rFonts w:ascii="Roboto" w:eastAsia="Roboto" w:hAnsi="Roboto" w:cs="Roboto"/>
          <w:sz w:val="20"/>
          <w:szCs w:val="20"/>
        </w:rPr>
        <w:t xml:space="preserve">. </w:t>
      </w:r>
      <w:r>
        <w:rPr>
          <w:rFonts w:ascii="Roboto" w:eastAsia="Roboto" w:hAnsi="Roboto" w:cs="Roboto"/>
          <w:i/>
          <w:iCs/>
          <w:sz w:val="20"/>
          <w:szCs w:val="20"/>
        </w:rPr>
        <w:t>TechTrends, 69</w:t>
      </w:r>
      <w:r>
        <w:rPr>
          <w:rFonts w:ascii="Roboto" w:eastAsia="Roboto" w:hAnsi="Roboto" w:cs="Roboto"/>
          <w:sz w:val="20"/>
          <w:szCs w:val="20"/>
        </w:rPr>
        <w:t>, 1105–1120.</w:t>
      </w:r>
    </w:p>
    <w:p w14:paraId="327A5BC7"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Shahsavar, Z., Kafipour, R., Khojasteh, L., &amp; Pakdel, F. (2024). </w:t>
      </w:r>
      <w:r>
        <w:rPr>
          <w:rFonts w:ascii="Roboto" w:eastAsia="Roboto" w:hAnsi="Roboto" w:cs="Roboto"/>
          <w:i/>
          <w:iCs/>
          <w:sz w:val="20"/>
          <w:szCs w:val="20"/>
        </w:rPr>
        <w:t>Is artificial intelligence for everyone? Analyzing the role of ChatGPT as a writing assistant for medical students</w:t>
      </w:r>
      <w:r>
        <w:rPr>
          <w:rFonts w:ascii="Roboto" w:eastAsia="Roboto" w:hAnsi="Roboto" w:cs="Roboto"/>
          <w:sz w:val="20"/>
          <w:szCs w:val="20"/>
        </w:rPr>
        <w:t xml:space="preserve">. </w:t>
      </w:r>
      <w:r>
        <w:rPr>
          <w:rFonts w:ascii="Roboto" w:eastAsia="Roboto" w:hAnsi="Roboto" w:cs="Roboto"/>
          <w:i/>
          <w:iCs/>
          <w:sz w:val="20"/>
          <w:szCs w:val="20"/>
        </w:rPr>
        <w:t>Frontiers in Education, 9</w:t>
      </w:r>
      <w:r>
        <w:rPr>
          <w:rFonts w:ascii="Roboto" w:eastAsia="Roboto" w:hAnsi="Roboto" w:cs="Roboto"/>
          <w:sz w:val="20"/>
          <w:szCs w:val="20"/>
        </w:rPr>
        <w:t>, 1457744.</w:t>
      </w:r>
    </w:p>
    <w:p w14:paraId="1B1FA781" w14:textId="77777777" w:rsidR="00A618FF" w:rsidRDefault="00A618FF">
      <w:pPr>
        <w:spacing w:before="240" w:after="240"/>
        <w:jc w:val="both"/>
        <w:rPr>
          <w:rFonts w:ascii="Roboto" w:eastAsia="Roboto" w:hAnsi="Roboto" w:cs="Roboto"/>
          <w:sz w:val="20"/>
          <w:szCs w:val="20"/>
        </w:rPr>
        <w:sectPr w:rsidR="00A618FF">
          <w:type w:val="continuous"/>
          <w:pgSz w:w="11906" w:h="16838"/>
          <w:pgMar w:top="1134" w:right="851" w:bottom="1134" w:left="851" w:header="357" w:footer="720" w:gutter="0"/>
          <w:cols w:num="2" w:space="720" w:equalWidth="0">
            <w:col w:w="4934" w:space="335"/>
            <w:col w:w="4934" w:space="0"/>
          </w:cols>
        </w:sectPr>
      </w:pPr>
    </w:p>
    <w:p w14:paraId="2869BAE9" w14:textId="77777777" w:rsidR="00A618FF"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7B343536" w14:textId="77777777" w:rsidR="00A618FF"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1CEA5E24" w14:textId="77777777" w:rsidR="00A618FF" w:rsidRDefault="00000000">
      <w:pPr>
        <w:spacing w:before="240"/>
        <w:jc w:val="center"/>
        <w:rPr>
          <w:rFonts w:ascii="Roboto" w:eastAsia="Roboto" w:hAnsi="Roboto" w:cs="Roboto"/>
          <w:b/>
          <w:bCs/>
          <w:sz w:val="20"/>
          <w:szCs w:val="20"/>
        </w:rPr>
      </w:pPr>
      <w:r>
        <w:rPr>
          <w:rFonts w:ascii="Roboto" w:eastAsia="Roboto" w:hAnsi="Roboto" w:cs="Roboto"/>
          <w:b/>
          <w:bCs/>
          <w:sz w:val="20"/>
          <w:szCs w:val="20"/>
        </w:rPr>
        <w:t>III Encuentro de Investigadores de la Red Internacional de Universidades Regnum Christi (RIU)</w:t>
      </w:r>
    </w:p>
    <w:p w14:paraId="662A58C7"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Memorias del III Encuentro de Investigadores de la Red Internacional de Universidades Regnum Christi (RIU)</w:t>
      </w:r>
      <w:r>
        <w:rPr>
          <w:rFonts w:ascii="Roboto" w:eastAsia="Roboto" w:hAnsi="Roboto" w:cs="Roboto"/>
          <w:sz w:val="20"/>
          <w:szCs w:val="20"/>
        </w:rPr>
        <w:t>, los autores declaran y aceptan lo siguiente:</w:t>
      </w:r>
    </w:p>
    <w:p w14:paraId="019CB1FF" w14:textId="77777777" w:rsidR="00A618F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73654618"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0F3F0B59" w14:textId="77777777" w:rsidR="00A618F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00A30152"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08764BCF" w14:textId="77777777" w:rsidR="00A618F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3D46ED56"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650BD6DE" w14:textId="77777777" w:rsidR="00A618FF"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123EE3FC" w14:textId="77777777" w:rsidR="00A618FF"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11BCEC27" w14:textId="77777777" w:rsidR="00A618FF"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17BC5116" w14:textId="77777777" w:rsidR="00A618FF"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Regnum Christi.</w:t>
      </w:r>
    </w:p>
    <w:p w14:paraId="2E7F8652" w14:textId="77777777" w:rsidR="00A618F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6D50BCA5"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4D62035F" w14:textId="77777777" w:rsidR="00A618FF"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44282FE6" w14:textId="77777777" w:rsidR="00A618FF"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54C262F8" w14:textId="77777777" w:rsidR="00A618FF"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405BAAD2" w14:textId="77777777" w:rsidR="00A618F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17B51541"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18FD25B9" w14:textId="77777777" w:rsidR="00A618F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429CEC25"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191C1B4A" w14:textId="77777777" w:rsidR="00A618FF" w:rsidRDefault="00000000">
      <w:pPr>
        <w:spacing w:before="240" w:after="240"/>
        <w:jc w:val="both"/>
        <w:rPr>
          <w:rFonts w:ascii="Roboto" w:eastAsia="Roboto" w:hAnsi="Roboto" w:cs="Roboto"/>
          <w:sz w:val="20"/>
          <w:szCs w:val="20"/>
        </w:rPr>
      </w:pPr>
      <w:r>
        <w:rPr>
          <w:rFonts w:ascii="Roboto" w:eastAsia="Roboto" w:hAnsi="Roboto" w:cs="Roboto"/>
          <w:sz w:val="20"/>
          <w:szCs w:val="20"/>
        </w:rPr>
        <w:t>(  X  )  Declaro que he leído y acepto los términos de esta declaración y autorización de publicación.</w:t>
      </w:r>
    </w:p>
    <w:p w14:paraId="664FA32C" w14:textId="77777777" w:rsidR="00A618F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Autor responsable: Carlos Robles Ponce</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 Anáhuac Online</w:t>
      </w:r>
      <w:r>
        <w:rPr>
          <w:rFonts w:ascii="Roboto" w:eastAsia="Roboto" w:hAnsi="Roboto" w:cs="Roboto"/>
          <w:b/>
          <w:bCs/>
          <w:sz w:val="20"/>
          <w:szCs w:val="20"/>
        </w:rPr>
        <w:br/>
      </w:r>
      <w:r>
        <w:rPr>
          <w:rFonts w:ascii="Roboto" w:eastAsia="Roboto" w:hAnsi="Roboto" w:cs="Roboto"/>
          <w:b/>
          <w:bCs/>
          <w:sz w:val="20"/>
          <w:szCs w:val="20"/>
        </w:rPr>
        <w:lastRenderedPageBreak/>
        <w:t>Título del trabajo con autores: Evaluación del proceso de aprendizaje con IA generativa: relación entre la calidad de la interacción con GPT y la calidad del ensayo</w:t>
      </w:r>
    </w:p>
    <w:p w14:paraId="1833BF28" w14:textId="77777777" w:rsidR="00A618F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Autor 1: Carlos Robles Ponce</w:t>
      </w:r>
    </w:p>
    <w:p w14:paraId="143911CA" w14:textId="77777777" w:rsidR="00A618FF"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Autor 2: Jorge Alberto Sánchez Garza</w:t>
      </w:r>
    </w:p>
    <w:p w14:paraId="6C6C24F5" w14:textId="77777777" w:rsidR="00A618FF" w:rsidRDefault="00A618FF">
      <w:pPr>
        <w:spacing w:before="240" w:after="240"/>
        <w:jc w:val="both"/>
        <w:rPr>
          <w:rFonts w:ascii="Roboto" w:eastAsia="Roboto" w:hAnsi="Roboto" w:cs="Roboto"/>
          <w:b/>
          <w:bCs/>
          <w:sz w:val="20"/>
          <w:szCs w:val="20"/>
        </w:rPr>
      </w:pPr>
    </w:p>
    <w:p w14:paraId="0BD2BC26" w14:textId="77777777" w:rsidR="00A618FF" w:rsidRDefault="00A618FF">
      <w:pPr>
        <w:spacing w:before="240" w:after="240"/>
        <w:jc w:val="both"/>
        <w:rPr>
          <w:rFonts w:ascii="Roboto" w:eastAsia="Roboto" w:hAnsi="Roboto" w:cs="Roboto"/>
          <w:b/>
          <w:bCs/>
          <w:sz w:val="20"/>
          <w:szCs w:val="20"/>
        </w:rPr>
      </w:pPr>
    </w:p>
    <w:sectPr w:rsidR="00A618FF">
      <w:pgSz w:w="11906" w:h="16838"/>
      <w:pgMar w:top="1134" w:right="851" w:bottom="1134" w:left="851" w:header="357"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1F7EB4" w14:textId="77777777" w:rsidR="000D28CC" w:rsidRDefault="000D28CC">
      <w:r>
        <w:separator/>
      </w:r>
    </w:p>
  </w:endnote>
  <w:endnote w:type="continuationSeparator" w:id="0">
    <w:p w14:paraId="56118AF7" w14:textId="77777777" w:rsidR="000D28CC" w:rsidRDefault="000D28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F306F772-566B-B741-B01A-68DB34092DCB}"/>
    <w:embedBold r:id="rId2" w:fontKey="{A6B64847-2522-AD41-98A6-F2EC3062FF58}"/>
    <w:embedItalic r:id="rId3" w:fontKey="{20755C07-C692-434F-963B-F5B2F9B24629}"/>
  </w:font>
  <w:font w:name="Calibri">
    <w:panose1 w:val="020F0502020204030204"/>
    <w:charset w:val="00"/>
    <w:family w:val="swiss"/>
    <w:pitch w:val="variable"/>
    <w:sig w:usb0="E4002EFF" w:usb1="C200247B" w:usb2="00000009" w:usb3="00000000" w:csb0="000001FF" w:csb1="00000000"/>
    <w:embedRegular r:id="rId4" w:fontKey="{0D15009C-5046-514B-B083-24329C9E2B08}"/>
  </w:font>
  <w:font w:name="Georgia">
    <w:panose1 w:val="02040502050405020303"/>
    <w:charset w:val="00"/>
    <w:family w:val="roman"/>
    <w:pitch w:val="variable"/>
    <w:sig w:usb0="00000287" w:usb1="00000000" w:usb2="00000000" w:usb3="00000000" w:csb0="0000009F" w:csb1="00000000"/>
    <w:embedItalic r:id="rId5" w:fontKey="{09DD9DC5-FE93-304F-AB02-E40B435729F8}"/>
  </w:font>
  <w:font w:name="Roboto">
    <w:panose1 w:val="02000000000000000000"/>
    <w:charset w:val="00"/>
    <w:family w:val="auto"/>
    <w:pitch w:val="variable"/>
    <w:sig w:usb0="E0000AFF" w:usb1="5000217F" w:usb2="00000021" w:usb3="00000000" w:csb0="0000019F" w:csb1="00000000"/>
    <w:embedRegular r:id="rId6" w:fontKey="{A524AC21-5821-0C4D-9AF2-AE89B25F30DD}"/>
    <w:embedBold r:id="rId7" w:fontKey="{88D4A07B-D91A-7647-9EE5-7DE7CC86CBE1}"/>
    <w:embedItalic r:id="rId8" w:fontKey="{12419426-A853-3448-B228-E74B267C75A1}"/>
  </w:font>
  <w:font w:name="Calibri Light">
    <w:panose1 w:val="020F0302020204030204"/>
    <w:charset w:val="00"/>
    <w:family w:val="modern"/>
    <w:pitch w:val="variable"/>
    <w:sig w:usb0="00000003" w:usb1="00000000" w:usb2="00000000" w:usb3="00000000" w:csb0="00000001" w:csb1="00000000"/>
    <w:embedRegular r:id="rId9" w:fontKey="{8BB88D68-DED0-2741-A865-61E0805A82D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3D432A" w14:textId="77777777" w:rsidR="000D28CC" w:rsidRDefault="000D28CC">
      <w:r>
        <w:separator/>
      </w:r>
    </w:p>
  </w:footnote>
  <w:footnote w:type="continuationSeparator" w:id="0">
    <w:p w14:paraId="5AC5A939" w14:textId="77777777" w:rsidR="000D28CC" w:rsidRDefault="000D28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6E5CF" w14:textId="77777777" w:rsidR="00A618FF" w:rsidRDefault="00A618FF">
    <w:pPr>
      <w:widowControl w:val="0"/>
      <w:pBdr>
        <w:top w:val="nil"/>
        <w:left w:val="nil"/>
        <w:bottom w:val="nil"/>
        <w:right w:val="nil"/>
        <w:between w:val="nil"/>
      </w:pBdr>
      <w:spacing w:line="276" w:lineRule="auto"/>
      <w:rPr>
        <w:rFonts w:ascii="Roboto" w:eastAsia="Roboto" w:hAnsi="Roboto" w:cs="Roboto"/>
      </w:rPr>
    </w:pPr>
  </w:p>
  <w:tbl>
    <w:tblPr>
      <w:tblStyle w:val="a4"/>
      <w:tblW w:w="6306" w:type="dxa"/>
      <w:jc w:val="center"/>
      <w:tblInd w:w="0" w:type="dxa"/>
      <w:tblLayout w:type="fixed"/>
      <w:tblLook w:val="0400" w:firstRow="0" w:lastRow="0" w:firstColumn="0" w:lastColumn="0" w:noHBand="0" w:noVBand="1"/>
    </w:tblPr>
    <w:tblGrid>
      <w:gridCol w:w="6306"/>
    </w:tblGrid>
    <w:tr w:rsidR="00A618FF" w14:paraId="0179D9CF" w14:textId="77777777">
      <w:trPr>
        <w:trHeight w:val="345"/>
        <w:jc w:val="center"/>
      </w:trPr>
      <w:tc>
        <w:tcPr>
          <w:tcW w:w="6306" w:type="dxa"/>
          <w:vAlign w:val="center"/>
        </w:tcPr>
        <w:p w14:paraId="1CEB1463" w14:textId="77777777" w:rsidR="00A618FF" w:rsidRDefault="00A618FF">
          <w:pPr>
            <w:jc w:val="center"/>
            <w:rPr>
              <w:i/>
              <w:iCs/>
              <w:sz w:val="18"/>
              <w:szCs w:val="18"/>
            </w:rPr>
          </w:pPr>
        </w:p>
      </w:tc>
    </w:tr>
  </w:tbl>
  <w:p w14:paraId="3AA58462" w14:textId="77777777" w:rsidR="00A618FF" w:rsidRDefault="00A618FF">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E45097B"/>
    <w:multiLevelType w:val="multilevel"/>
    <w:tmpl w:val="E508FB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7C896737"/>
    <w:multiLevelType w:val="multilevel"/>
    <w:tmpl w:val="EC60D4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84583870">
    <w:abstractNumId w:val="0"/>
  </w:num>
  <w:num w:numId="2" w16cid:durableId="16857896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4"/>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18FF"/>
    <w:rsid w:val="000D28CC"/>
    <w:rsid w:val="00942D1E"/>
    <w:rsid w:val="00A618FF"/>
    <w:rsid w:val="00EE211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3CA8B75"/>
  <w15:docId w15:val="{2D276E7D-7AC4-8944-B279-018D82E6E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table" w:customStyle="1" w:styleId="TableNormal1">
    <w:name w:val="TableNormal"/>
    <w:tblPr>
      <w:tblCellMar>
        <w:top w:w="100" w:type="dxa"/>
        <w:left w:w="100" w:type="dxa"/>
        <w:bottom w:w="100" w:type="dxa"/>
        <w:right w:w="100" w:type="dxa"/>
      </w:tblCellMar>
    </w:tblPr>
  </w:style>
  <w:style w:type="table" w:customStyle="1" w:styleId="TableNormal2">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2"/>
    <w:tblPr>
      <w:tblStyleRowBandSize w:val="1"/>
      <w:tblStyleColBandSize w:val="1"/>
      <w:tblCellMar>
        <w:top w:w="0" w:type="dxa"/>
        <w:left w:w="115" w:type="dxa"/>
        <w:bottom w:w="0" w:type="dxa"/>
        <w:right w:w="115" w:type="dxa"/>
      </w:tblCellMar>
    </w:tblPr>
  </w:style>
  <w:style w:type="table" w:customStyle="1" w:styleId="a0">
    <w:basedOn w:val="TableNormal2"/>
    <w:tblPr>
      <w:tblStyleRowBandSize w:val="1"/>
      <w:tblStyleColBandSize w:val="1"/>
      <w:tblCellMar>
        <w:top w:w="0" w:type="dxa"/>
        <w:left w:w="115" w:type="dxa"/>
        <w:bottom w:w="0" w:type="dxa"/>
        <w:right w:w="115" w:type="dxa"/>
      </w:tblCellMar>
    </w:tblPr>
  </w:style>
  <w:style w:type="table" w:customStyle="1" w:styleId="a1">
    <w:basedOn w:val="TableNormal2"/>
    <w:tblPr>
      <w:tblStyleRowBandSize w:val="1"/>
      <w:tblStyleColBandSize w:val="1"/>
      <w:tblCellMar>
        <w:top w:w="0" w:type="dxa"/>
        <w:left w:w="115" w:type="dxa"/>
        <w:bottom w:w="0" w:type="dxa"/>
        <w:right w:w="115" w:type="dxa"/>
      </w:tblCellMar>
    </w:tblPr>
  </w:style>
  <w:style w:type="table" w:customStyle="1" w:styleId="a2">
    <w:basedOn w:val="TableNormal2"/>
    <w:tblPr>
      <w:tblStyleRowBandSize w:val="1"/>
      <w:tblStyleColBandSize w:val="1"/>
      <w:tblCellMar>
        <w:top w:w="0" w:type="dxa"/>
        <w:left w:w="115" w:type="dxa"/>
        <w:bottom w:w="0" w:type="dxa"/>
        <w:right w:w="115" w:type="dxa"/>
      </w:tblCellMar>
    </w:tblPr>
  </w:style>
  <w:style w:type="table" w:customStyle="1" w:styleId="a3">
    <w:basedOn w:val="TableNormal2"/>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4">
    <w:basedOn w:val="TableNormal2"/>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D8lefEQIGIEBBpdCPSJGbeo9sfA==">CgMxLjAyDmgueXBmZzB3MmE1anlmMg5oLmt0eXU5OGoxNGdkdjIOaC41eXg4amRoZG0wYmEyDWguMWJscWQ0djA2dW0yDmgucWVtcGZ2Ynd1ZTBnMg1oLmxsa2ZjM3M3NDRvMg5oLnJpY3JrZWNqY2gzMzIOaC52aTYya2FkYm8yZXk4AHIhMW0xMzhKOXhvQjZzZDJZc2U1S0RkVDNGZmpCWjhRMGFs</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1867</Words>
  <Characters>10271</Characters>
  <Application>Microsoft Office Word</Application>
  <DocSecurity>0</DocSecurity>
  <Lines>85</Lines>
  <Paragraphs>24</Paragraphs>
  <ScaleCrop>false</ScaleCrop>
  <Company/>
  <LinksUpToDate>false</LinksUpToDate>
  <CharactersWithSpaces>12114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Carlos Robles Ponce</cp:lastModifiedBy>
  <cp:revision>2</cp:revision>
  <dcterms:created xsi:type="dcterms:W3CDTF">2025-09-09T17:06:00Z</dcterms:created>
  <dcterms:modified xsi:type="dcterms:W3CDTF">2026-04-01T05:10:00Z</dcterms:modified>
</cp:coreProperties>
</file>