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43D220" w14:textId="3BD137E0" w:rsidR="007E36FD" w:rsidRDefault="00C87F1D">
      <w:pPr>
        <w:pBdr>
          <w:top w:val="nil"/>
          <w:left w:val="nil"/>
          <w:bottom w:val="nil"/>
          <w:right w:val="nil"/>
          <w:between w:val="nil"/>
        </w:pBdr>
        <w:spacing w:before="120" w:after="120"/>
        <w:jc w:val="center"/>
        <w:rPr>
          <w:rFonts w:ascii="Roboto" w:eastAsia="Roboto" w:hAnsi="Roboto" w:cs="Roboto"/>
          <w:b/>
          <w:bCs/>
          <w:color w:val="000000"/>
        </w:rPr>
      </w:pPr>
      <w:r w:rsidRPr="00C87F1D">
        <w:rPr>
          <w:rFonts w:ascii="Roboto" w:eastAsia="Roboto" w:hAnsi="Roboto" w:cs="Roboto"/>
          <w:b/>
          <w:bCs/>
          <w:color w:val="000000"/>
        </w:rPr>
        <w:t xml:space="preserve">Reconstruir la </w:t>
      </w:r>
      <w:r>
        <w:rPr>
          <w:rFonts w:ascii="Roboto" w:eastAsia="Roboto" w:hAnsi="Roboto" w:cs="Roboto"/>
          <w:b/>
          <w:bCs/>
          <w:color w:val="000000"/>
        </w:rPr>
        <w:t>p</w:t>
      </w:r>
      <w:r w:rsidRPr="00C87F1D">
        <w:rPr>
          <w:rFonts w:ascii="Roboto" w:eastAsia="Roboto" w:hAnsi="Roboto" w:cs="Roboto"/>
          <w:b/>
          <w:bCs/>
          <w:color w:val="000000"/>
        </w:rPr>
        <w:t xml:space="preserve">az desde la persona en un mundo en </w:t>
      </w:r>
      <w:r>
        <w:rPr>
          <w:rFonts w:ascii="Roboto" w:eastAsia="Roboto" w:hAnsi="Roboto" w:cs="Roboto"/>
          <w:b/>
          <w:bCs/>
          <w:color w:val="000000"/>
        </w:rPr>
        <w:t>c</w:t>
      </w:r>
      <w:r w:rsidRPr="00C87F1D">
        <w:rPr>
          <w:rFonts w:ascii="Roboto" w:eastAsia="Roboto" w:hAnsi="Roboto" w:cs="Roboto"/>
          <w:b/>
          <w:bCs/>
          <w:color w:val="000000"/>
        </w:rPr>
        <w:t>risis: Geopolítica, guerra y dignidad humana en el siglo XXI</w:t>
      </w:r>
    </w:p>
    <w:p w14:paraId="78248F98" w14:textId="2BC47D8B" w:rsidR="00E07AC1" w:rsidRPr="00E07AC1" w:rsidRDefault="00E07AC1">
      <w:pPr>
        <w:pBdr>
          <w:top w:val="nil"/>
          <w:left w:val="nil"/>
          <w:bottom w:val="nil"/>
          <w:right w:val="nil"/>
          <w:between w:val="nil"/>
        </w:pBdr>
        <w:spacing w:before="120" w:after="120"/>
        <w:jc w:val="center"/>
        <w:rPr>
          <w:rFonts w:ascii="Roboto" w:eastAsia="Roboto" w:hAnsi="Roboto" w:cs="Roboto"/>
          <w:color w:val="000000"/>
        </w:rPr>
      </w:pPr>
      <w:r w:rsidRPr="00E07AC1">
        <w:rPr>
          <w:rFonts w:ascii="Roboto" w:eastAsia="Roboto" w:hAnsi="Roboto" w:cs="Roboto"/>
          <w:color w:val="000000"/>
        </w:rPr>
        <w:t>Universidad Anáhuac Mayab</w:t>
      </w:r>
    </w:p>
    <w:p w14:paraId="00E0FA2F" w14:textId="670F0232" w:rsidR="007E36FD" w:rsidRDefault="00C87F1D">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Torruco González</w:t>
      </w:r>
      <w:r w:rsidR="00E07AC1">
        <w:rPr>
          <w:rFonts w:ascii="Roboto" w:eastAsia="Roboto" w:hAnsi="Roboto" w:cs="Roboto"/>
          <w:b/>
          <w:bCs/>
          <w:color w:val="000000"/>
          <w:sz w:val="20"/>
          <w:szCs w:val="20"/>
        </w:rPr>
        <w:t xml:space="preserve">, </w:t>
      </w:r>
      <w:r>
        <w:rPr>
          <w:rFonts w:ascii="Roboto" w:eastAsia="Roboto" w:hAnsi="Roboto" w:cs="Roboto"/>
          <w:b/>
          <w:bCs/>
          <w:color w:val="000000"/>
          <w:sz w:val="20"/>
          <w:szCs w:val="20"/>
        </w:rPr>
        <w:t>A.D.</w:t>
      </w:r>
    </w:p>
    <w:p w14:paraId="3CE98D2A" w14:textId="27D3CDEA" w:rsidR="007E36FD" w:rsidRPr="00C87F1D" w:rsidRDefault="00000000">
      <w:pPr>
        <w:jc w:val="center"/>
        <w:rPr>
          <w:rFonts w:ascii="Roboto" w:eastAsia="Roboto" w:hAnsi="Roboto" w:cs="Roboto"/>
          <w:sz w:val="18"/>
          <w:szCs w:val="18"/>
          <w:lang w:val="pt-BR"/>
        </w:rPr>
      </w:pPr>
      <w:r w:rsidRPr="00C87F1D">
        <w:rPr>
          <w:rFonts w:ascii="Roboto" w:eastAsia="Roboto" w:hAnsi="Roboto" w:cs="Roboto"/>
          <w:sz w:val="18"/>
          <w:szCs w:val="18"/>
          <w:lang w:val="pt-BR"/>
        </w:rPr>
        <w:t xml:space="preserve">Autor de </w:t>
      </w:r>
      <w:proofErr w:type="spellStart"/>
      <w:r w:rsidRPr="00C87F1D">
        <w:rPr>
          <w:rFonts w:ascii="Roboto" w:eastAsia="Roboto" w:hAnsi="Roboto" w:cs="Roboto"/>
          <w:sz w:val="18"/>
          <w:szCs w:val="18"/>
          <w:lang w:val="pt-BR"/>
        </w:rPr>
        <w:t>correspondencia</w:t>
      </w:r>
      <w:proofErr w:type="spellEnd"/>
      <w:r w:rsidRPr="00C87F1D">
        <w:rPr>
          <w:rFonts w:ascii="Roboto" w:eastAsia="Roboto" w:hAnsi="Roboto" w:cs="Roboto"/>
          <w:sz w:val="18"/>
          <w:szCs w:val="18"/>
          <w:lang w:val="pt-BR"/>
        </w:rPr>
        <w:t xml:space="preserve"> (e-mail:</w:t>
      </w:r>
      <w:r w:rsidRPr="00C87F1D">
        <w:rPr>
          <w:rFonts w:ascii="Roboto" w:eastAsia="Roboto" w:hAnsi="Roboto" w:cs="Roboto"/>
          <w:sz w:val="18"/>
          <w:szCs w:val="18"/>
          <w:highlight w:val="white"/>
          <w:lang w:val="pt-BR"/>
        </w:rPr>
        <w:t xml:space="preserve"> </w:t>
      </w:r>
      <w:hyperlink r:id="rId8" w:history="1">
        <w:r w:rsidR="00C87F1D" w:rsidRPr="00D318E1">
          <w:rPr>
            <w:rStyle w:val="Hipervnculo"/>
            <w:rFonts w:ascii="Roboto" w:eastAsia="Roboto" w:hAnsi="Roboto" w:cs="Roboto"/>
            <w:sz w:val="18"/>
            <w:szCs w:val="18"/>
            <w:lang w:val="pt-BR"/>
          </w:rPr>
          <w:t>angel.torruco@anahuac.mx</w:t>
        </w:r>
      </w:hyperlink>
      <w:r w:rsidRPr="00C87F1D">
        <w:rPr>
          <w:rFonts w:ascii="Roboto" w:eastAsia="Roboto" w:hAnsi="Roboto" w:cs="Roboto"/>
          <w:sz w:val="18"/>
          <w:szCs w:val="18"/>
          <w:lang w:val="pt-BR"/>
        </w:rPr>
        <w:t>)</w:t>
      </w:r>
    </w:p>
    <w:p w14:paraId="66D96A3C" w14:textId="77777777" w:rsidR="007E36FD" w:rsidRDefault="00000000">
      <w:pPr>
        <w:spacing w:before="60"/>
        <w:jc w:val="center"/>
        <w:rPr>
          <w:rFonts w:ascii="Roboto" w:eastAsia="Roboto" w:hAnsi="Roboto" w:cs="Roboto"/>
          <w:sz w:val="18"/>
          <w:szCs w:val="18"/>
        </w:rPr>
        <w:sectPr w:rsidR="007E36FD">
          <w:headerReference w:type="default" r:id="rId9"/>
          <w:pgSz w:w="11906" w:h="16838"/>
          <w:pgMar w:top="851" w:right="851" w:bottom="828" w:left="851" w:header="357" w:footer="720" w:gutter="0"/>
          <w:pgNumType w:start="1"/>
          <w:cols w:space="720"/>
        </w:sectPr>
      </w:pPr>
      <w:r>
        <w:pict w14:anchorId="5E92EEA7">
          <v:rect id="_x0000_i1025" style="width:0;height:1.5pt" o:hralign="center" o:hrstd="t" o:hr="t" fillcolor="#a0a0a0" stroked="f"/>
        </w:pict>
      </w:r>
    </w:p>
    <w:p w14:paraId="3DCD61CE" w14:textId="532AA0E7" w:rsidR="007E36FD" w:rsidRDefault="00AD6DF4">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596456B5" w14:textId="1FE70F74" w:rsidR="00AD6DF4" w:rsidRPr="00AD6DF4" w:rsidRDefault="00517F71" w:rsidP="00AD6DF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En la actualidad</w:t>
      </w:r>
      <w:r w:rsidR="00AD6DF4" w:rsidRPr="00AD6DF4">
        <w:rPr>
          <w:rFonts w:ascii="Roboto" w:eastAsia="Roboto" w:hAnsi="Roboto" w:cs="Roboto"/>
          <w:color w:val="000000"/>
          <w:sz w:val="20"/>
          <w:szCs w:val="20"/>
        </w:rPr>
        <w:t>, la paz internacional se encuentra sometida a una tensión constante derivada del resurgimiento de conflictos armados, la reconfiguración del poder global y el debilitamiento de los mecanismos multilaterales. Lejos de constituir fenómenos aislados, las guerras actuales responden a dinámicas estructurales de la geopolítica, en las que los Estados priorizan intereses estratégicos vinculados a la seguridad, la influencia regional y el control de recursos. En este escenario, la paz ha dejado de ser un estado consolidado para convertirse en un equilibrio precario, condicionado por la lógica del poder (Morgenthau, 2006).</w:t>
      </w:r>
    </w:p>
    <w:p w14:paraId="57123ACD" w14:textId="544FC007" w:rsidR="00AD6DF4" w:rsidRPr="00AD6DF4" w:rsidRDefault="00AD6DF4" w:rsidP="00AD6DF4">
      <w:pPr>
        <w:pBdr>
          <w:top w:val="nil"/>
          <w:left w:val="nil"/>
          <w:bottom w:val="nil"/>
          <w:right w:val="nil"/>
          <w:between w:val="nil"/>
        </w:pBdr>
        <w:jc w:val="both"/>
        <w:rPr>
          <w:rFonts w:ascii="Roboto" w:eastAsia="Roboto" w:hAnsi="Roboto" w:cs="Roboto"/>
          <w:color w:val="000000"/>
          <w:sz w:val="20"/>
          <w:szCs w:val="20"/>
        </w:rPr>
      </w:pPr>
      <w:r w:rsidRPr="00AD6DF4">
        <w:rPr>
          <w:rFonts w:ascii="Roboto" w:eastAsia="Roboto" w:hAnsi="Roboto" w:cs="Roboto"/>
          <w:color w:val="000000"/>
          <w:sz w:val="20"/>
          <w:szCs w:val="20"/>
        </w:rPr>
        <w:t>Desde el plano normativo, la</w:t>
      </w:r>
      <w:r w:rsidR="00517F71">
        <w:rPr>
          <w:rFonts w:ascii="Roboto" w:eastAsia="Roboto" w:hAnsi="Roboto" w:cs="Roboto"/>
          <w:color w:val="000000"/>
          <w:sz w:val="20"/>
          <w:szCs w:val="20"/>
        </w:rPr>
        <w:t xml:space="preserve">s Naciones Unidas </w:t>
      </w:r>
      <w:r w:rsidRPr="00AD6DF4">
        <w:rPr>
          <w:rFonts w:ascii="Roboto" w:eastAsia="Roboto" w:hAnsi="Roboto" w:cs="Roboto"/>
          <w:color w:val="000000"/>
          <w:sz w:val="20"/>
          <w:szCs w:val="20"/>
        </w:rPr>
        <w:t>establece</w:t>
      </w:r>
      <w:r w:rsidR="00517F71">
        <w:rPr>
          <w:rFonts w:ascii="Roboto" w:eastAsia="Roboto" w:hAnsi="Roboto" w:cs="Roboto"/>
          <w:color w:val="000000"/>
          <w:sz w:val="20"/>
          <w:szCs w:val="20"/>
        </w:rPr>
        <w:t>n</w:t>
      </w:r>
      <w:r w:rsidRPr="00AD6DF4">
        <w:rPr>
          <w:rFonts w:ascii="Roboto" w:eastAsia="Roboto" w:hAnsi="Roboto" w:cs="Roboto"/>
          <w:color w:val="000000"/>
          <w:sz w:val="20"/>
          <w:szCs w:val="20"/>
        </w:rPr>
        <w:t xml:space="preserve"> como uno de sus propósitos fundamentales el mantenimiento de la paz y la seguridad internacionales, lo cual implica no solo evitar la guerra, sino garantizar condiciones de justicia y respeto a los derechos humanos (ONU, 1945). Sin embargo, la realidad internacional del siglo XXI evidencia una brecha significativa entre este ideal y la práctica geopolítica, donde la población civil continúa siendo una de las principales afectadas por los conflictos.</w:t>
      </w:r>
    </w:p>
    <w:p w14:paraId="0A94D8E9" w14:textId="0F292A22" w:rsidR="00AD6DF4" w:rsidRPr="00AD6DF4" w:rsidRDefault="00AD6DF4" w:rsidP="00AD6DF4">
      <w:pPr>
        <w:pBdr>
          <w:top w:val="nil"/>
          <w:left w:val="nil"/>
          <w:bottom w:val="nil"/>
          <w:right w:val="nil"/>
          <w:between w:val="nil"/>
        </w:pBdr>
        <w:jc w:val="both"/>
        <w:rPr>
          <w:rFonts w:ascii="Roboto" w:eastAsia="Roboto" w:hAnsi="Roboto" w:cs="Roboto"/>
          <w:color w:val="000000"/>
          <w:sz w:val="20"/>
          <w:szCs w:val="20"/>
        </w:rPr>
      </w:pPr>
      <w:r w:rsidRPr="00AD6DF4">
        <w:rPr>
          <w:rFonts w:ascii="Roboto" w:eastAsia="Roboto" w:hAnsi="Roboto" w:cs="Roboto"/>
          <w:color w:val="000000"/>
          <w:sz w:val="20"/>
          <w:szCs w:val="20"/>
        </w:rPr>
        <w:t>Casos contemporáneos como la guerra entre Rusia y Ucrania, las tensiones entre Irán, Israel y Estados Unidos, así como la confrontación entre Venezuela y Estados Unidos, permiten observar cómo la geopolítica contemporánea incide directamente en la vulneración de la dignidad humana. Informes recientes del Alto Comisionado de las Naciones Unidas para los Derechos Humanos documentan el impacto sostenido de los conflictos armados sobre la población civil, particularmente en términos de muertes, desplazamientos y destrucción de infraestructura esencial (OHCHR, 2025). En estos contextos, la persona deja de ser el eje normativo del sistema internacional para convertirse en una variable subordinada a la</w:t>
      </w:r>
      <w:r w:rsidR="004A0765">
        <w:rPr>
          <w:rFonts w:ascii="Roboto" w:eastAsia="Roboto" w:hAnsi="Roboto" w:cs="Roboto"/>
          <w:color w:val="000000"/>
          <w:sz w:val="20"/>
          <w:szCs w:val="20"/>
        </w:rPr>
        <w:t>s</w:t>
      </w:r>
      <w:r w:rsidRPr="00AD6DF4">
        <w:rPr>
          <w:rFonts w:ascii="Roboto" w:eastAsia="Roboto" w:hAnsi="Roboto" w:cs="Roboto"/>
          <w:color w:val="000000"/>
          <w:sz w:val="20"/>
          <w:szCs w:val="20"/>
        </w:rPr>
        <w:t xml:space="preserve"> disputa</w:t>
      </w:r>
      <w:r w:rsidR="004A0765">
        <w:rPr>
          <w:rFonts w:ascii="Roboto" w:eastAsia="Roboto" w:hAnsi="Roboto" w:cs="Roboto"/>
          <w:color w:val="000000"/>
          <w:sz w:val="20"/>
          <w:szCs w:val="20"/>
        </w:rPr>
        <w:t>s</w:t>
      </w:r>
      <w:r w:rsidRPr="00AD6DF4">
        <w:rPr>
          <w:rFonts w:ascii="Roboto" w:eastAsia="Roboto" w:hAnsi="Roboto" w:cs="Roboto"/>
          <w:color w:val="000000"/>
          <w:sz w:val="20"/>
          <w:szCs w:val="20"/>
        </w:rPr>
        <w:t xml:space="preserve"> de poder.</w:t>
      </w:r>
    </w:p>
    <w:p w14:paraId="2FEAC599" w14:textId="662A8050" w:rsidR="007E36FD" w:rsidRDefault="00AD6DF4" w:rsidP="00AD6DF4">
      <w:pPr>
        <w:pBdr>
          <w:top w:val="nil"/>
          <w:left w:val="nil"/>
          <w:bottom w:val="nil"/>
          <w:right w:val="nil"/>
          <w:between w:val="nil"/>
        </w:pBdr>
        <w:jc w:val="both"/>
        <w:rPr>
          <w:rFonts w:ascii="Roboto" w:eastAsia="Roboto" w:hAnsi="Roboto" w:cs="Roboto"/>
          <w:color w:val="000000"/>
          <w:sz w:val="20"/>
          <w:szCs w:val="20"/>
        </w:rPr>
      </w:pPr>
      <w:r w:rsidRPr="00AD6DF4">
        <w:rPr>
          <w:rFonts w:ascii="Roboto" w:eastAsia="Roboto" w:hAnsi="Roboto" w:cs="Roboto"/>
          <w:color w:val="000000"/>
          <w:sz w:val="20"/>
          <w:szCs w:val="20"/>
        </w:rPr>
        <w:t>A partir de ello, surge la siguiente pregunta de investigación: ¿cómo afectan las lógicas geopolíticas de poder y guerra a la dignidad humana, y qué condiciones teóricas, éticas y jurídicas permiten replantear la paz desde la persona en el siglo XXI?</w:t>
      </w:r>
    </w:p>
    <w:p w14:paraId="35891B13" w14:textId="77777777" w:rsidR="00517F71" w:rsidRDefault="00517F71" w:rsidP="00517F71">
      <w:pPr>
        <w:pBdr>
          <w:top w:val="nil"/>
          <w:left w:val="nil"/>
          <w:bottom w:val="nil"/>
          <w:right w:val="nil"/>
          <w:between w:val="nil"/>
        </w:pBdr>
        <w:spacing w:before="60"/>
        <w:jc w:val="both"/>
        <w:rPr>
          <w:rFonts w:ascii="Roboto" w:eastAsia="Roboto" w:hAnsi="Roboto" w:cs="Roboto"/>
          <w:b/>
          <w:bCs/>
          <w:color w:val="000000"/>
          <w:sz w:val="20"/>
          <w:szCs w:val="20"/>
        </w:rPr>
      </w:pPr>
    </w:p>
    <w:p w14:paraId="1FB3BB48" w14:textId="5D1CD0F4" w:rsidR="00517F71" w:rsidRDefault="00517F71" w:rsidP="00517F71">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OBJETIVO GENERAL</w:t>
      </w:r>
    </w:p>
    <w:p w14:paraId="554D50E1" w14:textId="756A254D" w:rsidR="00517F71" w:rsidRDefault="00517F71" w:rsidP="00517F71">
      <w:p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 xml:space="preserve">Analizar </w:t>
      </w:r>
      <w:r>
        <w:rPr>
          <w:rFonts w:ascii="Roboto" w:eastAsia="Roboto" w:hAnsi="Roboto" w:cs="Roboto"/>
          <w:color w:val="000000"/>
          <w:sz w:val="20"/>
          <w:szCs w:val="20"/>
        </w:rPr>
        <w:t>la forma en la que</w:t>
      </w:r>
      <w:r w:rsidRPr="00517F71">
        <w:rPr>
          <w:rFonts w:ascii="Roboto" w:eastAsia="Roboto" w:hAnsi="Roboto" w:cs="Roboto"/>
          <w:color w:val="000000"/>
          <w:sz w:val="20"/>
          <w:szCs w:val="20"/>
        </w:rPr>
        <w:t xml:space="preserve"> las lógicas geopolíticas de poder y guerra vulneran la dignidad humana en el siglo XXI, a fin de replantear la paz desde la centralidad de la persona, a partir de un enfoque interdisciplinario con sustento teórico, ético y jurídico.</w:t>
      </w:r>
    </w:p>
    <w:p w14:paraId="29B8F4E3" w14:textId="77777777" w:rsidR="00517F71" w:rsidRDefault="00517F71" w:rsidP="00517F71">
      <w:pPr>
        <w:pBdr>
          <w:top w:val="nil"/>
          <w:left w:val="nil"/>
          <w:bottom w:val="nil"/>
          <w:right w:val="nil"/>
          <w:between w:val="nil"/>
        </w:pBdr>
        <w:spacing w:before="60"/>
        <w:jc w:val="both"/>
        <w:rPr>
          <w:rFonts w:ascii="Roboto" w:eastAsia="Roboto" w:hAnsi="Roboto" w:cs="Roboto"/>
          <w:b/>
          <w:bCs/>
          <w:color w:val="000000"/>
          <w:sz w:val="20"/>
          <w:szCs w:val="20"/>
        </w:rPr>
      </w:pPr>
    </w:p>
    <w:p w14:paraId="24497B2D" w14:textId="67E07A19" w:rsidR="00517F71" w:rsidRDefault="00517F71" w:rsidP="00517F71">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OBJETIVO</w:t>
      </w:r>
      <w:r>
        <w:rPr>
          <w:rFonts w:ascii="Roboto" w:eastAsia="Roboto" w:hAnsi="Roboto" w:cs="Roboto"/>
          <w:b/>
          <w:bCs/>
          <w:color w:val="000000"/>
          <w:sz w:val="20"/>
          <w:szCs w:val="20"/>
        </w:rPr>
        <w:t>S ESPECÍFICOS</w:t>
      </w:r>
    </w:p>
    <w:p w14:paraId="5BC5C24C" w14:textId="4CBBD412" w:rsidR="00517F71" w:rsidRDefault="00517F71" w:rsidP="00517F71">
      <w:pPr>
        <w:pStyle w:val="Prrafodelista"/>
        <w:numPr>
          <w:ilvl w:val="0"/>
          <w:numId w:val="3"/>
        </w:num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Examinar los fundamentos conceptuales de la paz, la guerra, la geopolítica y la dignidad humana</w:t>
      </w:r>
      <w:r>
        <w:rPr>
          <w:rFonts w:ascii="Roboto" w:eastAsia="Roboto" w:hAnsi="Roboto" w:cs="Roboto"/>
          <w:color w:val="000000"/>
          <w:sz w:val="20"/>
          <w:szCs w:val="20"/>
        </w:rPr>
        <w:t>.</w:t>
      </w:r>
    </w:p>
    <w:p w14:paraId="4E8A25A2" w14:textId="77777777" w:rsidR="00517F71" w:rsidRDefault="00517F71" w:rsidP="00517F71">
      <w:pPr>
        <w:pStyle w:val="Prrafodelista"/>
        <w:numPr>
          <w:ilvl w:val="0"/>
          <w:numId w:val="3"/>
        </w:num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Analizar el impacto de conflictos contemporáneos en la población civil.</w:t>
      </w:r>
    </w:p>
    <w:p w14:paraId="342C7ECF" w14:textId="77777777" w:rsidR="00517F71" w:rsidRDefault="00517F71" w:rsidP="00517F71">
      <w:pPr>
        <w:pStyle w:val="Prrafodelista"/>
        <w:numPr>
          <w:ilvl w:val="0"/>
          <w:numId w:val="3"/>
        </w:num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Identificar los límites del derecho internacional y del multilateralismo frente a la guerra.</w:t>
      </w:r>
    </w:p>
    <w:p w14:paraId="5CAB5B44" w14:textId="412143A2" w:rsidR="007E36FD" w:rsidRPr="00517F71" w:rsidRDefault="00517F71" w:rsidP="00517F71">
      <w:pPr>
        <w:pStyle w:val="Prrafodelista"/>
        <w:numPr>
          <w:ilvl w:val="0"/>
          <w:numId w:val="3"/>
        </w:num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Proponer una reinterpretación de la paz centrada en la persona.</w:t>
      </w:r>
    </w:p>
    <w:p w14:paraId="52388395" w14:textId="77777777" w:rsidR="00517F71" w:rsidRDefault="00517F71">
      <w:pPr>
        <w:pBdr>
          <w:top w:val="nil"/>
          <w:left w:val="nil"/>
          <w:bottom w:val="nil"/>
          <w:right w:val="nil"/>
          <w:between w:val="nil"/>
        </w:pBdr>
        <w:jc w:val="both"/>
        <w:rPr>
          <w:rFonts w:ascii="Roboto" w:eastAsia="Roboto" w:hAnsi="Roboto" w:cs="Roboto"/>
          <w:b/>
          <w:bCs/>
          <w:color w:val="000000"/>
          <w:sz w:val="20"/>
          <w:szCs w:val="20"/>
        </w:rPr>
      </w:pPr>
    </w:p>
    <w:p w14:paraId="0BAC6D85" w14:textId="750EC215" w:rsidR="007E36FD" w:rsidRDefault="00517F71">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1F77CBE0" w14:textId="51D51FE0" w:rsidR="00517F71" w:rsidRPr="00517F71" w:rsidRDefault="00517F71" w:rsidP="00517F71">
      <w:p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La investigación se desarrolla bajo un enfoque cualitativo, de carácter analítico e interdisciplinario. El tipo de estudio es documental, sustentado en la revisión de fuentes académicas, instrumentos jurídicos internacionales y reportes de organismos multilaterales.</w:t>
      </w:r>
    </w:p>
    <w:p w14:paraId="70F23D69" w14:textId="50D92BDA" w:rsidR="007E36FD" w:rsidRDefault="00517F71" w:rsidP="00517F71">
      <w:pPr>
        <w:pBdr>
          <w:top w:val="nil"/>
          <w:left w:val="nil"/>
          <w:bottom w:val="nil"/>
          <w:right w:val="nil"/>
          <w:between w:val="nil"/>
        </w:pBdr>
        <w:jc w:val="both"/>
        <w:rPr>
          <w:rFonts w:ascii="Roboto" w:eastAsia="Roboto" w:hAnsi="Roboto" w:cs="Roboto"/>
          <w:color w:val="000000"/>
          <w:sz w:val="20"/>
          <w:szCs w:val="20"/>
        </w:rPr>
      </w:pPr>
      <w:r w:rsidRPr="00517F71">
        <w:rPr>
          <w:rFonts w:ascii="Roboto" w:eastAsia="Roboto" w:hAnsi="Roboto" w:cs="Roboto"/>
          <w:color w:val="000000"/>
          <w:sz w:val="20"/>
          <w:szCs w:val="20"/>
        </w:rPr>
        <w:t>Se emplean dos métodos principales: el análisis teórico-conceptual, para examinar las categorías de paz, guerra, geopolítica y dignidad humana; y el estudio de caso comparado, aplicado a los conflictos entre Rusia y Ucrania, Irán–Israel–Estados Unidos y Venezuela–Estados Unidos. De manera complementaria, se incorpora un enfoque fenomenológico orientado a comprender el impacto de estos conflictos en la vida de las personas, particularmente en términos de vulneración de derechos y deterioro de condiciones de vida (Nussbaum, 2011).</w:t>
      </w:r>
    </w:p>
    <w:p w14:paraId="28F74CA9" w14:textId="77777777" w:rsidR="007E36FD" w:rsidRDefault="007E36FD">
      <w:pPr>
        <w:jc w:val="both"/>
        <w:rPr>
          <w:rFonts w:ascii="Roboto" w:eastAsia="Roboto" w:hAnsi="Roboto" w:cs="Roboto"/>
          <w:sz w:val="20"/>
          <w:szCs w:val="20"/>
        </w:rPr>
      </w:pPr>
    </w:p>
    <w:p w14:paraId="3244B65A" w14:textId="7778F4BF" w:rsidR="007E36FD" w:rsidRDefault="0070147C">
      <w:pPr>
        <w:jc w:val="both"/>
        <w:rPr>
          <w:rFonts w:ascii="Roboto" w:eastAsia="Roboto" w:hAnsi="Roboto" w:cs="Roboto"/>
          <w:b/>
          <w:bCs/>
          <w:sz w:val="20"/>
          <w:szCs w:val="20"/>
        </w:rPr>
      </w:pPr>
      <w:r>
        <w:rPr>
          <w:rFonts w:ascii="Roboto" w:eastAsia="Roboto" w:hAnsi="Roboto" w:cs="Roboto"/>
          <w:b/>
          <w:bCs/>
          <w:sz w:val="20"/>
          <w:szCs w:val="20"/>
        </w:rPr>
        <w:t>RESULTADOS</w:t>
      </w:r>
    </w:p>
    <w:p w14:paraId="44038804"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El análisis permite identificar, en primer lugar, que la paz sigue siendo entendida predominantemente como ausencia de guerra, lo que limita su alcance en el contexto contemporáneo. En contraste, enfoques como el de Johan Galtung plantean la necesidad de concebir la paz como una construcción positiva, vinculada a la justicia social y al desarrollo humano (Galtung, 1996).</w:t>
      </w:r>
    </w:p>
    <w:p w14:paraId="5685D226"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 xml:space="preserve">En segundo lugar, se observa la persistencia de la geopolítica como lógica dominante en las relaciones internacionales. A pesar del desarrollo del derecho internacional, los Estados continúan privilegiando intereses estratégicos, lo cual se refleja en el incremento del gasto militar global. De acuerdo con el Stockholm International Peace </w:t>
      </w:r>
      <w:proofErr w:type="spellStart"/>
      <w:r w:rsidRPr="0070147C">
        <w:rPr>
          <w:rFonts w:ascii="Roboto" w:eastAsia="Roboto" w:hAnsi="Roboto" w:cs="Roboto"/>
          <w:sz w:val="20"/>
          <w:szCs w:val="20"/>
        </w:rPr>
        <w:t>Research</w:t>
      </w:r>
      <w:proofErr w:type="spellEnd"/>
      <w:r w:rsidRPr="0070147C">
        <w:rPr>
          <w:rFonts w:ascii="Roboto" w:eastAsia="Roboto" w:hAnsi="Roboto" w:cs="Roboto"/>
          <w:sz w:val="20"/>
          <w:szCs w:val="20"/>
        </w:rPr>
        <w:t xml:space="preserve"> </w:t>
      </w:r>
      <w:proofErr w:type="spellStart"/>
      <w:r w:rsidRPr="0070147C">
        <w:rPr>
          <w:rFonts w:ascii="Roboto" w:eastAsia="Roboto" w:hAnsi="Roboto" w:cs="Roboto"/>
          <w:sz w:val="20"/>
          <w:szCs w:val="20"/>
        </w:rPr>
        <w:t>Institute</w:t>
      </w:r>
      <w:proofErr w:type="spellEnd"/>
      <w:r w:rsidRPr="0070147C">
        <w:rPr>
          <w:rFonts w:ascii="Roboto" w:eastAsia="Roboto" w:hAnsi="Roboto" w:cs="Roboto"/>
          <w:sz w:val="20"/>
          <w:szCs w:val="20"/>
        </w:rPr>
        <w:t>, el gasto militar mundial ha alcanzado niveles históricos, evidenciando una creciente militarización del sistema internacional (SIPRI, 2025).</w:t>
      </w:r>
    </w:p>
    <w:p w14:paraId="66DBEDB2" w14:textId="738E5E5E"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 xml:space="preserve">En tercer lugar, los conflictos analizados evidencian una vulneración sistemática de la dignidad humana. En la guerra entre Rusia y Ucrania, la población civil ha sido </w:t>
      </w:r>
      <w:r w:rsidRPr="0070147C">
        <w:rPr>
          <w:rFonts w:ascii="Roboto" w:eastAsia="Roboto" w:hAnsi="Roboto" w:cs="Roboto"/>
          <w:sz w:val="20"/>
          <w:szCs w:val="20"/>
        </w:rPr>
        <w:lastRenderedPageBreak/>
        <w:t>gravemente afectada por ataques directos, desplazamientos y crisis humanitarias prolongadas (OHCHR, 2025). De manera similar, las tensiones entre Irán, Israel y Estados Unidos reflejan una lógica de confrontación que incrementa el riesgo de escalamiento y genera consecuencias humanitarias significativas. En el caso de Venezuela y Estados Unidos, las tensiones geopolíticas se manifiestan mediante mecanismos indirectos, como sanciones económicas, que impactan en el bienestar de la población</w:t>
      </w:r>
      <w:r>
        <w:rPr>
          <w:rFonts w:ascii="Roboto" w:eastAsia="Roboto" w:hAnsi="Roboto" w:cs="Roboto"/>
          <w:sz w:val="20"/>
          <w:szCs w:val="20"/>
        </w:rPr>
        <w:t xml:space="preserve"> e intervenciones directas como la extracción del titular del ejecutivo del territorio nacional y su posterior procesamiento en tribunales norteamericanos</w:t>
      </w:r>
      <w:r w:rsidRPr="0070147C">
        <w:rPr>
          <w:rFonts w:ascii="Roboto" w:eastAsia="Roboto" w:hAnsi="Roboto" w:cs="Roboto"/>
          <w:sz w:val="20"/>
          <w:szCs w:val="20"/>
        </w:rPr>
        <w:t>.</w:t>
      </w:r>
    </w:p>
    <w:p w14:paraId="11147510" w14:textId="1E3AA31A" w:rsidR="007E36FD" w:rsidRDefault="0070147C" w:rsidP="0070147C">
      <w:pPr>
        <w:jc w:val="both"/>
        <w:rPr>
          <w:rFonts w:ascii="Roboto" w:eastAsia="Roboto" w:hAnsi="Roboto" w:cs="Roboto"/>
          <w:sz w:val="20"/>
          <w:szCs w:val="20"/>
        </w:rPr>
      </w:pPr>
      <w:r w:rsidRPr="0070147C">
        <w:rPr>
          <w:rFonts w:ascii="Roboto" w:eastAsia="Roboto" w:hAnsi="Roboto" w:cs="Roboto"/>
          <w:sz w:val="20"/>
          <w:szCs w:val="20"/>
        </w:rPr>
        <w:t>Finalmente, se identifican límites estructurales en el derecho internacional y en los organismos multilaterales. Como señala Bobbio (1991), el derecho internacional carece de mecanismos coercitivos plenamente eficaces, lo que limita su capacidad de respuesta frente a conflictos donde predominan intereses estratégicos.</w:t>
      </w:r>
    </w:p>
    <w:p w14:paraId="58DB9C89" w14:textId="77777777" w:rsidR="007E36FD" w:rsidRDefault="007E36FD">
      <w:pPr>
        <w:jc w:val="both"/>
        <w:rPr>
          <w:rFonts w:ascii="Roboto" w:eastAsia="Roboto" w:hAnsi="Roboto" w:cs="Roboto"/>
          <w:sz w:val="20"/>
          <w:szCs w:val="20"/>
        </w:rPr>
      </w:pPr>
    </w:p>
    <w:p w14:paraId="233A9535" w14:textId="3A97C000" w:rsidR="0070147C" w:rsidRDefault="0070147C" w:rsidP="0070147C">
      <w:pPr>
        <w:jc w:val="both"/>
        <w:rPr>
          <w:rFonts w:ascii="Roboto" w:eastAsia="Roboto" w:hAnsi="Roboto" w:cs="Roboto"/>
          <w:b/>
          <w:bCs/>
          <w:sz w:val="20"/>
          <w:szCs w:val="20"/>
        </w:rPr>
      </w:pPr>
      <w:r>
        <w:rPr>
          <w:rFonts w:ascii="Roboto" w:eastAsia="Roboto" w:hAnsi="Roboto" w:cs="Roboto"/>
          <w:b/>
          <w:bCs/>
          <w:sz w:val="20"/>
          <w:szCs w:val="20"/>
        </w:rPr>
        <w:t>DISCUSIÓN</w:t>
      </w:r>
    </w:p>
    <w:p w14:paraId="4A0E2891"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Los resultados permiten sostener que la crisis contemporánea de la paz es de carácter estructural. La persistencia de la lógica del poder, aunada a la insuficiencia del derecho internacional, configura un escenario en el que la dignidad humana se ve constantemente vulnerada.</w:t>
      </w:r>
    </w:p>
    <w:p w14:paraId="1C372728"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Desde una perspectiva teórica, la tensión entre una visión geopolítica centrada en el poder y una visión humanista centrada en la persona se vuelve evidente. Autores como Hannah Arendt advierten que la violencia, cuando se convierte en instrumento de la política, erosiona las bases mismas de la convivencia social (Arendt, 2006).</w:t>
      </w:r>
    </w:p>
    <w:p w14:paraId="0E25D479" w14:textId="0AE5F344" w:rsid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En este sentido, reconstruir la paz desde la persona implica replantear el paradigma de la seguridad internacional. No se trata únicamente de evitar la guerra, sino de garantizar condiciones de vida dignas, donde la persona sea el eje del orden internacional. Esta perspectiva encuentra sustento en enfoques contemporáneos como el desarrollo humano, que colocan a la dignidad como núcleo de la acción política (UNDP, 2024).</w:t>
      </w:r>
    </w:p>
    <w:p w14:paraId="38FA871C" w14:textId="77777777" w:rsidR="0070147C" w:rsidRDefault="0070147C">
      <w:pPr>
        <w:jc w:val="both"/>
        <w:rPr>
          <w:rFonts w:ascii="Roboto" w:eastAsia="Roboto" w:hAnsi="Roboto" w:cs="Roboto"/>
          <w:sz w:val="20"/>
          <w:szCs w:val="20"/>
        </w:rPr>
      </w:pPr>
    </w:p>
    <w:p w14:paraId="22638E3A" w14:textId="69FDB118" w:rsidR="0070147C" w:rsidRPr="0070147C" w:rsidRDefault="0070147C">
      <w:pPr>
        <w:jc w:val="both"/>
        <w:rPr>
          <w:rFonts w:ascii="Roboto" w:eastAsia="Roboto" w:hAnsi="Roboto" w:cs="Roboto"/>
          <w:b/>
          <w:bCs/>
          <w:sz w:val="20"/>
          <w:szCs w:val="20"/>
        </w:rPr>
      </w:pPr>
      <w:r w:rsidRPr="0070147C">
        <w:rPr>
          <w:rFonts w:ascii="Roboto" w:eastAsia="Roboto" w:hAnsi="Roboto" w:cs="Roboto"/>
          <w:b/>
          <w:bCs/>
          <w:sz w:val="20"/>
          <w:szCs w:val="20"/>
        </w:rPr>
        <w:t>CONCLUSIONES</w:t>
      </w:r>
    </w:p>
    <w:p w14:paraId="0C3E460C"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La investigación permite concluir que la paz en el siglo XXI no puede ser reducida a la ausencia de guerra ni al equilibrio de poder. Los conflictos contemporáneos evidencian que la geopolítica, cuando se desvincula de la dignidad humana, genera escenarios de profunda vulnerabilidad para la población civil.</w:t>
      </w:r>
    </w:p>
    <w:p w14:paraId="4C11DF4C"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Asimismo, se confirma que el derecho internacional, aunque indispensable, enfrenta limitaciones estructurales para garantizar la protección efectiva de los derechos humanos en contextos de guerra. Ante ello, resulta necesario replantear la paz desde una perspectiva interdisciplinaria que integre dimensiones éticas, jurídicas y políticas.</w:t>
      </w:r>
    </w:p>
    <w:p w14:paraId="7451DDB4" w14:textId="64B05580" w:rsid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Finalmente, la reconstrucción de la paz desde la persona se presenta como una exigencia del contexto actual. Colocar a la dignidad humana en el centro del análisis no solo permite comprender mejor los efectos de la guerra, sino también orientar la construcción de un orden internacional más justo, estable y humano.</w:t>
      </w:r>
    </w:p>
    <w:p w14:paraId="0E84992D" w14:textId="77777777" w:rsidR="0070147C" w:rsidRDefault="0070147C">
      <w:pPr>
        <w:jc w:val="both"/>
        <w:rPr>
          <w:rFonts w:ascii="Roboto" w:eastAsia="Roboto" w:hAnsi="Roboto" w:cs="Roboto"/>
          <w:sz w:val="20"/>
          <w:szCs w:val="20"/>
        </w:rPr>
      </w:pPr>
    </w:p>
    <w:p w14:paraId="7C1116AC" w14:textId="63E34971" w:rsidR="007E36FD"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14939846" w14:textId="77777777" w:rsidR="0070147C" w:rsidRDefault="0070147C">
      <w:pPr>
        <w:rPr>
          <w:rFonts w:ascii="Roboto" w:eastAsia="Roboto" w:hAnsi="Roboto" w:cs="Roboto"/>
          <w:sz w:val="20"/>
          <w:szCs w:val="20"/>
        </w:rPr>
      </w:pPr>
    </w:p>
    <w:p w14:paraId="1F47640F"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 xml:space="preserve">Arendt, H. (2006). </w:t>
      </w:r>
      <w:r w:rsidRPr="0070147C">
        <w:rPr>
          <w:rFonts w:ascii="Roboto" w:eastAsia="Roboto" w:hAnsi="Roboto" w:cs="Roboto"/>
          <w:i/>
          <w:iCs/>
          <w:sz w:val="20"/>
          <w:szCs w:val="20"/>
        </w:rPr>
        <w:t>Sobre la violencia</w:t>
      </w:r>
      <w:r w:rsidRPr="0070147C">
        <w:rPr>
          <w:rFonts w:ascii="Roboto" w:eastAsia="Roboto" w:hAnsi="Roboto" w:cs="Roboto"/>
          <w:sz w:val="20"/>
          <w:szCs w:val="20"/>
        </w:rPr>
        <w:t>. Alianza Editorial.</w:t>
      </w:r>
    </w:p>
    <w:p w14:paraId="10D66739" w14:textId="77777777"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rPr>
        <w:t xml:space="preserve">Bobbio, N. (1991). </w:t>
      </w:r>
      <w:r w:rsidRPr="0070147C">
        <w:rPr>
          <w:rFonts w:ascii="Roboto" w:eastAsia="Roboto" w:hAnsi="Roboto" w:cs="Roboto"/>
          <w:i/>
          <w:iCs/>
          <w:sz w:val="20"/>
          <w:szCs w:val="20"/>
        </w:rPr>
        <w:t>El problema de la guerra y las vías de la paz</w:t>
      </w:r>
      <w:r w:rsidRPr="0070147C">
        <w:rPr>
          <w:rFonts w:ascii="Roboto" w:eastAsia="Roboto" w:hAnsi="Roboto" w:cs="Roboto"/>
          <w:sz w:val="20"/>
          <w:szCs w:val="20"/>
        </w:rPr>
        <w:t xml:space="preserve">. </w:t>
      </w:r>
      <w:proofErr w:type="spellStart"/>
      <w:r w:rsidRPr="0070147C">
        <w:rPr>
          <w:rFonts w:ascii="Roboto" w:eastAsia="Roboto" w:hAnsi="Roboto" w:cs="Roboto"/>
          <w:sz w:val="20"/>
          <w:szCs w:val="20"/>
          <w:lang w:val="en-US"/>
        </w:rPr>
        <w:t>Gedisa</w:t>
      </w:r>
      <w:proofErr w:type="spellEnd"/>
      <w:r w:rsidRPr="0070147C">
        <w:rPr>
          <w:rFonts w:ascii="Roboto" w:eastAsia="Roboto" w:hAnsi="Roboto" w:cs="Roboto"/>
          <w:sz w:val="20"/>
          <w:szCs w:val="20"/>
          <w:lang w:val="en-US"/>
        </w:rPr>
        <w:t>.</w:t>
      </w:r>
    </w:p>
    <w:p w14:paraId="0C42AC09" w14:textId="77777777"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lang w:val="en-US"/>
        </w:rPr>
        <w:t xml:space="preserve">Galtung, J. (1996). </w:t>
      </w:r>
      <w:r w:rsidRPr="0070147C">
        <w:rPr>
          <w:rFonts w:ascii="Roboto" w:eastAsia="Roboto" w:hAnsi="Roboto" w:cs="Roboto"/>
          <w:i/>
          <w:iCs/>
          <w:sz w:val="20"/>
          <w:szCs w:val="20"/>
          <w:lang w:val="en-US"/>
        </w:rPr>
        <w:t>Peace by peaceful means: Peace and conflict, development and civilization</w:t>
      </w:r>
      <w:r w:rsidRPr="0070147C">
        <w:rPr>
          <w:rFonts w:ascii="Roboto" w:eastAsia="Roboto" w:hAnsi="Roboto" w:cs="Roboto"/>
          <w:sz w:val="20"/>
          <w:szCs w:val="20"/>
          <w:lang w:val="en-US"/>
        </w:rPr>
        <w:t>. Sage Publications.</w:t>
      </w:r>
    </w:p>
    <w:p w14:paraId="74CE7CD4" w14:textId="77777777"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lang w:val="en-US"/>
        </w:rPr>
        <w:t xml:space="preserve">Morgenthau, H. J. (2006). </w:t>
      </w:r>
      <w:r w:rsidRPr="0070147C">
        <w:rPr>
          <w:rFonts w:ascii="Roboto" w:eastAsia="Roboto" w:hAnsi="Roboto" w:cs="Roboto"/>
          <w:i/>
          <w:iCs/>
          <w:sz w:val="20"/>
          <w:szCs w:val="20"/>
          <w:lang w:val="en-US"/>
        </w:rPr>
        <w:t>Politics among nations: The struggle for power and peace</w:t>
      </w:r>
      <w:r w:rsidRPr="0070147C">
        <w:rPr>
          <w:rFonts w:ascii="Roboto" w:eastAsia="Roboto" w:hAnsi="Roboto" w:cs="Roboto"/>
          <w:sz w:val="20"/>
          <w:szCs w:val="20"/>
          <w:lang w:val="en-US"/>
        </w:rPr>
        <w:t xml:space="preserve"> (7ª ed.). McGraw-Hill.</w:t>
      </w:r>
    </w:p>
    <w:p w14:paraId="3097CD9F"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lang w:val="en-US"/>
        </w:rPr>
        <w:t xml:space="preserve">Nussbaum, M. (2011). </w:t>
      </w:r>
      <w:r w:rsidRPr="0070147C">
        <w:rPr>
          <w:rFonts w:ascii="Roboto" w:eastAsia="Roboto" w:hAnsi="Roboto" w:cs="Roboto"/>
          <w:i/>
          <w:iCs/>
          <w:sz w:val="20"/>
          <w:szCs w:val="20"/>
          <w:lang w:val="en-US"/>
        </w:rPr>
        <w:t>Creating capabilities: The human development approach</w:t>
      </w:r>
      <w:r w:rsidRPr="0070147C">
        <w:rPr>
          <w:rFonts w:ascii="Roboto" w:eastAsia="Roboto" w:hAnsi="Roboto" w:cs="Roboto"/>
          <w:sz w:val="20"/>
          <w:szCs w:val="20"/>
          <w:lang w:val="en-US"/>
        </w:rPr>
        <w:t xml:space="preserve">. </w:t>
      </w:r>
      <w:r w:rsidRPr="0070147C">
        <w:rPr>
          <w:rFonts w:ascii="Roboto" w:eastAsia="Roboto" w:hAnsi="Roboto" w:cs="Roboto"/>
          <w:sz w:val="20"/>
          <w:szCs w:val="20"/>
        </w:rPr>
        <w:t xml:space="preserve">Harvard </w:t>
      </w:r>
      <w:proofErr w:type="spellStart"/>
      <w:r w:rsidRPr="0070147C">
        <w:rPr>
          <w:rFonts w:ascii="Roboto" w:eastAsia="Roboto" w:hAnsi="Roboto" w:cs="Roboto"/>
          <w:sz w:val="20"/>
          <w:szCs w:val="20"/>
        </w:rPr>
        <w:t>University</w:t>
      </w:r>
      <w:proofErr w:type="spellEnd"/>
      <w:r w:rsidRPr="0070147C">
        <w:rPr>
          <w:rFonts w:ascii="Roboto" w:eastAsia="Roboto" w:hAnsi="Roboto" w:cs="Roboto"/>
          <w:sz w:val="20"/>
          <w:szCs w:val="20"/>
        </w:rPr>
        <w:t xml:space="preserve"> Press.</w:t>
      </w:r>
    </w:p>
    <w:p w14:paraId="4AB8294C" w14:textId="77777777" w:rsidR="0070147C" w:rsidRPr="0070147C" w:rsidRDefault="0070147C" w:rsidP="0070147C">
      <w:pPr>
        <w:jc w:val="both"/>
        <w:rPr>
          <w:rFonts w:ascii="Roboto" w:eastAsia="Roboto" w:hAnsi="Roboto" w:cs="Roboto"/>
          <w:sz w:val="20"/>
          <w:szCs w:val="20"/>
        </w:rPr>
      </w:pPr>
      <w:r w:rsidRPr="0070147C">
        <w:rPr>
          <w:rFonts w:ascii="Roboto" w:eastAsia="Roboto" w:hAnsi="Roboto" w:cs="Roboto"/>
          <w:sz w:val="20"/>
          <w:szCs w:val="20"/>
        </w:rPr>
        <w:t xml:space="preserve">Organización de las Naciones Unidas. (1945). </w:t>
      </w:r>
      <w:r w:rsidRPr="0070147C">
        <w:rPr>
          <w:rFonts w:ascii="Roboto" w:eastAsia="Roboto" w:hAnsi="Roboto" w:cs="Roboto"/>
          <w:i/>
          <w:iCs/>
          <w:sz w:val="20"/>
          <w:szCs w:val="20"/>
        </w:rPr>
        <w:t>Carta de las Naciones Unidas</w:t>
      </w:r>
      <w:r w:rsidRPr="0070147C">
        <w:rPr>
          <w:rFonts w:ascii="Roboto" w:eastAsia="Roboto" w:hAnsi="Roboto" w:cs="Roboto"/>
          <w:sz w:val="20"/>
          <w:szCs w:val="20"/>
        </w:rPr>
        <w:t xml:space="preserve">. </w:t>
      </w:r>
      <w:hyperlink r:id="rId10" w:tgtFrame="_new" w:history="1">
        <w:r w:rsidRPr="0070147C">
          <w:rPr>
            <w:rStyle w:val="Hipervnculo"/>
            <w:rFonts w:ascii="Roboto" w:eastAsia="Roboto" w:hAnsi="Roboto" w:cs="Roboto"/>
            <w:sz w:val="20"/>
            <w:szCs w:val="20"/>
          </w:rPr>
          <w:t>https://www.un.org/es/about-us/un-charter</w:t>
        </w:r>
      </w:hyperlink>
    </w:p>
    <w:p w14:paraId="16152EF7" w14:textId="05E10C2C"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rPr>
        <w:t xml:space="preserve">Oficina del Alto Comisionado de las Naciones Unidas para los Derechos Humanos (OHCHR). </w:t>
      </w:r>
      <w:r w:rsidRPr="0070147C">
        <w:rPr>
          <w:rFonts w:ascii="Roboto" w:eastAsia="Roboto" w:hAnsi="Roboto" w:cs="Roboto"/>
          <w:sz w:val="20"/>
          <w:szCs w:val="20"/>
          <w:lang w:val="en-US"/>
        </w:rPr>
        <w:t xml:space="preserve">(2025). </w:t>
      </w:r>
      <w:r w:rsidRPr="0070147C">
        <w:rPr>
          <w:rFonts w:ascii="Roboto" w:eastAsia="Roboto" w:hAnsi="Roboto" w:cs="Roboto"/>
          <w:i/>
          <w:iCs/>
          <w:sz w:val="20"/>
          <w:szCs w:val="20"/>
          <w:lang w:val="en-US"/>
        </w:rPr>
        <w:t>Report on the human rights situation in Ukraine</w:t>
      </w:r>
      <w:r w:rsidRPr="0070147C">
        <w:rPr>
          <w:rFonts w:ascii="Roboto" w:eastAsia="Roboto" w:hAnsi="Roboto" w:cs="Roboto"/>
          <w:sz w:val="20"/>
          <w:szCs w:val="20"/>
          <w:lang w:val="en-US"/>
        </w:rPr>
        <w:t xml:space="preserve">. </w:t>
      </w:r>
      <w:hyperlink r:id="rId11" w:history="1">
        <w:r w:rsidRPr="00D318E1">
          <w:rPr>
            <w:rStyle w:val="Hipervnculo"/>
            <w:rFonts w:ascii="Roboto" w:eastAsia="Roboto" w:hAnsi="Roboto" w:cs="Roboto"/>
            <w:sz w:val="20"/>
            <w:szCs w:val="20"/>
            <w:lang w:val="en-US"/>
          </w:rPr>
          <w:t>https://www.ohchr.org/es/statements-and-speeches/2023/10/ukraine-human-rights-update</w:t>
        </w:r>
      </w:hyperlink>
      <w:r>
        <w:rPr>
          <w:rFonts w:ascii="Roboto" w:eastAsia="Roboto" w:hAnsi="Roboto" w:cs="Roboto"/>
          <w:sz w:val="20"/>
          <w:szCs w:val="20"/>
          <w:lang w:val="en-US"/>
        </w:rPr>
        <w:t xml:space="preserve"> </w:t>
      </w:r>
    </w:p>
    <w:p w14:paraId="45B771DA" w14:textId="08BB9FAF"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lang w:val="en-US"/>
        </w:rPr>
        <w:t xml:space="preserve">Stockholm International Peace Research Institute (SIPRI). (2025). </w:t>
      </w:r>
      <w:r w:rsidRPr="0070147C">
        <w:rPr>
          <w:rFonts w:ascii="Roboto" w:eastAsia="Roboto" w:hAnsi="Roboto" w:cs="Roboto"/>
          <w:i/>
          <w:iCs/>
          <w:sz w:val="20"/>
          <w:szCs w:val="20"/>
          <w:lang w:val="en-US"/>
        </w:rPr>
        <w:t>Trends in world military expenditure 2024</w:t>
      </w:r>
      <w:r w:rsidRPr="0070147C">
        <w:rPr>
          <w:rFonts w:ascii="Roboto" w:eastAsia="Roboto" w:hAnsi="Roboto" w:cs="Roboto"/>
          <w:sz w:val="20"/>
          <w:szCs w:val="20"/>
          <w:lang w:val="en-US"/>
        </w:rPr>
        <w:t xml:space="preserve">. </w:t>
      </w:r>
      <w:hyperlink r:id="rId12" w:history="1">
        <w:r w:rsidR="000A5F7A" w:rsidRPr="00D318E1">
          <w:rPr>
            <w:rStyle w:val="Hipervnculo"/>
            <w:rFonts w:ascii="Roboto" w:eastAsia="Roboto" w:hAnsi="Roboto" w:cs="Roboto"/>
            <w:sz w:val="20"/>
            <w:szCs w:val="20"/>
            <w:lang w:val="en-US"/>
          </w:rPr>
          <w:t>https://www.sipri.org/publications/2025/sipri-fact-sheets/trends-world-military-expenditure-2024</w:t>
        </w:r>
      </w:hyperlink>
      <w:r w:rsidR="000A5F7A">
        <w:rPr>
          <w:rFonts w:ascii="Roboto" w:eastAsia="Roboto" w:hAnsi="Roboto" w:cs="Roboto"/>
          <w:sz w:val="20"/>
          <w:szCs w:val="20"/>
          <w:lang w:val="en-US"/>
        </w:rPr>
        <w:t xml:space="preserve"> </w:t>
      </w:r>
    </w:p>
    <w:p w14:paraId="299793E9" w14:textId="170FD10E" w:rsidR="0070147C" w:rsidRPr="0070147C" w:rsidRDefault="0070147C" w:rsidP="0070147C">
      <w:pPr>
        <w:jc w:val="both"/>
        <w:rPr>
          <w:rFonts w:ascii="Roboto" w:eastAsia="Roboto" w:hAnsi="Roboto" w:cs="Roboto"/>
          <w:sz w:val="20"/>
          <w:szCs w:val="20"/>
          <w:lang w:val="en-US"/>
        </w:rPr>
      </w:pPr>
      <w:r w:rsidRPr="0070147C">
        <w:rPr>
          <w:rFonts w:ascii="Roboto" w:eastAsia="Roboto" w:hAnsi="Roboto" w:cs="Roboto"/>
          <w:sz w:val="20"/>
          <w:szCs w:val="20"/>
          <w:lang w:val="en-US"/>
        </w:rPr>
        <w:t xml:space="preserve">United Nations Development </w:t>
      </w:r>
      <w:proofErr w:type="spellStart"/>
      <w:r w:rsidRPr="0070147C">
        <w:rPr>
          <w:rFonts w:ascii="Roboto" w:eastAsia="Roboto" w:hAnsi="Roboto" w:cs="Roboto"/>
          <w:sz w:val="20"/>
          <w:szCs w:val="20"/>
          <w:lang w:val="en-US"/>
        </w:rPr>
        <w:t>Programme</w:t>
      </w:r>
      <w:proofErr w:type="spellEnd"/>
      <w:r w:rsidRPr="0070147C">
        <w:rPr>
          <w:rFonts w:ascii="Roboto" w:eastAsia="Roboto" w:hAnsi="Roboto" w:cs="Roboto"/>
          <w:sz w:val="20"/>
          <w:szCs w:val="20"/>
          <w:lang w:val="en-US"/>
        </w:rPr>
        <w:t xml:space="preserve"> (UNDP). (2024). </w:t>
      </w:r>
      <w:r w:rsidRPr="0070147C">
        <w:rPr>
          <w:rFonts w:ascii="Roboto" w:eastAsia="Roboto" w:hAnsi="Roboto" w:cs="Roboto"/>
          <w:i/>
          <w:iCs/>
          <w:sz w:val="20"/>
          <w:szCs w:val="20"/>
          <w:lang w:val="en-US"/>
        </w:rPr>
        <w:t>Human development report 2023/2024</w:t>
      </w:r>
      <w:r w:rsidRPr="0070147C">
        <w:rPr>
          <w:rFonts w:ascii="Roboto" w:eastAsia="Roboto" w:hAnsi="Roboto" w:cs="Roboto"/>
          <w:sz w:val="20"/>
          <w:szCs w:val="20"/>
          <w:lang w:val="en-US"/>
        </w:rPr>
        <w:t xml:space="preserve">. </w:t>
      </w:r>
      <w:hyperlink r:id="rId13" w:history="1">
        <w:r w:rsidR="000A5F7A" w:rsidRPr="00D318E1">
          <w:rPr>
            <w:rStyle w:val="Hipervnculo"/>
            <w:rFonts w:ascii="Roboto" w:eastAsia="Roboto" w:hAnsi="Roboto" w:cs="Roboto"/>
            <w:sz w:val="20"/>
            <w:szCs w:val="20"/>
            <w:lang w:val="en-US"/>
          </w:rPr>
          <w:t>https://hdr.undp.org/content/human-development-report-2023-24</w:t>
        </w:r>
      </w:hyperlink>
      <w:r w:rsidR="000A5F7A">
        <w:rPr>
          <w:rFonts w:ascii="Roboto" w:eastAsia="Roboto" w:hAnsi="Roboto" w:cs="Roboto"/>
          <w:sz w:val="20"/>
          <w:szCs w:val="20"/>
          <w:lang w:val="en-US"/>
        </w:rPr>
        <w:t xml:space="preserve"> </w:t>
      </w:r>
    </w:p>
    <w:p w14:paraId="56CE0E4F" w14:textId="77777777" w:rsidR="007E36FD" w:rsidRPr="00C87F1D" w:rsidRDefault="007E36FD">
      <w:pPr>
        <w:jc w:val="both"/>
        <w:rPr>
          <w:rFonts w:ascii="Roboto" w:eastAsia="Roboto" w:hAnsi="Roboto" w:cs="Roboto"/>
          <w:sz w:val="20"/>
          <w:szCs w:val="20"/>
          <w:lang w:val="en-US"/>
        </w:rPr>
      </w:pPr>
    </w:p>
    <w:p w14:paraId="3A07C68A" w14:textId="77777777" w:rsidR="007E36FD" w:rsidRPr="00C87F1D" w:rsidRDefault="007E36FD">
      <w:pPr>
        <w:jc w:val="both"/>
        <w:rPr>
          <w:rFonts w:ascii="Roboto" w:eastAsia="Roboto" w:hAnsi="Roboto" w:cs="Roboto"/>
          <w:sz w:val="20"/>
          <w:szCs w:val="20"/>
          <w:lang w:val="en-US"/>
        </w:rPr>
      </w:pPr>
    </w:p>
    <w:p w14:paraId="57586DCE" w14:textId="77777777" w:rsidR="007E36FD" w:rsidRPr="00C87F1D" w:rsidRDefault="007E36FD">
      <w:pPr>
        <w:jc w:val="both"/>
        <w:rPr>
          <w:rFonts w:ascii="Roboto" w:eastAsia="Roboto" w:hAnsi="Roboto" w:cs="Roboto"/>
          <w:sz w:val="20"/>
          <w:szCs w:val="20"/>
          <w:lang w:val="en-US"/>
        </w:rPr>
        <w:sectPr w:rsidR="007E36FD" w:rsidRPr="00C87F1D">
          <w:type w:val="continuous"/>
          <w:pgSz w:w="11906" w:h="16838"/>
          <w:pgMar w:top="1134" w:right="851" w:bottom="1134" w:left="851" w:header="357" w:footer="720" w:gutter="0"/>
          <w:cols w:num="2" w:space="720" w:equalWidth="0">
            <w:col w:w="4934" w:space="335"/>
            <w:col w:w="4934" w:space="0"/>
          </w:cols>
        </w:sectPr>
      </w:pPr>
    </w:p>
    <w:p w14:paraId="76795139" w14:textId="77777777" w:rsidR="007E36FD" w:rsidRDefault="00000000">
      <w:pPr>
        <w:spacing w:before="240"/>
        <w:jc w:val="center"/>
        <w:rPr>
          <w:rFonts w:ascii="Roboto" w:eastAsia="Roboto" w:hAnsi="Roboto" w:cs="Roboto"/>
          <w:b/>
          <w:bCs/>
          <w:color w:val="FF0000"/>
          <w:sz w:val="20"/>
          <w:szCs w:val="20"/>
        </w:rPr>
      </w:pPr>
      <w:r w:rsidRPr="00C87F1D">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14:paraId="272DEC4C" w14:textId="77777777" w:rsidR="007E36FD"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7CEEB5D" w14:textId="77777777" w:rsidR="007E36FD"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48281AC3"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45978BB9"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1D80CB9"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86D1137"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B3A360F"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338B771"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1E2234D"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5B70EBC1" w14:textId="77777777" w:rsidR="007E36F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16114075" w14:textId="77777777" w:rsidR="007E36F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EE27DDB" w14:textId="77777777" w:rsidR="007E36F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202FA9F" w14:textId="77777777" w:rsidR="007E36FD"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07558B38"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7CA9492"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1B28BD8" w14:textId="77777777" w:rsidR="007E36F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29AB990A" w14:textId="77777777" w:rsidR="007E36F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71AD79F" w14:textId="77777777" w:rsidR="007E36FD"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1BCEB113"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36BF639"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FD1DE1F" w14:textId="77777777" w:rsidR="007E36F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714316F0" w14:textId="77777777"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5D3E090" w14:textId="39BDA809" w:rsidR="007E36FD" w:rsidRDefault="00000000">
      <w:pPr>
        <w:spacing w:before="240" w:after="240"/>
        <w:jc w:val="both"/>
        <w:rPr>
          <w:rFonts w:ascii="Roboto" w:eastAsia="Roboto" w:hAnsi="Roboto" w:cs="Roboto"/>
          <w:sz w:val="20"/>
          <w:szCs w:val="20"/>
        </w:rPr>
      </w:pPr>
      <w:r>
        <w:rPr>
          <w:rFonts w:ascii="Roboto" w:eastAsia="Roboto" w:hAnsi="Roboto" w:cs="Roboto"/>
          <w:sz w:val="20"/>
          <w:szCs w:val="20"/>
        </w:rPr>
        <w:t>Declaro que he leído y acepto los términos de esta declaración y autorización de publicación.</w:t>
      </w:r>
      <w:r w:rsidR="000A5F7A">
        <w:rPr>
          <w:rFonts w:ascii="Roboto" w:eastAsia="Roboto" w:hAnsi="Roboto" w:cs="Roboto"/>
          <w:sz w:val="20"/>
          <w:szCs w:val="20"/>
        </w:rPr>
        <w:t xml:space="preserve"> - X</w:t>
      </w:r>
    </w:p>
    <w:p w14:paraId="5B2033DA" w14:textId="77777777" w:rsidR="000A5F7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w:t>
      </w:r>
      <w:r w:rsidR="000A5F7A">
        <w:rPr>
          <w:rFonts w:ascii="Roboto" w:eastAsia="Roboto" w:hAnsi="Roboto" w:cs="Roboto"/>
          <w:b/>
          <w:bCs/>
          <w:sz w:val="20"/>
          <w:szCs w:val="20"/>
        </w:rPr>
        <w:t xml:space="preserve"> Dr. Ángel Daniel Torruco González.</w:t>
      </w:r>
    </w:p>
    <w:p w14:paraId="6B326869" w14:textId="77777777" w:rsidR="000A5F7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t>Institución:</w:t>
      </w:r>
      <w:r w:rsidR="000A5F7A">
        <w:rPr>
          <w:rFonts w:ascii="Roboto" w:eastAsia="Roboto" w:hAnsi="Roboto" w:cs="Roboto"/>
          <w:b/>
          <w:bCs/>
          <w:sz w:val="20"/>
          <w:szCs w:val="20"/>
        </w:rPr>
        <w:t xml:space="preserve"> Universidad Anáhuac Mayab.</w:t>
      </w:r>
    </w:p>
    <w:p w14:paraId="1C5AB308" w14:textId="72EF4B73" w:rsidR="007E36FD" w:rsidRPr="000A5F7A"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Título del trabajo con autores:</w:t>
      </w:r>
      <w:r w:rsidR="000A5F7A">
        <w:rPr>
          <w:rFonts w:ascii="Roboto" w:eastAsia="Roboto" w:hAnsi="Roboto" w:cs="Roboto"/>
          <w:b/>
          <w:bCs/>
          <w:sz w:val="20"/>
          <w:szCs w:val="20"/>
        </w:rPr>
        <w:t xml:space="preserve"> </w:t>
      </w:r>
      <w:r w:rsidR="000A5F7A" w:rsidRPr="000A5F7A">
        <w:rPr>
          <w:rFonts w:ascii="Roboto" w:eastAsia="Roboto" w:hAnsi="Roboto" w:cs="Roboto"/>
          <w:b/>
          <w:bCs/>
          <w:sz w:val="20"/>
          <w:szCs w:val="20"/>
        </w:rPr>
        <w:t>Reconstruir la paz desde la persona en un mundo en crisis: Geopolítica, guerra y dignidad humana en el siglo XXI</w:t>
      </w:r>
      <w:r w:rsidR="000A5F7A">
        <w:rPr>
          <w:rFonts w:ascii="Roboto" w:eastAsia="Roboto" w:hAnsi="Roboto" w:cs="Roboto"/>
          <w:b/>
          <w:bCs/>
          <w:sz w:val="20"/>
          <w:szCs w:val="20"/>
        </w:rPr>
        <w:t>. Dr. Ángel Daniel Torruco González.</w:t>
      </w:r>
    </w:p>
    <w:sectPr w:rsidR="007E36FD" w:rsidRPr="000A5F7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AEB91" w14:textId="77777777" w:rsidR="006F14E1" w:rsidRDefault="006F14E1">
      <w:r>
        <w:separator/>
      </w:r>
    </w:p>
  </w:endnote>
  <w:endnote w:type="continuationSeparator" w:id="0">
    <w:p w14:paraId="011C9B24" w14:textId="77777777" w:rsidR="006F14E1" w:rsidRDefault="006F1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7BFF4145-D7E9-4E5A-91B8-DF4E7413D1D5}"/>
  </w:font>
  <w:font w:name="Georgia">
    <w:panose1 w:val="02040502050405020303"/>
    <w:charset w:val="00"/>
    <w:family w:val="roman"/>
    <w:pitch w:val="variable"/>
    <w:sig w:usb0="00000287" w:usb1="00000000" w:usb2="00000000" w:usb3="00000000" w:csb0="0000009F" w:csb1="00000000"/>
    <w:embedItalic r:id="rId2" w:fontKey="{86DE9D01-5206-4C7C-93B3-0358B7BD31DD}"/>
  </w:font>
  <w:font w:name="Roboto">
    <w:charset w:val="00"/>
    <w:family w:val="auto"/>
    <w:pitch w:val="variable"/>
    <w:sig w:usb0="E0000AFF" w:usb1="5000217F" w:usb2="00000021" w:usb3="00000000" w:csb0="0000019F" w:csb1="00000000"/>
    <w:embedRegular r:id="rId3" w:fontKey="{58ECB2DC-09BD-42BE-B2B0-F8D379A017FD}"/>
    <w:embedBold r:id="rId4" w:fontKey="{5A75AD4E-5DD8-49CB-9BA5-109E9D9E7781}"/>
    <w:embedItalic r:id="rId5" w:fontKey="{C4A2E36A-9904-460B-A2E3-EE0565E85F7E}"/>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embedRegular r:id="rId6" w:fontKey="{C3F76262-8732-4113-8D3E-273ABE667AEF}"/>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79E18D" w14:textId="77777777" w:rsidR="006F14E1" w:rsidRDefault="006F14E1">
      <w:r>
        <w:separator/>
      </w:r>
    </w:p>
  </w:footnote>
  <w:footnote w:type="continuationSeparator" w:id="0">
    <w:p w14:paraId="7CE26AB2" w14:textId="77777777" w:rsidR="006F14E1" w:rsidRDefault="006F1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3E86F" w14:textId="77777777" w:rsidR="007E36FD" w:rsidRDefault="007E36FD">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E36FD" w14:paraId="18244679" w14:textId="77777777">
      <w:trPr>
        <w:trHeight w:val="345"/>
        <w:jc w:val="center"/>
      </w:trPr>
      <w:tc>
        <w:tcPr>
          <w:tcW w:w="6306" w:type="dxa"/>
          <w:vAlign w:val="center"/>
        </w:tcPr>
        <w:p w14:paraId="0038A526" w14:textId="77777777" w:rsidR="007E36FD" w:rsidRDefault="007E36FD">
          <w:pPr>
            <w:jc w:val="center"/>
            <w:rPr>
              <w:i/>
              <w:iCs/>
              <w:sz w:val="18"/>
              <w:szCs w:val="18"/>
            </w:rPr>
          </w:pPr>
        </w:p>
      </w:tc>
    </w:tr>
  </w:tbl>
  <w:p w14:paraId="42B0551E" w14:textId="77777777" w:rsidR="007E36FD" w:rsidRDefault="007E36F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833C9"/>
    <w:multiLevelType w:val="multilevel"/>
    <w:tmpl w:val="A2D2D5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D3569A"/>
    <w:multiLevelType w:val="hybridMultilevel"/>
    <w:tmpl w:val="46664C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FEB5FE3"/>
    <w:multiLevelType w:val="multilevel"/>
    <w:tmpl w:val="9D786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42131159">
    <w:abstractNumId w:val="0"/>
  </w:num>
  <w:num w:numId="2" w16cid:durableId="1592229879">
    <w:abstractNumId w:val="2"/>
  </w:num>
  <w:num w:numId="3" w16cid:durableId="11448577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36FD"/>
    <w:rsid w:val="000A5F7A"/>
    <w:rsid w:val="002F358B"/>
    <w:rsid w:val="004A0765"/>
    <w:rsid w:val="00517F71"/>
    <w:rsid w:val="006F14E1"/>
    <w:rsid w:val="0070147C"/>
    <w:rsid w:val="007E36FD"/>
    <w:rsid w:val="00AD6DF4"/>
    <w:rsid w:val="00C87F1D"/>
    <w:rsid w:val="00E07AC1"/>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E54C3"/>
  <w15:docId w15:val="{356BA625-6D2D-4C20-9FCA-4D3D7A218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517F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angel.torruco@anahuac.mx" TargetMode="External"/><Relationship Id="rId13" Type="http://schemas.openxmlformats.org/officeDocument/2006/relationships/hyperlink" Target="https://hdr.undp.org/content/human-development-report-2023-2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ipri.org/publications/2025/sipri-fact-sheets/trends-world-military-expenditure-202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hchr.org/es/statements-and-speeches/2023/10/ukraine-human-rights-updat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un.org/es/about-us/un-charter"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2273</Words>
  <Characters>10572</Characters>
  <Application>Microsoft Office Word</Application>
  <DocSecurity>0</DocSecurity>
  <Lines>341</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Angel Daniel Torruco González</cp:lastModifiedBy>
  <cp:revision>4</cp:revision>
  <dcterms:created xsi:type="dcterms:W3CDTF">2026-04-01T04:09:00Z</dcterms:created>
  <dcterms:modified xsi:type="dcterms:W3CDTF">2026-04-01T04:10:00Z</dcterms:modified>
</cp:coreProperties>
</file>