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6420F2" w14:textId="4C51D7B6" w:rsidR="00DF5ECA" w:rsidRDefault="00DF5ECA">
      <w:pPr>
        <w:pBdr>
          <w:top w:val="nil"/>
          <w:left w:val="nil"/>
          <w:bottom w:val="nil"/>
          <w:right w:val="nil"/>
          <w:between w:val="nil"/>
        </w:pBdr>
        <w:spacing w:before="120" w:after="120"/>
        <w:jc w:val="center"/>
        <w:rPr>
          <w:rFonts w:ascii="Roboto" w:eastAsia="Roboto" w:hAnsi="Roboto" w:cs="Roboto"/>
          <w:b/>
          <w:bCs/>
          <w:color w:val="000000"/>
        </w:rPr>
      </w:pPr>
      <w:r w:rsidRPr="00DF5ECA">
        <w:rPr>
          <w:rFonts w:ascii="Roboto" w:eastAsia="Roboto" w:hAnsi="Roboto" w:cs="Roboto"/>
          <w:b/>
          <w:bCs/>
          <w:color w:val="000000"/>
        </w:rPr>
        <w:t>El conocimiento profesional del profesorado de educación primaria: un mapa internacional de enfoques, lenguajes y oportunidades de articulación</w:t>
      </w:r>
    </w:p>
    <w:p w14:paraId="40ED084E" w14:textId="25182CF1" w:rsidR="00DF5ECA" w:rsidRDefault="00DF5ECA">
      <w:pPr>
        <w:pBdr>
          <w:top w:val="nil"/>
          <w:left w:val="nil"/>
          <w:bottom w:val="nil"/>
          <w:right w:val="nil"/>
          <w:between w:val="nil"/>
        </w:pBdr>
        <w:jc w:val="center"/>
        <w:rPr>
          <w:rFonts w:ascii="Roboto" w:eastAsia="Roboto" w:hAnsi="Roboto" w:cs="Roboto"/>
          <w:b/>
          <w:bCs/>
          <w:color w:val="000000"/>
          <w:sz w:val="20"/>
          <w:szCs w:val="20"/>
        </w:rPr>
      </w:pPr>
      <w:r w:rsidRPr="00DF5ECA">
        <w:rPr>
          <w:rFonts w:ascii="Roboto" w:eastAsia="Roboto" w:hAnsi="Roboto" w:cs="Roboto"/>
          <w:b/>
          <w:bCs/>
          <w:color w:val="000000"/>
          <w:sz w:val="20"/>
          <w:szCs w:val="20"/>
        </w:rPr>
        <w:t>Santibáñez Gómez, D.</w:t>
      </w:r>
    </w:p>
    <w:p w14:paraId="1AE96DC0" w14:textId="014E4BDD" w:rsidR="00645F96" w:rsidRDefault="00DF5ECA">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rPr>
        <w:t xml:space="preserve">Universidad Finis Terrae, </w:t>
      </w:r>
      <w:hyperlink r:id="rId8" w:history="1">
        <w:r w:rsidR="00AE5D75" w:rsidRPr="00402949">
          <w:rPr>
            <w:rStyle w:val="Hipervnculo"/>
            <w:rFonts w:ascii="Roboto" w:eastAsia="Roboto" w:hAnsi="Roboto" w:cs="Roboto"/>
            <w:sz w:val="18"/>
            <w:szCs w:val="18"/>
          </w:rPr>
          <w:t>https://orcid.org/0000-0001-7840-9138</w:t>
        </w:r>
      </w:hyperlink>
      <w:r w:rsidR="00AE5D75">
        <w:rPr>
          <w:rFonts w:ascii="Roboto" w:eastAsia="Roboto" w:hAnsi="Roboto" w:cs="Roboto"/>
          <w:color w:val="000000"/>
          <w:sz w:val="18"/>
          <w:szCs w:val="18"/>
        </w:rPr>
        <w:t xml:space="preserve"> </w:t>
      </w:r>
    </w:p>
    <w:p w14:paraId="6CC4B6C1" w14:textId="03F94DA5" w:rsidR="00645F96" w:rsidRDefault="00AE5D75">
      <w:pPr>
        <w:jc w:val="center"/>
        <w:rPr>
          <w:rFonts w:ascii="Roboto" w:eastAsia="Roboto" w:hAnsi="Roboto" w:cs="Roboto"/>
          <w:sz w:val="18"/>
          <w:szCs w:val="18"/>
        </w:rPr>
      </w:pPr>
      <w:r>
        <w:rPr>
          <w:rFonts w:ascii="Roboto" w:eastAsia="Roboto" w:hAnsi="Roboto" w:cs="Roboto"/>
          <w:sz w:val="18"/>
          <w:szCs w:val="18"/>
        </w:rPr>
        <w:t>dsantibanez@uft.cl</w:t>
      </w:r>
    </w:p>
    <w:p w14:paraId="51A3FFD3" w14:textId="77777777" w:rsidR="00645F96" w:rsidRDefault="00000000">
      <w:pPr>
        <w:spacing w:before="60"/>
        <w:jc w:val="center"/>
        <w:rPr>
          <w:rFonts w:ascii="Roboto" w:eastAsia="Roboto" w:hAnsi="Roboto" w:cs="Roboto"/>
          <w:sz w:val="18"/>
          <w:szCs w:val="18"/>
        </w:rPr>
        <w:sectPr w:rsidR="00645F96">
          <w:headerReference w:type="default" r:id="rId9"/>
          <w:pgSz w:w="11906" w:h="16838"/>
          <w:pgMar w:top="851" w:right="851" w:bottom="828" w:left="851" w:header="357" w:footer="720" w:gutter="0"/>
          <w:pgNumType w:start="1"/>
          <w:cols w:space="720"/>
        </w:sectPr>
      </w:pPr>
      <w:r>
        <w:pict w14:anchorId="1AAA8656">
          <v:rect id="_x0000_i1025" style="width:0;height:1.5pt" o:hralign="center" o:hrstd="t" o:hr="t" fillcolor="#a0a0a0" stroked="f"/>
        </w:pict>
      </w:r>
    </w:p>
    <w:p w14:paraId="02E963BC" w14:textId="77777777" w:rsidR="00AE5D75" w:rsidRPr="00AE5D75" w:rsidRDefault="00AE5D75" w:rsidP="00AE5D75">
      <w:pPr>
        <w:pBdr>
          <w:top w:val="nil"/>
          <w:left w:val="nil"/>
          <w:bottom w:val="nil"/>
          <w:right w:val="nil"/>
          <w:between w:val="nil"/>
        </w:pBdr>
        <w:jc w:val="both"/>
        <w:rPr>
          <w:rFonts w:ascii="Roboto" w:eastAsia="Roboto" w:hAnsi="Roboto" w:cs="Roboto"/>
          <w:b/>
          <w:bCs/>
          <w:color w:val="000000"/>
          <w:sz w:val="20"/>
          <w:szCs w:val="20"/>
          <w:lang w:val="es-CL"/>
        </w:rPr>
      </w:pPr>
      <w:r w:rsidRPr="00AE5D75">
        <w:rPr>
          <w:rFonts w:ascii="Roboto" w:eastAsia="Roboto" w:hAnsi="Roboto" w:cs="Roboto"/>
          <w:b/>
          <w:bCs/>
          <w:color w:val="000000"/>
          <w:sz w:val="20"/>
          <w:szCs w:val="20"/>
          <w:lang w:val="es-CL"/>
        </w:rPr>
        <w:t>Introducción</w:t>
      </w:r>
    </w:p>
    <w:p w14:paraId="7158E3A5" w14:textId="77777777" w:rsidR="001D6117" w:rsidRPr="001D6117" w:rsidRDefault="001D6117" w:rsidP="001D6117">
      <w:pPr>
        <w:pBdr>
          <w:top w:val="nil"/>
          <w:left w:val="nil"/>
          <w:bottom w:val="nil"/>
          <w:right w:val="nil"/>
          <w:between w:val="nil"/>
        </w:pBd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 xml:space="preserve">La investigación sobre el conocimiento profesional docente ha evolucionado a través de múltiples tradiciones teóricas que, si bien comparten preocupaciones comunes, han sido desarrolladas con escasa articulación entre sí. En el ámbito anglosajón, el concepto de </w:t>
      </w:r>
      <w:r w:rsidRPr="001D6117">
        <w:rPr>
          <w:rFonts w:ascii="Roboto" w:eastAsia="Roboto" w:hAnsi="Roboto" w:cs="Roboto"/>
          <w:i/>
          <w:iCs/>
          <w:color w:val="000000"/>
          <w:sz w:val="20"/>
          <w:szCs w:val="20"/>
          <w:lang w:val="es-CL"/>
        </w:rPr>
        <w:t>Pedagogical Content Knowledge</w:t>
      </w:r>
      <w:r w:rsidRPr="001D6117">
        <w:rPr>
          <w:rFonts w:ascii="Roboto" w:eastAsia="Roboto" w:hAnsi="Roboto" w:cs="Roboto"/>
          <w:color w:val="000000"/>
          <w:sz w:val="20"/>
          <w:szCs w:val="20"/>
          <w:lang w:val="es-CL"/>
        </w:rPr>
        <w:t xml:space="preserve"> (PCK) propuesto por Shulman (1986, 1987) ha orientado gran parte del campo, consolidándose como un marco clave para comprender la transformación del conocimiento disciplinar en conocimiento enseñable (Abell, 2008; Kind, 2009).</w:t>
      </w:r>
    </w:p>
    <w:p w14:paraId="7A22284D" w14:textId="77777777" w:rsidR="001D6117" w:rsidRPr="001D6117" w:rsidRDefault="001D6117" w:rsidP="001D6117">
      <w:pPr>
        <w:pBdr>
          <w:top w:val="nil"/>
          <w:left w:val="nil"/>
          <w:bottom w:val="nil"/>
          <w:right w:val="nil"/>
          <w:between w:val="nil"/>
        </w:pBd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Sin embargo, en contextos iberoamericanos y europeos han emergido tradiciones alternativas que conceptualizan el conocimiento docente desde otros lenguajes y marcos analíticos. Entre ellas, destacan el enfoque de los saberes docentes (Tardif, 2004), las didácticas específicas (Chevallard, 1991; Chamizo, 2010) y las perspectivas centradas en la práctica y la reflexión profesional (Clandinin &amp; Connelly, 1995). Estas tradiciones han contribuido significativamente al campo, aunque frecuentemente han evolucionado en paralelo, con escasos puntos de convergencia explícita.</w:t>
      </w:r>
    </w:p>
    <w:p w14:paraId="0B70F974" w14:textId="77777777" w:rsidR="001D6117" w:rsidRPr="001D6117" w:rsidRDefault="001D6117" w:rsidP="001D6117">
      <w:pPr>
        <w:pBdr>
          <w:top w:val="nil"/>
          <w:left w:val="nil"/>
          <w:bottom w:val="nil"/>
          <w:right w:val="nil"/>
          <w:between w:val="nil"/>
        </w:pBd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En educación primaria, esta fragmentación se vuelve particularmente relevante. A diferencia de la educación secundaria, donde el conocimiento docente suele analizarse desde disciplinas específicas, el profesorado de primaria se caracteriza por un rol generalista que exige integrar múltiples dominios de conocimiento en contextos complejos y altamente situados (van Driel et al., 2023). No obstante, la investigación sobre este nivel sigue siendo limitada y dispersa.</w:t>
      </w:r>
    </w:p>
    <w:p w14:paraId="081E84C7" w14:textId="77777777" w:rsidR="001D6117" w:rsidRPr="001D6117" w:rsidRDefault="001D6117" w:rsidP="001D6117">
      <w:pPr>
        <w:pBdr>
          <w:top w:val="nil"/>
          <w:left w:val="nil"/>
          <w:bottom w:val="nil"/>
          <w:right w:val="nil"/>
          <w:between w:val="nil"/>
        </w:pBd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En este contexto, se plantea la necesidad de construir una visión integradora que permita reconocer convergencias conceptuales entre tradiciones, identificar tensiones epistemológicas y avanzar hacia marcos articuladores que fortalezcan tanto la investigación como la formación docente.</w:t>
      </w:r>
    </w:p>
    <w:p w14:paraId="4E5C0770" w14:textId="77777777" w:rsidR="00645F96" w:rsidRPr="00AE5D75" w:rsidRDefault="00645F96">
      <w:pPr>
        <w:pBdr>
          <w:top w:val="nil"/>
          <w:left w:val="nil"/>
          <w:bottom w:val="nil"/>
          <w:right w:val="nil"/>
          <w:between w:val="nil"/>
        </w:pBdr>
        <w:jc w:val="both"/>
        <w:rPr>
          <w:rFonts w:ascii="Roboto" w:eastAsia="Roboto" w:hAnsi="Roboto" w:cs="Roboto"/>
          <w:b/>
          <w:bCs/>
          <w:color w:val="000000"/>
          <w:sz w:val="20"/>
          <w:szCs w:val="20"/>
          <w:lang w:val="es-CL"/>
        </w:rPr>
      </w:pPr>
    </w:p>
    <w:p w14:paraId="255D7EE7" w14:textId="77777777" w:rsidR="001D6117" w:rsidRPr="001D6117" w:rsidRDefault="001D6117" w:rsidP="001D6117">
      <w:pPr>
        <w:pBdr>
          <w:top w:val="nil"/>
          <w:left w:val="nil"/>
          <w:bottom w:val="nil"/>
          <w:right w:val="nil"/>
          <w:between w:val="nil"/>
        </w:pBdr>
        <w:jc w:val="both"/>
        <w:rPr>
          <w:rFonts w:ascii="Roboto" w:eastAsia="Roboto" w:hAnsi="Roboto" w:cs="Roboto"/>
          <w:b/>
          <w:bCs/>
          <w:color w:val="000000"/>
          <w:sz w:val="20"/>
          <w:szCs w:val="20"/>
          <w:lang w:val="es-CL"/>
        </w:rPr>
      </w:pPr>
      <w:r w:rsidRPr="001D6117">
        <w:rPr>
          <w:rFonts w:ascii="Roboto" w:eastAsia="Roboto" w:hAnsi="Roboto" w:cs="Roboto"/>
          <w:b/>
          <w:bCs/>
          <w:color w:val="000000"/>
          <w:sz w:val="20"/>
          <w:szCs w:val="20"/>
          <w:lang w:val="es-CL"/>
        </w:rPr>
        <w:t>Estrategia metodológica y principales hallazgos</w:t>
      </w:r>
    </w:p>
    <w:p w14:paraId="0EDA1FA4" w14:textId="77777777" w:rsidR="001D6117" w:rsidRPr="001D6117" w:rsidRDefault="001D6117" w:rsidP="001D6117">
      <w:pPr>
        <w:pBdr>
          <w:top w:val="nil"/>
          <w:left w:val="nil"/>
          <w:bottom w:val="nil"/>
          <w:right w:val="nil"/>
          <w:between w:val="nil"/>
        </w:pBd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Se desarrolló una revisión sistemática de literatura orientada a identificar y caracterizar los enfoques utilizados para describir el conocimiento profesional del profesorado de educación primaria. La búsqueda se realizó en las bases de datos WoS y Scopus, considerando el período 1986–2024. Tras la aplicación de criterios de inclusión y exclusión, se conformó una muestra final de 303 artículos centrados en docentes de educación primaria.</w:t>
      </w:r>
    </w:p>
    <w:p w14:paraId="60FC9824" w14:textId="77777777" w:rsidR="001D6117" w:rsidRPr="001D6117" w:rsidRDefault="001D6117" w:rsidP="001D6117">
      <w:pPr>
        <w:pBdr>
          <w:top w:val="nil"/>
          <w:left w:val="nil"/>
          <w:bottom w:val="nil"/>
          <w:right w:val="nil"/>
          <w:between w:val="nil"/>
        </w:pBd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 xml:space="preserve">El análisis se llevó a cabo mediante un proceso de codificación conceptual y contextual, que permitió identificar patrones en los marcos teóricos, focos de </w:t>
      </w:r>
      <w:r w:rsidRPr="001D6117">
        <w:rPr>
          <w:rFonts w:ascii="Roboto" w:eastAsia="Roboto" w:hAnsi="Roboto" w:cs="Roboto"/>
          <w:color w:val="000000"/>
          <w:sz w:val="20"/>
          <w:szCs w:val="20"/>
          <w:lang w:val="es-CL"/>
        </w:rPr>
        <w:t>investigación y niveles de análisis presentes en la literatura.</w:t>
      </w:r>
    </w:p>
    <w:p w14:paraId="55657472" w14:textId="77777777" w:rsidR="001D6117" w:rsidRPr="001D6117" w:rsidRDefault="001D6117" w:rsidP="001D6117">
      <w:pPr>
        <w:pBdr>
          <w:top w:val="nil"/>
          <w:left w:val="nil"/>
          <w:bottom w:val="nil"/>
          <w:right w:val="nil"/>
          <w:between w:val="nil"/>
        </w:pBd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Los resultados muestran la coexistencia de al menos cuatro grandes tradiciones de estudio: (1) enfoques centrados en la transformación del conocimiento disciplinar para su enseñanza, (2) perspectivas orientadas a la práctica docente y la reflexión profesional, (3) aproximaciones desde las didácticas específicas de las disciplinas y (4) marcos vinculados a competencias profesionales y estándares de formación.</w:t>
      </w:r>
    </w:p>
    <w:p w14:paraId="30310B50" w14:textId="77777777" w:rsidR="001D6117" w:rsidRPr="001D6117" w:rsidRDefault="001D6117" w:rsidP="001D6117">
      <w:pPr>
        <w:pBdr>
          <w:top w:val="nil"/>
          <w:left w:val="nil"/>
          <w:bottom w:val="nil"/>
          <w:right w:val="nil"/>
          <w:between w:val="nil"/>
        </w:pBd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Más allá de sus diferencias terminológicas, estas tradiciones comparten núcleos analíticos comunes, particularmente en relación con: (a) la adaptación del conocimiento disciplinar a contextos de enseñanza, (b) la toma de decisiones pedagógicas en situaciones complejas de aula y (c) la relación dinámica entre conocimiento y práctica.</w:t>
      </w:r>
    </w:p>
    <w:p w14:paraId="648BC3FE" w14:textId="77777777" w:rsidR="001D6117" w:rsidRPr="001D6117" w:rsidRDefault="001D6117" w:rsidP="001D6117">
      <w:pPr>
        <w:pBdr>
          <w:top w:val="nil"/>
          <w:left w:val="nil"/>
          <w:bottom w:val="nil"/>
          <w:right w:val="nil"/>
          <w:between w:val="nil"/>
        </w:pBd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Asimismo, se identifican vacíos relevantes en la literatura, especialmente en lo referido al estudio del conocimiento profesional en educación primaria como nivel específico, su desarrollo en contextos de alta complejidad y la articulación entre formación inicial y ejercicio profesional.</w:t>
      </w:r>
    </w:p>
    <w:p w14:paraId="502E2914" w14:textId="77777777" w:rsidR="00645F96" w:rsidRPr="001D6117" w:rsidRDefault="00645F96">
      <w:pPr>
        <w:pBdr>
          <w:top w:val="nil"/>
          <w:left w:val="nil"/>
          <w:bottom w:val="nil"/>
          <w:right w:val="nil"/>
          <w:between w:val="nil"/>
        </w:pBdr>
        <w:jc w:val="both"/>
        <w:rPr>
          <w:rFonts w:ascii="Roboto" w:eastAsia="Roboto" w:hAnsi="Roboto" w:cs="Roboto"/>
          <w:color w:val="000000"/>
          <w:sz w:val="20"/>
          <w:szCs w:val="20"/>
          <w:lang w:val="es-CL"/>
        </w:rPr>
      </w:pPr>
    </w:p>
    <w:p w14:paraId="0FD9EE4C" w14:textId="77777777" w:rsidR="001D6117" w:rsidRPr="001D6117" w:rsidRDefault="001D6117" w:rsidP="001D6117">
      <w:pPr>
        <w:jc w:val="both"/>
        <w:rPr>
          <w:rFonts w:ascii="Roboto" w:eastAsia="Roboto" w:hAnsi="Roboto" w:cs="Roboto"/>
          <w:b/>
          <w:bCs/>
          <w:color w:val="000000"/>
          <w:sz w:val="20"/>
          <w:szCs w:val="20"/>
          <w:lang w:val="es-CL"/>
        </w:rPr>
      </w:pPr>
      <w:r w:rsidRPr="001D6117">
        <w:rPr>
          <w:rFonts w:ascii="Roboto" w:eastAsia="Roboto" w:hAnsi="Roboto" w:cs="Roboto"/>
          <w:b/>
          <w:bCs/>
          <w:color w:val="000000"/>
          <w:sz w:val="20"/>
          <w:szCs w:val="20"/>
          <w:lang w:val="es-CL"/>
        </w:rPr>
        <w:t>Discusión e implicancias para la formación docente</w:t>
      </w:r>
    </w:p>
    <w:p w14:paraId="11946BC6" w14:textId="77777777" w:rsidR="001D6117" w:rsidRPr="001D6117" w:rsidRDefault="001D6117" w:rsidP="001D6117">
      <w:pP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Los resultados de esta revisión sugieren que, más allá de sus diferencias terminológicas, las distintas tradiciones que abordan el conocimiento profesional docente comparten núcleos analíticos comunes. En particular, convergen en la idea de que enseñar implica transformar el conocimiento disciplinar en formas accesibles, tomar decisiones en contextos inciertos y articular saberes diversos en la práctica.</w:t>
      </w:r>
    </w:p>
    <w:p w14:paraId="05F75124" w14:textId="77777777" w:rsidR="001D6117" w:rsidRPr="001D6117" w:rsidRDefault="001D6117" w:rsidP="001D6117">
      <w:pP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Desde la tradición del PCK, este proceso ha sido conceptualizado como una transformación del conocimiento disciplinar en conocimiento para la enseñanza (Shulman, 1987; Kind, 2009). Por su parte, desde el enfoque de los saberes docentes, se enfatiza el carácter situado, experiencial y plural del conocimiento profesional (Tardif, 2004). En las didácticas específicas, el foco se desplaza hacia la relación entre contenido, representación y aprendizaje, destacando la importancia de los modelos y las transposiciones didácticas (Chevallard, 1991; Chamizo, 2010).</w:t>
      </w:r>
    </w:p>
    <w:p w14:paraId="7BF08D1E" w14:textId="40D757C2" w:rsidR="001D6117" w:rsidRPr="001D6117" w:rsidRDefault="001D6117" w:rsidP="001D6117">
      <w:pP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 xml:space="preserve">Lejos de ser incompatibles, estas perspectivas pueden entenderse como aproximaciones complementarias a un mismo fenómeno. De hecho, algunos estudios recientes sugieren la necesidad de marcos integradores que articulen dimensiones epistemológicas, pedagógicas y contextuales del conocimiento docente, especialmente en educación primaria, donde las demandas profesionales requieren una alta capacidad </w:t>
      </w:r>
      <w:r w:rsidRPr="001D6117">
        <w:rPr>
          <w:rFonts w:ascii="Roboto" w:eastAsia="Roboto" w:hAnsi="Roboto" w:cs="Roboto"/>
          <w:color w:val="000000"/>
          <w:sz w:val="20"/>
          <w:szCs w:val="20"/>
          <w:lang w:val="es-CL"/>
        </w:rPr>
        <w:lastRenderedPageBreak/>
        <w:t>de integración (Díaz Godino et al., 2015; Melo et al., 2022)</w:t>
      </w:r>
      <w:r>
        <w:rPr>
          <w:rFonts w:ascii="Roboto" w:eastAsia="Roboto" w:hAnsi="Roboto" w:cs="Roboto"/>
          <w:color w:val="000000"/>
          <w:sz w:val="20"/>
          <w:szCs w:val="20"/>
          <w:lang w:val="es-CL"/>
        </w:rPr>
        <w:t>.</w:t>
      </w:r>
    </w:p>
    <w:p w14:paraId="5662BD32" w14:textId="77777777" w:rsidR="001D6117" w:rsidRPr="001D6117" w:rsidRDefault="001D6117" w:rsidP="001D6117">
      <w:pPr>
        <w:jc w:val="both"/>
        <w:rPr>
          <w:rFonts w:ascii="Roboto" w:eastAsia="Roboto" w:hAnsi="Roboto" w:cs="Roboto"/>
          <w:color w:val="000000"/>
          <w:sz w:val="20"/>
          <w:szCs w:val="20"/>
          <w:lang w:val="es-CL"/>
        </w:rPr>
      </w:pPr>
      <w:r w:rsidRPr="001D6117">
        <w:rPr>
          <w:rFonts w:ascii="Roboto" w:eastAsia="Roboto" w:hAnsi="Roboto" w:cs="Roboto"/>
          <w:color w:val="000000"/>
          <w:sz w:val="20"/>
          <w:szCs w:val="20"/>
          <w:lang w:val="es-CL"/>
        </w:rPr>
        <w:t>Desde esta perspectiva, el desafío no radica en reemplazar un marco por otro, sino en avanzar hacia modelos de articulación que permitan dialogar entre tradiciones, reconociendo sus aportes y limitaciones.</w:t>
      </w:r>
    </w:p>
    <w:p w14:paraId="642233FB" w14:textId="77777777" w:rsidR="00645F96" w:rsidRPr="001D6117" w:rsidRDefault="00645F96">
      <w:pPr>
        <w:jc w:val="both"/>
        <w:rPr>
          <w:rFonts w:ascii="Roboto" w:eastAsia="Roboto" w:hAnsi="Roboto" w:cs="Roboto"/>
          <w:sz w:val="20"/>
          <w:szCs w:val="20"/>
          <w:lang w:val="es-CL"/>
        </w:rPr>
      </w:pPr>
    </w:p>
    <w:p w14:paraId="0F310598" w14:textId="5A02BB5D" w:rsidR="00645F96" w:rsidRPr="002371D2" w:rsidRDefault="001D6117">
      <w:pPr>
        <w:jc w:val="both"/>
        <w:rPr>
          <w:rFonts w:ascii="Roboto" w:eastAsia="Roboto" w:hAnsi="Roboto" w:cs="Roboto"/>
          <w:b/>
          <w:bCs/>
          <w:sz w:val="20"/>
          <w:szCs w:val="20"/>
          <w:lang w:val="en-US"/>
        </w:rPr>
      </w:pPr>
      <w:r w:rsidRPr="002371D2">
        <w:rPr>
          <w:rFonts w:ascii="Roboto" w:eastAsia="Roboto" w:hAnsi="Roboto" w:cs="Roboto"/>
          <w:b/>
          <w:bCs/>
          <w:sz w:val="20"/>
          <w:szCs w:val="20"/>
          <w:lang w:val="en-US"/>
        </w:rPr>
        <w:t>Referencias</w:t>
      </w:r>
    </w:p>
    <w:p w14:paraId="48DC4139" w14:textId="35DAC523" w:rsidR="001D6117" w:rsidRPr="001D6117" w:rsidRDefault="001D6117" w:rsidP="001D6117">
      <w:pPr>
        <w:jc w:val="both"/>
        <w:rPr>
          <w:rFonts w:ascii="Roboto" w:eastAsia="Roboto" w:hAnsi="Roboto" w:cs="Roboto"/>
          <w:sz w:val="20"/>
          <w:szCs w:val="20"/>
          <w:lang w:val="en-US"/>
        </w:rPr>
      </w:pPr>
      <w:r w:rsidRPr="001D6117">
        <w:rPr>
          <w:rFonts w:ascii="Roboto" w:eastAsia="Roboto" w:hAnsi="Roboto" w:cs="Roboto"/>
          <w:sz w:val="20"/>
          <w:szCs w:val="20"/>
          <w:lang w:val="en-US"/>
        </w:rPr>
        <w:t xml:space="preserve">Abell, S. K. (2008). Twenty years later: Does pedagogical content knowledge remain a useful idea? </w:t>
      </w:r>
      <w:r w:rsidRPr="001D6117">
        <w:rPr>
          <w:rFonts w:ascii="Roboto" w:eastAsia="Roboto" w:hAnsi="Roboto" w:cs="Roboto"/>
          <w:i/>
          <w:iCs/>
          <w:sz w:val="20"/>
          <w:szCs w:val="20"/>
          <w:lang w:val="en-US"/>
        </w:rPr>
        <w:t>International Journal of Science Education, 30</w:t>
      </w:r>
      <w:r w:rsidRPr="001D6117">
        <w:rPr>
          <w:rFonts w:ascii="Roboto" w:eastAsia="Roboto" w:hAnsi="Roboto" w:cs="Roboto"/>
          <w:sz w:val="20"/>
          <w:szCs w:val="20"/>
          <w:lang w:val="en-US"/>
        </w:rPr>
        <w:t xml:space="preserve">(10), 1405–1416. </w:t>
      </w:r>
    </w:p>
    <w:p w14:paraId="44BF1627" w14:textId="24C9AE34" w:rsidR="001D6117" w:rsidRPr="001D6117" w:rsidRDefault="001D6117" w:rsidP="001D6117">
      <w:pPr>
        <w:jc w:val="both"/>
        <w:rPr>
          <w:rFonts w:ascii="Roboto" w:eastAsia="Roboto" w:hAnsi="Roboto" w:cs="Roboto"/>
          <w:sz w:val="20"/>
          <w:szCs w:val="20"/>
          <w:lang w:val="es-CL"/>
        </w:rPr>
      </w:pPr>
      <w:r w:rsidRPr="002371D2">
        <w:rPr>
          <w:rFonts w:ascii="Roboto" w:eastAsia="Roboto" w:hAnsi="Roboto" w:cs="Roboto"/>
          <w:sz w:val="20"/>
          <w:szCs w:val="20"/>
          <w:lang w:val="en-US"/>
        </w:rPr>
        <w:t xml:space="preserve">Alpízar Vargas, M., &amp; Alfaro Arce, A. L. (2020). </w:t>
      </w:r>
      <w:r w:rsidRPr="001D6117">
        <w:rPr>
          <w:rFonts w:ascii="Roboto" w:eastAsia="Roboto" w:hAnsi="Roboto" w:cs="Roboto"/>
          <w:sz w:val="20"/>
          <w:szCs w:val="20"/>
          <w:lang w:val="es-CL"/>
        </w:rPr>
        <w:t xml:space="preserve">Percepción de un grupo de docentes de educación primaria acerca de la preparación recibida durante su formación universitaria en cuanto al tema de las matemáticas. </w:t>
      </w:r>
      <w:r w:rsidRPr="001D6117">
        <w:rPr>
          <w:rFonts w:ascii="Roboto" w:eastAsia="Roboto" w:hAnsi="Roboto" w:cs="Roboto"/>
          <w:i/>
          <w:iCs/>
          <w:sz w:val="20"/>
          <w:szCs w:val="20"/>
          <w:lang w:val="es-CL"/>
        </w:rPr>
        <w:t>Uniciencia, 34</w:t>
      </w:r>
      <w:r w:rsidRPr="001D6117">
        <w:rPr>
          <w:rFonts w:ascii="Roboto" w:eastAsia="Roboto" w:hAnsi="Roboto" w:cs="Roboto"/>
          <w:sz w:val="20"/>
          <w:szCs w:val="20"/>
          <w:lang w:val="es-CL"/>
        </w:rPr>
        <w:t xml:space="preserve">(1), 1–16. </w:t>
      </w:r>
    </w:p>
    <w:p w14:paraId="71C1A5F7" w14:textId="682CB63D" w:rsidR="001D6117" w:rsidRPr="001D6117" w:rsidRDefault="001D6117" w:rsidP="001D6117">
      <w:pPr>
        <w:jc w:val="both"/>
        <w:rPr>
          <w:rFonts w:ascii="Roboto" w:eastAsia="Roboto" w:hAnsi="Roboto" w:cs="Roboto"/>
          <w:sz w:val="20"/>
          <w:szCs w:val="20"/>
          <w:lang w:val="es-CL"/>
        </w:rPr>
      </w:pPr>
      <w:r w:rsidRPr="001D6117">
        <w:rPr>
          <w:rFonts w:ascii="Roboto" w:eastAsia="Roboto" w:hAnsi="Roboto" w:cs="Roboto"/>
          <w:sz w:val="20"/>
          <w:szCs w:val="20"/>
          <w:lang w:val="es-CL"/>
        </w:rPr>
        <w:t xml:space="preserve">Chamizo, J. A. (2010). Una tipología de los modelos para la enseñanza de las ciencias. </w:t>
      </w:r>
      <w:r w:rsidRPr="001D6117">
        <w:rPr>
          <w:rFonts w:ascii="Roboto" w:eastAsia="Roboto" w:hAnsi="Roboto" w:cs="Roboto"/>
          <w:i/>
          <w:iCs/>
          <w:sz w:val="20"/>
          <w:szCs w:val="20"/>
          <w:lang w:val="es-CL"/>
        </w:rPr>
        <w:t>Revista Eureka sobre Enseñanza y Divulgación de las Ciencias, 7</w:t>
      </w:r>
      <w:r w:rsidRPr="001D6117">
        <w:rPr>
          <w:rFonts w:ascii="Roboto" w:eastAsia="Roboto" w:hAnsi="Roboto" w:cs="Roboto"/>
          <w:sz w:val="20"/>
          <w:szCs w:val="20"/>
          <w:lang w:val="es-CL"/>
        </w:rPr>
        <w:t xml:space="preserve">(1), 26–41. </w:t>
      </w:r>
    </w:p>
    <w:p w14:paraId="2D08DFBB" w14:textId="77777777" w:rsidR="001D6117" w:rsidRPr="001D6117" w:rsidRDefault="001D6117" w:rsidP="001D6117">
      <w:pPr>
        <w:jc w:val="both"/>
        <w:rPr>
          <w:rFonts w:ascii="Roboto" w:eastAsia="Roboto" w:hAnsi="Roboto" w:cs="Roboto"/>
          <w:sz w:val="20"/>
          <w:szCs w:val="20"/>
          <w:lang w:val="en-US"/>
        </w:rPr>
      </w:pPr>
      <w:r w:rsidRPr="001D6117">
        <w:rPr>
          <w:rFonts w:ascii="Roboto" w:eastAsia="Roboto" w:hAnsi="Roboto" w:cs="Roboto"/>
          <w:sz w:val="20"/>
          <w:szCs w:val="20"/>
          <w:lang w:val="es-CL"/>
        </w:rPr>
        <w:t xml:space="preserve">Chevallard, Y. (1991). </w:t>
      </w:r>
      <w:r w:rsidRPr="001D6117">
        <w:rPr>
          <w:rFonts w:ascii="Roboto" w:eastAsia="Roboto" w:hAnsi="Roboto" w:cs="Roboto"/>
          <w:i/>
          <w:iCs/>
          <w:sz w:val="20"/>
          <w:szCs w:val="20"/>
          <w:lang w:val="es-CL"/>
        </w:rPr>
        <w:t>La transposición didáctica: Del saber sabio al saber enseñado</w:t>
      </w:r>
      <w:r w:rsidRPr="001D6117">
        <w:rPr>
          <w:rFonts w:ascii="Roboto" w:eastAsia="Roboto" w:hAnsi="Roboto" w:cs="Roboto"/>
          <w:sz w:val="20"/>
          <w:szCs w:val="20"/>
          <w:lang w:val="es-CL"/>
        </w:rPr>
        <w:t xml:space="preserve">. </w:t>
      </w:r>
      <w:r w:rsidRPr="001D6117">
        <w:rPr>
          <w:rFonts w:ascii="Roboto" w:eastAsia="Roboto" w:hAnsi="Roboto" w:cs="Roboto"/>
          <w:sz w:val="20"/>
          <w:szCs w:val="20"/>
          <w:lang w:val="en-US"/>
        </w:rPr>
        <w:t>Aique.</w:t>
      </w:r>
    </w:p>
    <w:p w14:paraId="487BCB18" w14:textId="77777777" w:rsidR="001D6117" w:rsidRPr="001D6117" w:rsidRDefault="001D6117" w:rsidP="001D6117">
      <w:pPr>
        <w:jc w:val="both"/>
        <w:rPr>
          <w:rFonts w:ascii="Roboto" w:eastAsia="Roboto" w:hAnsi="Roboto" w:cs="Roboto"/>
          <w:sz w:val="20"/>
          <w:szCs w:val="20"/>
          <w:lang w:val="en-US"/>
        </w:rPr>
      </w:pPr>
      <w:r w:rsidRPr="001D6117">
        <w:rPr>
          <w:rFonts w:ascii="Roboto" w:eastAsia="Roboto" w:hAnsi="Roboto" w:cs="Roboto"/>
          <w:sz w:val="20"/>
          <w:szCs w:val="20"/>
          <w:lang w:val="en-US"/>
        </w:rPr>
        <w:t xml:space="preserve">Clandinin, D. J., &amp; Connelly, F. M. (1995). </w:t>
      </w:r>
      <w:r w:rsidRPr="001D6117">
        <w:rPr>
          <w:rFonts w:ascii="Roboto" w:eastAsia="Roboto" w:hAnsi="Roboto" w:cs="Roboto"/>
          <w:i/>
          <w:iCs/>
          <w:sz w:val="20"/>
          <w:szCs w:val="20"/>
          <w:lang w:val="en-US"/>
        </w:rPr>
        <w:t>Teachers’ professional knowledge landscapes</w:t>
      </w:r>
      <w:r w:rsidRPr="001D6117">
        <w:rPr>
          <w:rFonts w:ascii="Roboto" w:eastAsia="Roboto" w:hAnsi="Roboto" w:cs="Roboto"/>
          <w:sz w:val="20"/>
          <w:szCs w:val="20"/>
          <w:lang w:val="en-US"/>
        </w:rPr>
        <w:t>. Teachers College Press.</w:t>
      </w:r>
    </w:p>
    <w:p w14:paraId="502B4078" w14:textId="16582897" w:rsidR="001D6117" w:rsidRPr="001D6117" w:rsidRDefault="001D6117" w:rsidP="001D6117">
      <w:pPr>
        <w:jc w:val="both"/>
        <w:rPr>
          <w:rFonts w:ascii="Roboto" w:eastAsia="Roboto" w:hAnsi="Roboto" w:cs="Roboto"/>
          <w:sz w:val="20"/>
          <w:szCs w:val="20"/>
          <w:lang w:val="en-US"/>
        </w:rPr>
      </w:pPr>
      <w:r w:rsidRPr="001D6117">
        <w:rPr>
          <w:rFonts w:ascii="Roboto" w:eastAsia="Roboto" w:hAnsi="Roboto" w:cs="Roboto"/>
          <w:sz w:val="20"/>
          <w:szCs w:val="20"/>
          <w:lang w:val="en-US"/>
        </w:rPr>
        <w:t xml:space="preserve">Díaz Godino, J., Batanero, C., &amp; Font, V. (2015). The onto-semiotic approach to research in mathematics education. </w:t>
      </w:r>
      <w:r w:rsidRPr="001D6117">
        <w:rPr>
          <w:rFonts w:ascii="Roboto" w:eastAsia="Roboto" w:hAnsi="Roboto" w:cs="Roboto"/>
          <w:i/>
          <w:iCs/>
          <w:sz w:val="20"/>
          <w:szCs w:val="20"/>
          <w:lang w:val="en-US"/>
        </w:rPr>
        <w:t>ZDM Mathematics Education, 47</w:t>
      </w:r>
      <w:r w:rsidRPr="001D6117">
        <w:rPr>
          <w:rFonts w:ascii="Roboto" w:eastAsia="Roboto" w:hAnsi="Roboto" w:cs="Roboto"/>
          <w:sz w:val="20"/>
          <w:szCs w:val="20"/>
          <w:lang w:val="en-US"/>
        </w:rPr>
        <w:t xml:space="preserve">(4), 561–574. </w:t>
      </w:r>
    </w:p>
    <w:p w14:paraId="265512E3" w14:textId="4F19E7F2" w:rsidR="001D6117" w:rsidRPr="001D6117" w:rsidRDefault="001D6117" w:rsidP="001D6117">
      <w:pPr>
        <w:jc w:val="both"/>
        <w:rPr>
          <w:rFonts w:ascii="Roboto" w:eastAsia="Roboto" w:hAnsi="Roboto" w:cs="Roboto"/>
          <w:sz w:val="20"/>
          <w:szCs w:val="20"/>
          <w:lang w:val="es-CL"/>
        </w:rPr>
      </w:pPr>
      <w:r w:rsidRPr="002371D2">
        <w:rPr>
          <w:rFonts w:ascii="Roboto" w:eastAsia="Roboto" w:hAnsi="Roboto" w:cs="Roboto"/>
          <w:sz w:val="20"/>
          <w:szCs w:val="20"/>
          <w:lang w:val="en-US"/>
        </w:rPr>
        <w:t xml:space="preserve">Melo, L., Paixão, F., Marín, E., Cubero, J., &amp; Muñoz, A. (2022). </w:t>
      </w:r>
      <w:r w:rsidRPr="001D6117">
        <w:rPr>
          <w:rFonts w:ascii="Roboto" w:eastAsia="Roboto" w:hAnsi="Roboto" w:cs="Roboto"/>
          <w:sz w:val="20"/>
          <w:szCs w:val="20"/>
          <w:lang w:val="en-US"/>
        </w:rPr>
        <w:t xml:space="preserve">Pedagogical content knowledge with primary pre-service teachers on density: Validation of a questionnaire. </w:t>
      </w:r>
      <w:r w:rsidRPr="001D6117">
        <w:rPr>
          <w:rFonts w:ascii="Roboto" w:eastAsia="Roboto" w:hAnsi="Roboto" w:cs="Roboto"/>
          <w:i/>
          <w:iCs/>
          <w:sz w:val="20"/>
          <w:szCs w:val="20"/>
          <w:lang w:val="es-CL"/>
        </w:rPr>
        <w:t>Investigaciones en Enseñanza de las Ciencias, 27</w:t>
      </w:r>
      <w:r w:rsidRPr="001D6117">
        <w:rPr>
          <w:rFonts w:ascii="Roboto" w:eastAsia="Roboto" w:hAnsi="Roboto" w:cs="Roboto"/>
          <w:sz w:val="20"/>
          <w:szCs w:val="20"/>
          <w:lang w:val="es-CL"/>
        </w:rPr>
        <w:t xml:space="preserve">(2), 257–270. </w:t>
      </w:r>
    </w:p>
    <w:p w14:paraId="28C25965" w14:textId="2FE40682" w:rsidR="001D6117" w:rsidRPr="001D6117" w:rsidRDefault="001D6117" w:rsidP="001D6117">
      <w:pPr>
        <w:jc w:val="both"/>
        <w:rPr>
          <w:rFonts w:ascii="Roboto" w:eastAsia="Roboto" w:hAnsi="Roboto" w:cs="Roboto"/>
          <w:sz w:val="20"/>
          <w:szCs w:val="20"/>
          <w:lang w:val="en-US"/>
        </w:rPr>
      </w:pPr>
      <w:r w:rsidRPr="001D6117">
        <w:rPr>
          <w:rFonts w:ascii="Roboto" w:eastAsia="Roboto" w:hAnsi="Roboto" w:cs="Roboto"/>
          <w:sz w:val="20"/>
          <w:szCs w:val="20"/>
          <w:lang w:val="es-CL"/>
        </w:rPr>
        <w:t xml:space="preserve">Montoya Grisales, N. E., Arroyave Giraldo, D., Almonacid Fierro, A., &amp; Sepúlveda Vallejos, S. A. (2023). Conocimiento pedagógico del contenido en el campo de la educación física: Una revisión sistemática de la literatura (2011–2022). </w:t>
      </w:r>
      <w:r w:rsidRPr="001D6117">
        <w:rPr>
          <w:rFonts w:ascii="Roboto" w:eastAsia="Roboto" w:hAnsi="Roboto" w:cs="Roboto"/>
          <w:i/>
          <w:iCs/>
          <w:sz w:val="20"/>
          <w:szCs w:val="20"/>
          <w:lang w:val="en-US"/>
        </w:rPr>
        <w:t>Retos, 50</w:t>
      </w:r>
      <w:r w:rsidRPr="001D6117">
        <w:rPr>
          <w:rFonts w:ascii="Roboto" w:eastAsia="Roboto" w:hAnsi="Roboto" w:cs="Roboto"/>
          <w:sz w:val="20"/>
          <w:szCs w:val="20"/>
          <w:lang w:val="en-US"/>
        </w:rPr>
        <w:t xml:space="preserve">, 1240–1250. </w:t>
      </w:r>
    </w:p>
    <w:p w14:paraId="42EC43BE" w14:textId="59DA69AA" w:rsidR="001D6117" w:rsidRPr="001D6117" w:rsidRDefault="001D6117" w:rsidP="001D6117">
      <w:pPr>
        <w:jc w:val="both"/>
        <w:rPr>
          <w:rFonts w:ascii="Roboto" w:eastAsia="Roboto" w:hAnsi="Roboto" w:cs="Roboto"/>
          <w:sz w:val="20"/>
          <w:szCs w:val="20"/>
          <w:lang w:val="en-US"/>
        </w:rPr>
      </w:pPr>
      <w:r w:rsidRPr="001D6117">
        <w:rPr>
          <w:rFonts w:ascii="Roboto" w:eastAsia="Roboto" w:hAnsi="Roboto" w:cs="Roboto"/>
          <w:sz w:val="20"/>
          <w:szCs w:val="20"/>
          <w:lang w:val="en-US"/>
        </w:rPr>
        <w:t xml:space="preserve">Shulman, L. S. (1986). Those who understand: Knowledge growth in teaching. </w:t>
      </w:r>
      <w:r w:rsidRPr="001D6117">
        <w:rPr>
          <w:rFonts w:ascii="Roboto" w:eastAsia="Roboto" w:hAnsi="Roboto" w:cs="Roboto"/>
          <w:i/>
          <w:iCs/>
          <w:sz w:val="20"/>
          <w:szCs w:val="20"/>
          <w:lang w:val="en-US"/>
        </w:rPr>
        <w:t>Educational Researcher, 15</w:t>
      </w:r>
      <w:r w:rsidRPr="001D6117">
        <w:rPr>
          <w:rFonts w:ascii="Roboto" w:eastAsia="Roboto" w:hAnsi="Roboto" w:cs="Roboto"/>
          <w:sz w:val="20"/>
          <w:szCs w:val="20"/>
          <w:lang w:val="en-US"/>
        </w:rPr>
        <w:t xml:space="preserve">(2), 4–14. </w:t>
      </w:r>
    </w:p>
    <w:p w14:paraId="7CEFB7DF" w14:textId="2B1480B1" w:rsidR="001D6117" w:rsidRPr="002371D2" w:rsidRDefault="001D6117" w:rsidP="001D6117">
      <w:pPr>
        <w:jc w:val="both"/>
        <w:rPr>
          <w:rFonts w:ascii="Roboto" w:eastAsia="Roboto" w:hAnsi="Roboto" w:cs="Roboto"/>
          <w:sz w:val="20"/>
          <w:szCs w:val="20"/>
          <w:lang w:val="es-CL"/>
        </w:rPr>
      </w:pPr>
      <w:r w:rsidRPr="001D6117">
        <w:rPr>
          <w:rFonts w:ascii="Roboto" w:eastAsia="Roboto" w:hAnsi="Roboto" w:cs="Roboto"/>
          <w:sz w:val="20"/>
          <w:szCs w:val="20"/>
          <w:lang w:val="en-US"/>
        </w:rPr>
        <w:t xml:space="preserve">Shulman, L. S. (1987). Knowledge and teaching: Foundations of the new reform. </w:t>
      </w:r>
      <w:r w:rsidRPr="002371D2">
        <w:rPr>
          <w:rFonts w:ascii="Roboto" w:eastAsia="Roboto" w:hAnsi="Roboto" w:cs="Roboto"/>
          <w:i/>
          <w:iCs/>
          <w:sz w:val="20"/>
          <w:szCs w:val="20"/>
          <w:lang w:val="es-CL"/>
        </w:rPr>
        <w:t>Harvard Educational Review, 57</w:t>
      </w:r>
      <w:r w:rsidRPr="002371D2">
        <w:rPr>
          <w:rFonts w:ascii="Roboto" w:eastAsia="Roboto" w:hAnsi="Roboto" w:cs="Roboto"/>
          <w:sz w:val="20"/>
          <w:szCs w:val="20"/>
          <w:lang w:val="es-CL"/>
        </w:rPr>
        <w:t xml:space="preserve">(1), 1–22. </w:t>
      </w:r>
    </w:p>
    <w:p w14:paraId="136DDCC7" w14:textId="77777777" w:rsidR="001D6117" w:rsidRPr="001D6117" w:rsidRDefault="001D6117" w:rsidP="001D6117">
      <w:pPr>
        <w:jc w:val="both"/>
        <w:rPr>
          <w:rFonts w:ascii="Roboto" w:eastAsia="Roboto" w:hAnsi="Roboto" w:cs="Roboto"/>
          <w:sz w:val="20"/>
          <w:szCs w:val="20"/>
          <w:lang w:val="en-US"/>
        </w:rPr>
      </w:pPr>
      <w:r w:rsidRPr="002371D2">
        <w:rPr>
          <w:rFonts w:ascii="Roboto" w:eastAsia="Roboto" w:hAnsi="Roboto" w:cs="Roboto"/>
          <w:sz w:val="20"/>
          <w:szCs w:val="20"/>
          <w:lang w:val="es-CL"/>
        </w:rPr>
        <w:t xml:space="preserve">Tardif, M. (2004). </w:t>
      </w:r>
      <w:r w:rsidRPr="001D6117">
        <w:rPr>
          <w:rFonts w:ascii="Roboto" w:eastAsia="Roboto" w:hAnsi="Roboto" w:cs="Roboto"/>
          <w:i/>
          <w:iCs/>
          <w:sz w:val="20"/>
          <w:szCs w:val="20"/>
          <w:lang w:val="es-CL"/>
        </w:rPr>
        <w:t>Los saberes del docente y su desarrollo profesional</w:t>
      </w:r>
      <w:r w:rsidRPr="001D6117">
        <w:rPr>
          <w:rFonts w:ascii="Roboto" w:eastAsia="Roboto" w:hAnsi="Roboto" w:cs="Roboto"/>
          <w:sz w:val="20"/>
          <w:szCs w:val="20"/>
          <w:lang w:val="es-CL"/>
        </w:rPr>
        <w:t xml:space="preserve">. </w:t>
      </w:r>
      <w:r w:rsidRPr="001D6117">
        <w:rPr>
          <w:rFonts w:ascii="Roboto" w:eastAsia="Roboto" w:hAnsi="Roboto" w:cs="Roboto"/>
          <w:sz w:val="20"/>
          <w:szCs w:val="20"/>
          <w:lang w:val="en-US"/>
        </w:rPr>
        <w:t>Narcea.</w:t>
      </w:r>
    </w:p>
    <w:p w14:paraId="78BB6E05" w14:textId="7E761B6E" w:rsidR="001D6117" w:rsidRPr="002371D2" w:rsidRDefault="001D6117" w:rsidP="001D6117">
      <w:pPr>
        <w:jc w:val="both"/>
        <w:rPr>
          <w:rFonts w:ascii="Roboto" w:eastAsia="Roboto" w:hAnsi="Roboto" w:cs="Roboto"/>
          <w:sz w:val="20"/>
          <w:szCs w:val="20"/>
          <w:lang w:val="en-US"/>
        </w:rPr>
      </w:pPr>
      <w:r w:rsidRPr="001D6117">
        <w:rPr>
          <w:rFonts w:ascii="Roboto" w:eastAsia="Roboto" w:hAnsi="Roboto" w:cs="Roboto"/>
          <w:sz w:val="20"/>
          <w:szCs w:val="20"/>
          <w:lang w:val="en-US"/>
        </w:rPr>
        <w:t xml:space="preserve">van Driel, J. H., </w:t>
      </w:r>
      <w:r w:rsidR="00601B86">
        <w:rPr>
          <w:rFonts w:ascii="Roboto" w:eastAsia="Roboto" w:hAnsi="Roboto" w:cs="Roboto"/>
          <w:sz w:val="20"/>
          <w:szCs w:val="20"/>
          <w:lang w:val="en-US"/>
        </w:rPr>
        <w:t xml:space="preserve">Hume, A., &amp; </w:t>
      </w:r>
      <w:r w:rsidRPr="001D6117">
        <w:rPr>
          <w:rFonts w:ascii="Roboto" w:eastAsia="Roboto" w:hAnsi="Roboto" w:cs="Roboto"/>
          <w:sz w:val="20"/>
          <w:szCs w:val="20"/>
          <w:lang w:val="en-US"/>
        </w:rPr>
        <w:t xml:space="preserve">Berry, A. (2023). Research on science </w:t>
      </w:r>
      <w:r w:rsidR="00601B86" w:rsidRPr="001D6117">
        <w:rPr>
          <w:rFonts w:ascii="Roboto" w:eastAsia="Roboto" w:hAnsi="Roboto" w:cs="Roboto"/>
          <w:sz w:val="20"/>
          <w:szCs w:val="20"/>
          <w:lang w:val="en-US"/>
        </w:rPr>
        <w:t>teachers’</w:t>
      </w:r>
      <w:r w:rsidRPr="001D6117">
        <w:rPr>
          <w:rFonts w:ascii="Roboto" w:eastAsia="Roboto" w:hAnsi="Roboto" w:cs="Roboto"/>
          <w:sz w:val="20"/>
          <w:szCs w:val="20"/>
          <w:lang w:val="en-US"/>
        </w:rPr>
        <w:t xml:space="preserve"> knowledge</w:t>
      </w:r>
      <w:r w:rsidR="002371D2">
        <w:rPr>
          <w:rFonts w:ascii="Roboto" w:eastAsia="Roboto" w:hAnsi="Roboto" w:cs="Roboto"/>
          <w:sz w:val="20"/>
          <w:szCs w:val="20"/>
          <w:lang w:val="en-US"/>
        </w:rPr>
        <w:t xml:space="preserve"> and its development</w:t>
      </w:r>
      <w:r w:rsidRPr="002371D2">
        <w:rPr>
          <w:rFonts w:ascii="Roboto" w:eastAsia="Roboto" w:hAnsi="Roboto" w:cs="Roboto"/>
          <w:sz w:val="20"/>
          <w:szCs w:val="20"/>
          <w:lang w:val="en-US"/>
        </w:rPr>
        <w:t xml:space="preserve">. </w:t>
      </w:r>
      <w:r w:rsidR="00601B86">
        <w:rPr>
          <w:rFonts w:ascii="Roboto" w:eastAsia="Roboto" w:hAnsi="Roboto" w:cs="Roboto"/>
          <w:sz w:val="20"/>
          <w:szCs w:val="20"/>
          <w:lang w:val="en-US"/>
        </w:rPr>
        <w:t>Routledge.</w:t>
      </w:r>
    </w:p>
    <w:p w14:paraId="26AFEE1D" w14:textId="77777777" w:rsidR="00645F96" w:rsidRPr="002371D2" w:rsidRDefault="00645F96">
      <w:pPr>
        <w:jc w:val="both"/>
        <w:rPr>
          <w:rFonts w:ascii="Roboto" w:eastAsia="Roboto" w:hAnsi="Roboto" w:cs="Roboto"/>
          <w:sz w:val="20"/>
          <w:szCs w:val="20"/>
          <w:lang w:val="en-US"/>
        </w:rPr>
      </w:pPr>
    </w:p>
    <w:p w14:paraId="464E866E" w14:textId="77777777" w:rsidR="00645F96" w:rsidRPr="002371D2" w:rsidRDefault="00645F96">
      <w:pPr>
        <w:jc w:val="both"/>
        <w:rPr>
          <w:rFonts w:ascii="Roboto" w:eastAsia="Roboto" w:hAnsi="Roboto" w:cs="Roboto"/>
          <w:sz w:val="20"/>
          <w:szCs w:val="20"/>
          <w:lang w:val="en-US"/>
        </w:rPr>
      </w:pPr>
    </w:p>
    <w:p w14:paraId="4D881722" w14:textId="77777777" w:rsidR="00645F96" w:rsidRPr="002371D2" w:rsidRDefault="00645F96">
      <w:pPr>
        <w:jc w:val="both"/>
        <w:rPr>
          <w:rFonts w:ascii="Roboto" w:eastAsia="Roboto" w:hAnsi="Roboto" w:cs="Roboto"/>
          <w:sz w:val="20"/>
          <w:szCs w:val="20"/>
          <w:lang w:val="en-US"/>
        </w:rPr>
        <w:sectPr w:rsidR="00645F96" w:rsidRPr="002371D2">
          <w:type w:val="continuous"/>
          <w:pgSz w:w="11906" w:h="16838"/>
          <w:pgMar w:top="1134" w:right="851" w:bottom="1134" w:left="851" w:header="357" w:footer="720" w:gutter="0"/>
          <w:cols w:num="2" w:space="720" w:equalWidth="0">
            <w:col w:w="4934" w:space="335"/>
            <w:col w:w="4934" w:space="0"/>
          </w:cols>
        </w:sectPr>
      </w:pPr>
    </w:p>
    <w:p w14:paraId="1A5799A0" w14:textId="77777777" w:rsidR="00645F96"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Declaración de originalidad y autorización de publicación</w:t>
      </w:r>
    </w:p>
    <w:p w14:paraId="2DAD4AFF" w14:textId="77777777" w:rsidR="00645F96"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6C22D121" w14:textId="77777777" w:rsidR="00645F9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0EBDDD8C" w14:textId="77777777" w:rsidR="00645F9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24E8EF65" w14:textId="77777777" w:rsidR="00645F9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1734BDA0" w14:textId="77777777" w:rsidR="00645F9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5D5B64FC" w14:textId="77777777" w:rsidR="00645F9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163E0ACA" w14:textId="77777777" w:rsidR="00645F9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6530A8CB" w14:textId="77777777" w:rsidR="00645F9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16C8638B" w14:textId="77777777" w:rsidR="00645F96"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209F7F46" w14:textId="77777777" w:rsidR="00645F96"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21E2679D" w14:textId="77777777" w:rsidR="00645F96"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05ADBAF2" w14:textId="77777777" w:rsidR="00645F96"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74E97F46" w14:textId="77777777" w:rsidR="00645F9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3CC48476" w14:textId="77777777" w:rsidR="00645F9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5A1A6939" w14:textId="77777777" w:rsidR="00645F96"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42439F0D" w14:textId="77777777" w:rsidR="00645F96"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7398C6A" w14:textId="77777777" w:rsidR="00645F96"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35CC9E6B" w14:textId="77777777" w:rsidR="00645F9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05E63588" w14:textId="77777777" w:rsidR="00645F9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6BA060E5" w14:textId="77777777" w:rsidR="00645F9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02B21DC4" w14:textId="77777777" w:rsidR="00645F9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062CA353" w14:textId="199DDE69" w:rsidR="00645F9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  </w:t>
      </w:r>
      <w:r w:rsidR="00CC5355">
        <w:rPr>
          <w:rFonts w:ascii="Roboto" w:eastAsia="Roboto" w:hAnsi="Roboto" w:cs="Roboto"/>
          <w:sz w:val="20"/>
          <w:szCs w:val="20"/>
        </w:rPr>
        <w:t>X</w:t>
      </w:r>
      <w:r>
        <w:rPr>
          <w:rFonts w:ascii="Roboto" w:eastAsia="Roboto" w:hAnsi="Roboto" w:cs="Roboto"/>
          <w:sz w:val="20"/>
          <w:szCs w:val="20"/>
        </w:rPr>
        <w:t xml:space="preserve">  )  Declaro que he leído y acepto los términos de esta declaración y autorización de publicación.</w:t>
      </w:r>
    </w:p>
    <w:p w14:paraId="2AD852A5" w14:textId="6E1A4188" w:rsidR="00CC5355" w:rsidRPr="00CC5355" w:rsidRDefault="00000000" w:rsidP="00CC5355">
      <w:pPr>
        <w:spacing w:before="240" w:after="240"/>
        <w:rPr>
          <w:rFonts w:ascii="Roboto" w:eastAsia="Roboto" w:hAnsi="Roboto" w:cs="Roboto"/>
          <w:b/>
          <w:bCs/>
          <w:sz w:val="20"/>
          <w:szCs w:val="20"/>
        </w:rPr>
      </w:pPr>
      <w:r>
        <w:rPr>
          <w:rFonts w:ascii="Roboto" w:eastAsia="Roboto" w:hAnsi="Roboto" w:cs="Roboto"/>
          <w:b/>
          <w:bCs/>
          <w:sz w:val="20"/>
          <w:szCs w:val="20"/>
        </w:rPr>
        <w:t>Autor responsable:</w:t>
      </w:r>
      <w:r w:rsidR="00CC5355">
        <w:rPr>
          <w:rFonts w:ascii="Roboto" w:eastAsia="Roboto" w:hAnsi="Roboto" w:cs="Roboto"/>
          <w:b/>
          <w:bCs/>
          <w:sz w:val="20"/>
          <w:szCs w:val="20"/>
        </w:rPr>
        <w:t xml:space="preserve"> David Santibáñez Gómez</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CC5355">
        <w:rPr>
          <w:rFonts w:ascii="Roboto" w:eastAsia="Roboto" w:hAnsi="Roboto" w:cs="Roboto"/>
          <w:b/>
          <w:bCs/>
          <w:sz w:val="20"/>
          <w:szCs w:val="20"/>
        </w:rPr>
        <w:t xml:space="preserve"> Universidad Finis Terrae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CC5355">
        <w:rPr>
          <w:rFonts w:ascii="Roboto" w:eastAsia="Roboto" w:hAnsi="Roboto" w:cs="Roboto"/>
          <w:b/>
          <w:bCs/>
          <w:sz w:val="20"/>
          <w:szCs w:val="20"/>
        </w:rPr>
        <w:t xml:space="preserve"> </w:t>
      </w:r>
      <w:r w:rsidR="00CC5355" w:rsidRPr="00CC5355">
        <w:rPr>
          <w:rFonts w:ascii="Roboto" w:eastAsia="Roboto" w:hAnsi="Roboto" w:cs="Roboto"/>
          <w:sz w:val="20"/>
          <w:szCs w:val="20"/>
        </w:rPr>
        <w:t>El conocimiento profesional del profesorado de educación primaria: un mapa internacional de enfoques, lenguajes y oportunidades de articulación</w:t>
      </w:r>
      <w:r w:rsidR="00CC5355">
        <w:rPr>
          <w:rFonts w:ascii="Roboto" w:eastAsia="Roboto" w:hAnsi="Roboto" w:cs="Roboto"/>
          <w:sz w:val="20"/>
          <w:szCs w:val="20"/>
        </w:rPr>
        <w:t xml:space="preserve"> (no hay otros autores).</w:t>
      </w:r>
    </w:p>
    <w:sectPr w:rsidR="00CC5355" w:rsidRPr="00CC5355">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597855" w14:textId="77777777" w:rsidR="00BB37CA" w:rsidRDefault="00BB37CA">
      <w:r>
        <w:separator/>
      </w:r>
    </w:p>
  </w:endnote>
  <w:endnote w:type="continuationSeparator" w:id="0">
    <w:p w14:paraId="6F8A8B57" w14:textId="77777777" w:rsidR="00BB37CA" w:rsidRDefault="00BB37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44502F24-EE76-4CEB-8AA0-478907E1B78C}"/>
  </w:font>
  <w:font w:name="Georgia">
    <w:panose1 w:val="02040502050405020303"/>
    <w:charset w:val="00"/>
    <w:family w:val="roman"/>
    <w:pitch w:val="variable"/>
    <w:sig w:usb0="00000287" w:usb1="00000000" w:usb2="00000000" w:usb3="00000000" w:csb0="0000009F" w:csb1="00000000"/>
    <w:embedItalic r:id="rId2" w:fontKey="{77E6B11B-5FEF-44F9-8B83-BFBF7B7EA0EE}"/>
  </w:font>
  <w:font w:name="Roboto">
    <w:charset w:val="00"/>
    <w:family w:val="auto"/>
    <w:pitch w:val="variable"/>
    <w:sig w:usb0="E0000AFF" w:usb1="5000217F" w:usb2="00000021" w:usb3="00000000" w:csb0="0000019F" w:csb1="00000000"/>
    <w:embedRegular r:id="rId3" w:fontKey="{02C2C0D8-A40E-4F5A-918A-25E3C556D03F}"/>
    <w:embedBold r:id="rId4" w:fontKey="{725E6B4E-5D9F-4700-926C-89DFB58DC990}"/>
    <w:embedItalic r:id="rId5" w:fontKey="{6DF94C04-46FE-4F92-9487-659C4FC5FF2D}"/>
  </w:font>
  <w:font w:name="Calibri Light">
    <w:panose1 w:val="020F0302020204030204"/>
    <w:charset w:val="00"/>
    <w:family w:val="swiss"/>
    <w:pitch w:val="variable"/>
    <w:sig w:usb0="E4002EFF" w:usb1="C200247B" w:usb2="00000009" w:usb3="00000000" w:csb0="000001FF" w:csb1="00000000"/>
    <w:embedRegular r:id="rId6" w:fontKey="{92DA5ED0-EDC9-466F-B1EE-BE23F4AD4C57}"/>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B4C0F3" w14:textId="77777777" w:rsidR="00BB37CA" w:rsidRDefault="00BB37CA">
      <w:r>
        <w:separator/>
      </w:r>
    </w:p>
  </w:footnote>
  <w:footnote w:type="continuationSeparator" w:id="0">
    <w:p w14:paraId="7FD57E4A" w14:textId="77777777" w:rsidR="00BB37CA" w:rsidRDefault="00BB37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B7E23" w14:textId="77777777" w:rsidR="00645F96" w:rsidRDefault="00645F96">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645F96" w14:paraId="3E64516C" w14:textId="77777777">
      <w:trPr>
        <w:trHeight w:val="345"/>
        <w:jc w:val="center"/>
      </w:trPr>
      <w:tc>
        <w:tcPr>
          <w:tcW w:w="6306" w:type="dxa"/>
          <w:vAlign w:val="center"/>
        </w:tcPr>
        <w:p w14:paraId="2352E693" w14:textId="77777777" w:rsidR="00645F96" w:rsidRDefault="00645F96">
          <w:pPr>
            <w:jc w:val="center"/>
            <w:rPr>
              <w:i/>
              <w:iCs/>
              <w:sz w:val="18"/>
              <w:szCs w:val="18"/>
            </w:rPr>
          </w:pPr>
        </w:p>
      </w:tc>
    </w:tr>
  </w:tbl>
  <w:p w14:paraId="299462AB" w14:textId="77777777" w:rsidR="00645F96" w:rsidRDefault="00645F96">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886176"/>
    <w:multiLevelType w:val="multilevel"/>
    <w:tmpl w:val="6A8E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E5F2DC8"/>
    <w:multiLevelType w:val="multilevel"/>
    <w:tmpl w:val="1C38F4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07968820">
    <w:abstractNumId w:val="0"/>
  </w:num>
  <w:num w:numId="2" w16cid:durableId="1574461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5F96"/>
    <w:rsid w:val="001D6117"/>
    <w:rsid w:val="002371D2"/>
    <w:rsid w:val="00364BA4"/>
    <w:rsid w:val="00601B86"/>
    <w:rsid w:val="00645F96"/>
    <w:rsid w:val="008F0054"/>
    <w:rsid w:val="00AE5D75"/>
    <w:rsid w:val="00BB37CA"/>
    <w:rsid w:val="00CC5355"/>
    <w:rsid w:val="00DD3B9A"/>
    <w:rsid w:val="00DF5ECA"/>
    <w:rsid w:val="00EB15E5"/>
    <w:rsid w:val="00FA7D8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074B7"/>
  <w15:docId w15:val="{F7F9C711-7D01-4C5D-B447-F03592BC2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rcid.org/0000-0001-7840-9138"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3</Pages>
  <Words>1522</Words>
  <Characters>9317</Characters>
  <Application>Microsoft Office Word</Application>
  <DocSecurity>0</DocSecurity>
  <Lines>207</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Evaluador</cp:lastModifiedBy>
  <cp:revision>5</cp:revision>
  <dcterms:created xsi:type="dcterms:W3CDTF">2026-03-31T03:32:00Z</dcterms:created>
  <dcterms:modified xsi:type="dcterms:W3CDTF">2026-04-01T03:54:00Z</dcterms:modified>
</cp:coreProperties>
</file>