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6420F2" w14:textId="4C51D7B6" w:rsidR="00DF5ECA" w:rsidRDefault="00DF5ECA">
      <w:pPr>
        <w:pBdr>
          <w:top w:val="nil"/>
          <w:left w:val="nil"/>
          <w:bottom w:val="nil"/>
          <w:right w:val="nil"/>
          <w:between w:val="nil"/>
        </w:pBdr>
        <w:spacing w:before="120" w:after="120"/>
        <w:jc w:val="center"/>
        <w:rPr>
          <w:rFonts w:ascii="Roboto" w:eastAsia="Roboto" w:hAnsi="Roboto" w:cs="Roboto"/>
          <w:b/>
          <w:bCs/>
          <w:color w:val="000000"/>
        </w:rPr>
      </w:pPr>
      <w:r w:rsidRPr="00DF5ECA">
        <w:rPr>
          <w:rFonts w:ascii="Roboto" w:eastAsia="Roboto" w:hAnsi="Roboto" w:cs="Roboto"/>
          <w:b/>
          <w:bCs/>
          <w:color w:val="000000"/>
        </w:rPr>
        <w:t>El conocimiento profesional del profesorado de educación primaria: un mapa internacional de enfoques, lenguajes y oportunidades de articulación</w:t>
      </w:r>
    </w:p>
    <w:p w14:paraId="40ED084E" w14:textId="25182CF1" w:rsidR="00DF5ECA" w:rsidRDefault="00DF5ECA">
      <w:pPr>
        <w:pBdr>
          <w:top w:val="nil"/>
          <w:left w:val="nil"/>
          <w:bottom w:val="nil"/>
          <w:right w:val="nil"/>
          <w:between w:val="nil"/>
        </w:pBdr>
        <w:jc w:val="center"/>
        <w:rPr>
          <w:rFonts w:ascii="Roboto" w:eastAsia="Roboto" w:hAnsi="Roboto" w:cs="Roboto"/>
          <w:b/>
          <w:bCs/>
          <w:color w:val="000000"/>
          <w:sz w:val="20"/>
          <w:szCs w:val="20"/>
        </w:rPr>
      </w:pPr>
      <w:r w:rsidRPr="00DF5ECA">
        <w:rPr>
          <w:rFonts w:ascii="Roboto" w:eastAsia="Roboto" w:hAnsi="Roboto" w:cs="Roboto"/>
          <w:b/>
          <w:bCs/>
          <w:color w:val="000000"/>
          <w:sz w:val="20"/>
          <w:szCs w:val="20"/>
        </w:rPr>
        <w:t>Santibáñez Gómez, D.</w:t>
      </w:r>
    </w:p>
    <w:p w14:paraId="1AE96DC0" w14:textId="014E4BDD" w:rsidR="00645F96" w:rsidRDefault="00DF5ECA">
      <w:pPr>
        <w:pBdr>
          <w:top w:val="nil"/>
          <w:left w:val="nil"/>
          <w:bottom w:val="nil"/>
          <w:right w:val="nil"/>
          <w:between w:val="nil"/>
        </w:pBdr>
        <w:jc w:val="center"/>
        <w:rPr>
          <w:rFonts w:ascii="Roboto" w:eastAsia="Roboto" w:hAnsi="Roboto" w:cs="Roboto"/>
          <w:color w:val="000000"/>
          <w:sz w:val="18"/>
          <w:szCs w:val="18"/>
          <w:vertAlign w:val="superscript"/>
        </w:rPr>
      </w:pPr>
      <w:r>
        <w:rPr>
          <w:rFonts w:ascii="Roboto" w:eastAsia="Roboto" w:hAnsi="Roboto" w:cs="Roboto"/>
          <w:color w:val="000000"/>
          <w:sz w:val="18"/>
          <w:szCs w:val="18"/>
        </w:rPr>
        <w:t xml:space="preserve">Universidad Finis Terrae, </w:t>
      </w:r>
      <w:hyperlink r:id="rId8" w:history="1">
        <w:r w:rsidR="00AE5D75" w:rsidRPr="00402949">
          <w:rPr>
            <w:rStyle w:val="Hipervnculo"/>
            <w:rFonts w:ascii="Roboto" w:eastAsia="Roboto" w:hAnsi="Roboto" w:cs="Roboto"/>
            <w:sz w:val="18"/>
            <w:szCs w:val="18"/>
          </w:rPr>
          <w:t>https://orcid.org/0000-0001-7840-9138</w:t>
        </w:r>
      </w:hyperlink>
      <w:r w:rsidR="00AE5D75">
        <w:rPr>
          <w:rFonts w:ascii="Roboto" w:eastAsia="Roboto" w:hAnsi="Roboto" w:cs="Roboto"/>
          <w:color w:val="000000"/>
          <w:sz w:val="18"/>
          <w:szCs w:val="18"/>
        </w:rPr>
        <w:t xml:space="preserve"> </w:t>
      </w:r>
    </w:p>
    <w:p w14:paraId="6CC4B6C1" w14:textId="03F94DA5" w:rsidR="00645F96" w:rsidRDefault="00AE5D75">
      <w:pPr>
        <w:jc w:val="center"/>
        <w:rPr>
          <w:rFonts w:ascii="Roboto" w:eastAsia="Roboto" w:hAnsi="Roboto" w:cs="Roboto"/>
          <w:sz w:val="18"/>
          <w:szCs w:val="18"/>
        </w:rPr>
      </w:pPr>
      <w:r>
        <w:rPr>
          <w:rFonts w:ascii="Roboto" w:eastAsia="Roboto" w:hAnsi="Roboto" w:cs="Roboto"/>
          <w:sz w:val="18"/>
          <w:szCs w:val="18"/>
        </w:rPr>
        <w:t>dsantibanez@uft.cl</w:t>
      </w:r>
    </w:p>
    <w:p w14:paraId="51A3FFD3" w14:textId="77777777" w:rsidR="00645F96" w:rsidRDefault="00000000">
      <w:pPr>
        <w:spacing w:before="60"/>
        <w:jc w:val="center"/>
        <w:rPr>
          <w:rFonts w:ascii="Roboto" w:eastAsia="Roboto" w:hAnsi="Roboto" w:cs="Roboto"/>
          <w:sz w:val="18"/>
          <w:szCs w:val="18"/>
        </w:rPr>
        <w:sectPr w:rsidR="00645F96">
          <w:headerReference w:type="default" r:id="rId9"/>
          <w:pgSz w:w="11906" w:h="16838"/>
          <w:pgMar w:top="851" w:right="851" w:bottom="828" w:left="851" w:header="357" w:footer="720" w:gutter="0"/>
          <w:pgNumType w:start="1"/>
          <w:cols w:space="720"/>
        </w:sectPr>
      </w:pPr>
      <w:r>
        <w:pict w14:anchorId="1AAA8656">
          <v:rect id="_x0000_i1025" style="width:0;height:1.5pt" o:hralign="center" o:hrstd="t" o:hr="t" fillcolor="#a0a0a0" stroked="f"/>
        </w:pict>
      </w:r>
    </w:p>
    <w:p w14:paraId="02E963BC" w14:textId="77777777" w:rsidR="00AE5D75" w:rsidRPr="00AE5D75" w:rsidRDefault="00AE5D75" w:rsidP="00AE5D75">
      <w:pPr>
        <w:pBdr>
          <w:top w:val="nil"/>
          <w:left w:val="nil"/>
          <w:bottom w:val="nil"/>
          <w:right w:val="nil"/>
          <w:between w:val="nil"/>
        </w:pBdr>
        <w:jc w:val="both"/>
        <w:rPr>
          <w:rFonts w:ascii="Roboto" w:eastAsia="Roboto" w:hAnsi="Roboto" w:cs="Roboto"/>
          <w:b/>
          <w:bCs/>
          <w:color w:val="000000"/>
          <w:sz w:val="20"/>
          <w:szCs w:val="20"/>
          <w:lang w:val="es-CL"/>
        </w:rPr>
      </w:pPr>
      <w:r w:rsidRPr="00AE5D75">
        <w:rPr>
          <w:rFonts w:ascii="Roboto" w:eastAsia="Roboto" w:hAnsi="Roboto" w:cs="Roboto"/>
          <w:b/>
          <w:bCs/>
          <w:color w:val="000000"/>
          <w:sz w:val="20"/>
          <w:szCs w:val="20"/>
          <w:lang w:val="es-CL"/>
        </w:rPr>
        <w:t>Introducción</w:t>
      </w:r>
    </w:p>
    <w:p w14:paraId="7158E3A5" w14:textId="77777777" w:rsidR="001D6117" w:rsidRPr="001D6117" w:rsidRDefault="001D6117" w:rsidP="001D6117">
      <w:pPr>
        <w:pBdr>
          <w:top w:val="nil"/>
          <w:left w:val="nil"/>
          <w:bottom w:val="nil"/>
          <w:right w:val="nil"/>
          <w:between w:val="nil"/>
        </w:pBdr>
        <w:jc w:val="both"/>
        <w:rPr>
          <w:rFonts w:ascii="Roboto" w:eastAsia="Roboto" w:hAnsi="Roboto" w:cs="Roboto"/>
          <w:color w:val="000000"/>
          <w:sz w:val="20"/>
          <w:szCs w:val="20"/>
          <w:lang w:val="es-CL"/>
        </w:rPr>
      </w:pPr>
      <w:r w:rsidRPr="001D6117">
        <w:rPr>
          <w:rFonts w:ascii="Roboto" w:eastAsia="Roboto" w:hAnsi="Roboto" w:cs="Roboto"/>
          <w:color w:val="000000"/>
          <w:sz w:val="20"/>
          <w:szCs w:val="20"/>
          <w:lang w:val="es-CL"/>
        </w:rPr>
        <w:t xml:space="preserve">La investigación sobre el conocimiento profesional docente ha evolucionado a través de múltiples tradiciones teóricas que, si bien comparten preocupaciones comunes, han sido desarrolladas con escasa articulación entre sí. En el ámbito anglosajón, el concepto de </w:t>
      </w:r>
      <w:r w:rsidRPr="001D6117">
        <w:rPr>
          <w:rFonts w:ascii="Roboto" w:eastAsia="Roboto" w:hAnsi="Roboto" w:cs="Roboto"/>
          <w:i/>
          <w:iCs/>
          <w:color w:val="000000"/>
          <w:sz w:val="20"/>
          <w:szCs w:val="20"/>
          <w:lang w:val="es-CL"/>
        </w:rPr>
        <w:t>Pedagogical Content Knowledge</w:t>
      </w:r>
      <w:r w:rsidRPr="001D6117">
        <w:rPr>
          <w:rFonts w:ascii="Roboto" w:eastAsia="Roboto" w:hAnsi="Roboto" w:cs="Roboto"/>
          <w:color w:val="000000"/>
          <w:sz w:val="20"/>
          <w:szCs w:val="20"/>
          <w:lang w:val="es-CL"/>
        </w:rPr>
        <w:t xml:space="preserve"> (PCK) propuesto por Shulman (1986, 1987) ha orientado gran parte del campo, consolidándose como un marco clave para comprender la transformación del conocimiento disciplinar en conocimiento enseñable (Abell, 2008; Kind, 2009).</w:t>
      </w:r>
    </w:p>
    <w:p w14:paraId="7A22284D" w14:textId="77777777" w:rsidR="001D6117" w:rsidRPr="001D6117" w:rsidRDefault="001D6117" w:rsidP="001D6117">
      <w:pPr>
        <w:pBdr>
          <w:top w:val="nil"/>
          <w:left w:val="nil"/>
          <w:bottom w:val="nil"/>
          <w:right w:val="nil"/>
          <w:between w:val="nil"/>
        </w:pBdr>
        <w:jc w:val="both"/>
        <w:rPr>
          <w:rFonts w:ascii="Roboto" w:eastAsia="Roboto" w:hAnsi="Roboto" w:cs="Roboto"/>
          <w:color w:val="000000"/>
          <w:sz w:val="20"/>
          <w:szCs w:val="20"/>
          <w:lang w:val="es-CL"/>
        </w:rPr>
      </w:pPr>
      <w:r w:rsidRPr="001D6117">
        <w:rPr>
          <w:rFonts w:ascii="Roboto" w:eastAsia="Roboto" w:hAnsi="Roboto" w:cs="Roboto"/>
          <w:color w:val="000000"/>
          <w:sz w:val="20"/>
          <w:szCs w:val="20"/>
          <w:lang w:val="es-CL"/>
        </w:rPr>
        <w:t>Sin embargo, en contextos iberoamericanos y europeos han emergido tradiciones alternativas que conceptualizan el conocimiento docente desde otros lenguajes y marcos analíticos. Entre ellas, destacan el enfoque de los saberes docentes (Tardif, 2004), las didácticas específicas (Chevallard, 1991; Chamizo, 2010) y las perspectivas centradas en la práctica y la reflexión profesional (Clandinin &amp; Connelly, 1995). Estas tradiciones han contribuido significativamente al campo, aunque frecuentemente han evolucionado en paralelo, con escasos puntos de convergencia explícita.</w:t>
      </w:r>
    </w:p>
    <w:p w14:paraId="0B70F974" w14:textId="77777777" w:rsidR="001D6117" w:rsidRPr="001D6117" w:rsidRDefault="001D6117" w:rsidP="001D6117">
      <w:pPr>
        <w:pBdr>
          <w:top w:val="nil"/>
          <w:left w:val="nil"/>
          <w:bottom w:val="nil"/>
          <w:right w:val="nil"/>
          <w:between w:val="nil"/>
        </w:pBdr>
        <w:jc w:val="both"/>
        <w:rPr>
          <w:rFonts w:ascii="Roboto" w:eastAsia="Roboto" w:hAnsi="Roboto" w:cs="Roboto"/>
          <w:color w:val="000000"/>
          <w:sz w:val="20"/>
          <w:szCs w:val="20"/>
          <w:lang w:val="es-CL"/>
        </w:rPr>
      </w:pPr>
      <w:r w:rsidRPr="001D6117">
        <w:rPr>
          <w:rFonts w:ascii="Roboto" w:eastAsia="Roboto" w:hAnsi="Roboto" w:cs="Roboto"/>
          <w:color w:val="000000"/>
          <w:sz w:val="20"/>
          <w:szCs w:val="20"/>
          <w:lang w:val="es-CL"/>
        </w:rPr>
        <w:t>En educación primaria, esta fragmentación se vuelve particularmente relevante. A diferencia de la educación secundaria, donde el conocimiento docente suele analizarse desde disciplinas específicas, el profesorado de primaria se caracteriza por un rol generalista que exige integrar múltiples dominios de conocimiento en contextos complejos y altamente situados (van Driel et al., 2023). No obstante, la investigación sobre este nivel sigue siendo limitada y dispersa.</w:t>
      </w:r>
    </w:p>
    <w:p w14:paraId="081E84C7" w14:textId="77777777" w:rsidR="001D6117" w:rsidRPr="001D6117" w:rsidRDefault="001D6117" w:rsidP="001D6117">
      <w:pPr>
        <w:pBdr>
          <w:top w:val="nil"/>
          <w:left w:val="nil"/>
          <w:bottom w:val="nil"/>
          <w:right w:val="nil"/>
          <w:between w:val="nil"/>
        </w:pBdr>
        <w:jc w:val="both"/>
        <w:rPr>
          <w:rFonts w:ascii="Roboto" w:eastAsia="Roboto" w:hAnsi="Roboto" w:cs="Roboto"/>
          <w:color w:val="000000"/>
          <w:sz w:val="20"/>
          <w:szCs w:val="20"/>
          <w:lang w:val="es-CL"/>
        </w:rPr>
      </w:pPr>
      <w:r w:rsidRPr="001D6117">
        <w:rPr>
          <w:rFonts w:ascii="Roboto" w:eastAsia="Roboto" w:hAnsi="Roboto" w:cs="Roboto"/>
          <w:color w:val="000000"/>
          <w:sz w:val="20"/>
          <w:szCs w:val="20"/>
          <w:lang w:val="es-CL"/>
        </w:rPr>
        <w:t>En este contexto, se plantea la necesidad de construir una visión integradora que permita reconocer convergencias conceptuales entre tradiciones, identificar tensiones epistemológicas y avanzar hacia marcos articuladores que fortalezcan tanto la investigación como la formación docente.</w:t>
      </w:r>
    </w:p>
    <w:p w14:paraId="4E5C0770" w14:textId="77777777" w:rsidR="00645F96" w:rsidRPr="00AE5D75" w:rsidRDefault="00645F96">
      <w:pPr>
        <w:pBdr>
          <w:top w:val="nil"/>
          <w:left w:val="nil"/>
          <w:bottom w:val="nil"/>
          <w:right w:val="nil"/>
          <w:between w:val="nil"/>
        </w:pBdr>
        <w:jc w:val="both"/>
        <w:rPr>
          <w:rFonts w:ascii="Roboto" w:eastAsia="Roboto" w:hAnsi="Roboto" w:cs="Roboto"/>
          <w:b/>
          <w:bCs/>
          <w:color w:val="000000"/>
          <w:sz w:val="20"/>
          <w:szCs w:val="20"/>
          <w:lang w:val="es-CL"/>
        </w:rPr>
      </w:pPr>
    </w:p>
    <w:p w14:paraId="255D7EE7" w14:textId="77777777" w:rsidR="001D6117" w:rsidRPr="001D6117" w:rsidRDefault="001D6117" w:rsidP="001D6117">
      <w:pPr>
        <w:pBdr>
          <w:top w:val="nil"/>
          <w:left w:val="nil"/>
          <w:bottom w:val="nil"/>
          <w:right w:val="nil"/>
          <w:between w:val="nil"/>
        </w:pBdr>
        <w:jc w:val="both"/>
        <w:rPr>
          <w:rFonts w:ascii="Roboto" w:eastAsia="Roboto" w:hAnsi="Roboto" w:cs="Roboto"/>
          <w:b/>
          <w:bCs/>
          <w:color w:val="000000"/>
          <w:sz w:val="20"/>
          <w:szCs w:val="20"/>
          <w:lang w:val="es-CL"/>
        </w:rPr>
      </w:pPr>
      <w:r w:rsidRPr="001D6117">
        <w:rPr>
          <w:rFonts w:ascii="Roboto" w:eastAsia="Roboto" w:hAnsi="Roboto" w:cs="Roboto"/>
          <w:b/>
          <w:bCs/>
          <w:color w:val="000000"/>
          <w:sz w:val="20"/>
          <w:szCs w:val="20"/>
          <w:lang w:val="es-CL"/>
        </w:rPr>
        <w:t>Estrategia metodológica y principales hallazgos</w:t>
      </w:r>
    </w:p>
    <w:p w14:paraId="0EDA1FA4" w14:textId="77777777" w:rsidR="001D6117" w:rsidRPr="001D6117" w:rsidRDefault="001D6117" w:rsidP="001D6117">
      <w:pPr>
        <w:pBdr>
          <w:top w:val="nil"/>
          <w:left w:val="nil"/>
          <w:bottom w:val="nil"/>
          <w:right w:val="nil"/>
          <w:between w:val="nil"/>
        </w:pBdr>
        <w:jc w:val="both"/>
        <w:rPr>
          <w:rFonts w:ascii="Roboto" w:eastAsia="Roboto" w:hAnsi="Roboto" w:cs="Roboto"/>
          <w:color w:val="000000"/>
          <w:sz w:val="20"/>
          <w:szCs w:val="20"/>
          <w:lang w:val="es-CL"/>
        </w:rPr>
      </w:pPr>
      <w:r w:rsidRPr="001D6117">
        <w:rPr>
          <w:rFonts w:ascii="Roboto" w:eastAsia="Roboto" w:hAnsi="Roboto" w:cs="Roboto"/>
          <w:color w:val="000000"/>
          <w:sz w:val="20"/>
          <w:szCs w:val="20"/>
          <w:lang w:val="es-CL"/>
        </w:rPr>
        <w:t>Se desarrolló una revisión sistemática de literatura orientada a identificar y caracterizar los enfoques utilizados para describir el conocimiento profesional del profesorado de educación primaria. La búsqueda se realizó en las bases de datos WoS y Scopus, considerando el período 1986–2024. Tras la aplicación de criterios de inclusión y exclusión, se conformó una muestra final de 303 artículos centrados en docentes de educación primaria.</w:t>
      </w:r>
    </w:p>
    <w:p w14:paraId="60FC9824" w14:textId="77777777" w:rsidR="001D6117" w:rsidRPr="001D6117" w:rsidRDefault="001D6117" w:rsidP="001D6117">
      <w:pPr>
        <w:pBdr>
          <w:top w:val="nil"/>
          <w:left w:val="nil"/>
          <w:bottom w:val="nil"/>
          <w:right w:val="nil"/>
          <w:between w:val="nil"/>
        </w:pBdr>
        <w:jc w:val="both"/>
        <w:rPr>
          <w:rFonts w:ascii="Roboto" w:eastAsia="Roboto" w:hAnsi="Roboto" w:cs="Roboto"/>
          <w:color w:val="000000"/>
          <w:sz w:val="20"/>
          <w:szCs w:val="20"/>
          <w:lang w:val="es-CL"/>
        </w:rPr>
      </w:pPr>
      <w:r w:rsidRPr="001D6117">
        <w:rPr>
          <w:rFonts w:ascii="Roboto" w:eastAsia="Roboto" w:hAnsi="Roboto" w:cs="Roboto"/>
          <w:color w:val="000000"/>
          <w:sz w:val="20"/>
          <w:szCs w:val="20"/>
          <w:lang w:val="es-CL"/>
        </w:rPr>
        <w:t xml:space="preserve">El análisis se llevó a cabo mediante un proceso de codificación conceptual y contextual, que permitió identificar patrones en los marcos teóricos, focos de </w:t>
      </w:r>
      <w:r w:rsidRPr="001D6117">
        <w:rPr>
          <w:rFonts w:ascii="Roboto" w:eastAsia="Roboto" w:hAnsi="Roboto" w:cs="Roboto"/>
          <w:color w:val="000000"/>
          <w:sz w:val="20"/>
          <w:szCs w:val="20"/>
          <w:lang w:val="es-CL"/>
        </w:rPr>
        <w:t>investigación y niveles de análisis presentes en la literatura.</w:t>
      </w:r>
    </w:p>
    <w:p w14:paraId="55657472" w14:textId="77777777" w:rsidR="001D6117" w:rsidRPr="001D6117" w:rsidRDefault="001D6117" w:rsidP="001D6117">
      <w:pPr>
        <w:pBdr>
          <w:top w:val="nil"/>
          <w:left w:val="nil"/>
          <w:bottom w:val="nil"/>
          <w:right w:val="nil"/>
          <w:between w:val="nil"/>
        </w:pBdr>
        <w:jc w:val="both"/>
        <w:rPr>
          <w:rFonts w:ascii="Roboto" w:eastAsia="Roboto" w:hAnsi="Roboto" w:cs="Roboto"/>
          <w:color w:val="000000"/>
          <w:sz w:val="20"/>
          <w:szCs w:val="20"/>
          <w:lang w:val="es-CL"/>
        </w:rPr>
      </w:pPr>
      <w:r w:rsidRPr="001D6117">
        <w:rPr>
          <w:rFonts w:ascii="Roboto" w:eastAsia="Roboto" w:hAnsi="Roboto" w:cs="Roboto"/>
          <w:color w:val="000000"/>
          <w:sz w:val="20"/>
          <w:szCs w:val="20"/>
          <w:lang w:val="es-CL"/>
        </w:rPr>
        <w:t>Los resultados muestran la coexistencia de al menos cuatro grandes tradiciones de estudio: (1) enfoques centrados en la transformación del conocimiento disciplinar para su enseñanza, (2) perspectivas orientadas a la práctica docente y la reflexión profesional, (3) aproximaciones desde las didácticas específicas de las disciplinas y (4) marcos vinculados a competencias profesionales y estándares de formación.</w:t>
      </w:r>
    </w:p>
    <w:p w14:paraId="30310B50" w14:textId="77777777" w:rsidR="001D6117" w:rsidRPr="001D6117" w:rsidRDefault="001D6117" w:rsidP="001D6117">
      <w:pPr>
        <w:pBdr>
          <w:top w:val="nil"/>
          <w:left w:val="nil"/>
          <w:bottom w:val="nil"/>
          <w:right w:val="nil"/>
          <w:between w:val="nil"/>
        </w:pBdr>
        <w:jc w:val="both"/>
        <w:rPr>
          <w:rFonts w:ascii="Roboto" w:eastAsia="Roboto" w:hAnsi="Roboto" w:cs="Roboto"/>
          <w:color w:val="000000"/>
          <w:sz w:val="20"/>
          <w:szCs w:val="20"/>
          <w:lang w:val="es-CL"/>
        </w:rPr>
      </w:pPr>
      <w:r w:rsidRPr="001D6117">
        <w:rPr>
          <w:rFonts w:ascii="Roboto" w:eastAsia="Roboto" w:hAnsi="Roboto" w:cs="Roboto"/>
          <w:color w:val="000000"/>
          <w:sz w:val="20"/>
          <w:szCs w:val="20"/>
          <w:lang w:val="es-CL"/>
        </w:rPr>
        <w:t>Más allá de sus diferencias terminológicas, estas tradiciones comparten núcleos analíticos comunes, particularmente en relación con: (a) la adaptación del conocimiento disciplinar a contextos de enseñanza, (b) la toma de decisiones pedagógicas en situaciones complejas de aula y (c) la relación dinámica entre conocimiento y práctica.</w:t>
      </w:r>
    </w:p>
    <w:p w14:paraId="648BC3FE" w14:textId="77777777" w:rsidR="001D6117" w:rsidRPr="001D6117" w:rsidRDefault="001D6117" w:rsidP="001D6117">
      <w:pPr>
        <w:pBdr>
          <w:top w:val="nil"/>
          <w:left w:val="nil"/>
          <w:bottom w:val="nil"/>
          <w:right w:val="nil"/>
          <w:between w:val="nil"/>
        </w:pBdr>
        <w:jc w:val="both"/>
        <w:rPr>
          <w:rFonts w:ascii="Roboto" w:eastAsia="Roboto" w:hAnsi="Roboto" w:cs="Roboto"/>
          <w:color w:val="000000"/>
          <w:sz w:val="20"/>
          <w:szCs w:val="20"/>
          <w:lang w:val="es-CL"/>
        </w:rPr>
      </w:pPr>
      <w:r w:rsidRPr="001D6117">
        <w:rPr>
          <w:rFonts w:ascii="Roboto" w:eastAsia="Roboto" w:hAnsi="Roboto" w:cs="Roboto"/>
          <w:color w:val="000000"/>
          <w:sz w:val="20"/>
          <w:szCs w:val="20"/>
          <w:lang w:val="es-CL"/>
        </w:rPr>
        <w:t>Asimismo, se identifican vacíos relevantes en la literatura, especialmente en lo referido al estudio del conocimiento profesional en educación primaria como nivel específico, su desarrollo en contextos de alta complejidad y la articulación entre formación inicial y ejercicio profesional.</w:t>
      </w:r>
    </w:p>
    <w:p w14:paraId="502E2914" w14:textId="77777777" w:rsidR="00645F96" w:rsidRPr="001D6117" w:rsidRDefault="00645F96">
      <w:pPr>
        <w:pBdr>
          <w:top w:val="nil"/>
          <w:left w:val="nil"/>
          <w:bottom w:val="nil"/>
          <w:right w:val="nil"/>
          <w:between w:val="nil"/>
        </w:pBdr>
        <w:jc w:val="both"/>
        <w:rPr>
          <w:rFonts w:ascii="Roboto" w:eastAsia="Roboto" w:hAnsi="Roboto" w:cs="Roboto"/>
          <w:color w:val="000000"/>
          <w:sz w:val="20"/>
          <w:szCs w:val="20"/>
          <w:lang w:val="es-CL"/>
        </w:rPr>
      </w:pPr>
    </w:p>
    <w:p w14:paraId="0FD9EE4C" w14:textId="77777777" w:rsidR="001D6117" w:rsidRPr="001D6117" w:rsidRDefault="001D6117" w:rsidP="001D6117">
      <w:pPr>
        <w:jc w:val="both"/>
        <w:rPr>
          <w:rFonts w:ascii="Roboto" w:eastAsia="Roboto" w:hAnsi="Roboto" w:cs="Roboto"/>
          <w:b/>
          <w:bCs/>
          <w:color w:val="000000"/>
          <w:sz w:val="20"/>
          <w:szCs w:val="20"/>
          <w:lang w:val="es-CL"/>
        </w:rPr>
      </w:pPr>
      <w:r w:rsidRPr="001D6117">
        <w:rPr>
          <w:rFonts w:ascii="Roboto" w:eastAsia="Roboto" w:hAnsi="Roboto" w:cs="Roboto"/>
          <w:b/>
          <w:bCs/>
          <w:color w:val="000000"/>
          <w:sz w:val="20"/>
          <w:szCs w:val="20"/>
          <w:lang w:val="es-CL"/>
        </w:rPr>
        <w:t>Discusión e implicancias para la formación docente</w:t>
      </w:r>
    </w:p>
    <w:p w14:paraId="11946BC6" w14:textId="77777777" w:rsidR="001D6117" w:rsidRPr="001D6117" w:rsidRDefault="001D6117" w:rsidP="001D6117">
      <w:pPr>
        <w:jc w:val="both"/>
        <w:rPr>
          <w:rFonts w:ascii="Roboto" w:eastAsia="Roboto" w:hAnsi="Roboto" w:cs="Roboto"/>
          <w:color w:val="000000"/>
          <w:sz w:val="20"/>
          <w:szCs w:val="20"/>
          <w:lang w:val="es-CL"/>
        </w:rPr>
      </w:pPr>
      <w:r w:rsidRPr="001D6117">
        <w:rPr>
          <w:rFonts w:ascii="Roboto" w:eastAsia="Roboto" w:hAnsi="Roboto" w:cs="Roboto"/>
          <w:color w:val="000000"/>
          <w:sz w:val="20"/>
          <w:szCs w:val="20"/>
          <w:lang w:val="es-CL"/>
        </w:rPr>
        <w:t>Los resultados de esta revisión sugieren que, más allá de sus diferencias terminológicas, las distintas tradiciones que abordan el conocimiento profesional docente comparten núcleos analíticos comunes. En particular, convergen en la idea de que enseñar implica transformar el conocimiento disciplinar en formas accesibles, tomar decisiones en contextos inciertos y articular saberes diversos en la práctica.</w:t>
      </w:r>
    </w:p>
    <w:p w14:paraId="05F75124" w14:textId="77777777" w:rsidR="001D6117" w:rsidRPr="001D6117" w:rsidRDefault="001D6117" w:rsidP="001D6117">
      <w:pPr>
        <w:jc w:val="both"/>
        <w:rPr>
          <w:rFonts w:ascii="Roboto" w:eastAsia="Roboto" w:hAnsi="Roboto" w:cs="Roboto"/>
          <w:color w:val="000000"/>
          <w:sz w:val="20"/>
          <w:szCs w:val="20"/>
          <w:lang w:val="es-CL"/>
        </w:rPr>
      </w:pPr>
      <w:r w:rsidRPr="001D6117">
        <w:rPr>
          <w:rFonts w:ascii="Roboto" w:eastAsia="Roboto" w:hAnsi="Roboto" w:cs="Roboto"/>
          <w:color w:val="000000"/>
          <w:sz w:val="20"/>
          <w:szCs w:val="20"/>
          <w:lang w:val="es-CL"/>
        </w:rPr>
        <w:t>Desde la tradición del PCK, este proceso ha sido conceptualizado como una transformación del conocimiento disciplinar en conocimiento para la enseñanza (Shulman, 1987; Kind, 2009). Por su parte, desde el enfoque de los saberes docentes, se enfatiza el carácter situado, experiencial y plural del conocimiento profesional (Tardif, 2004). En las didácticas específicas, el foco se desplaza hacia la relación entre contenido, representación y aprendizaje, destacando la importancia de los modelos y las transposiciones didácticas (Chevallard, 1991; Chamizo, 2010).</w:t>
      </w:r>
    </w:p>
    <w:p w14:paraId="7BF08D1E" w14:textId="40D757C2" w:rsidR="001D6117" w:rsidRPr="001D6117" w:rsidRDefault="001D6117" w:rsidP="001D6117">
      <w:pPr>
        <w:jc w:val="both"/>
        <w:rPr>
          <w:rFonts w:ascii="Roboto" w:eastAsia="Roboto" w:hAnsi="Roboto" w:cs="Roboto"/>
          <w:color w:val="000000"/>
          <w:sz w:val="20"/>
          <w:szCs w:val="20"/>
          <w:lang w:val="es-CL"/>
        </w:rPr>
      </w:pPr>
      <w:r w:rsidRPr="001D6117">
        <w:rPr>
          <w:rFonts w:ascii="Roboto" w:eastAsia="Roboto" w:hAnsi="Roboto" w:cs="Roboto"/>
          <w:color w:val="000000"/>
          <w:sz w:val="20"/>
          <w:szCs w:val="20"/>
          <w:lang w:val="es-CL"/>
        </w:rPr>
        <w:t xml:space="preserve">Lejos de ser incompatibles, estas perspectivas pueden entenderse como aproximaciones complementarias a un mismo fenómeno. De hecho, algunos estudios recientes sugieren la necesidad de marcos integradores que articulen dimensiones epistemológicas, pedagógicas y contextuales del conocimiento docente, especialmente en educación primaria, donde las demandas profesionales requieren una alta capacidad </w:t>
      </w:r>
      <w:r w:rsidRPr="001D6117">
        <w:rPr>
          <w:rFonts w:ascii="Roboto" w:eastAsia="Roboto" w:hAnsi="Roboto" w:cs="Roboto"/>
          <w:color w:val="000000"/>
          <w:sz w:val="20"/>
          <w:szCs w:val="20"/>
          <w:lang w:val="es-CL"/>
        </w:rPr>
        <w:lastRenderedPageBreak/>
        <w:t>de integración (Díaz Godino et al., 2015; Melo et al., 2022)</w:t>
      </w:r>
      <w:r>
        <w:rPr>
          <w:rFonts w:ascii="Roboto" w:eastAsia="Roboto" w:hAnsi="Roboto" w:cs="Roboto"/>
          <w:color w:val="000000"/>
          <w:sz w:val="20"/>
          <w:szCs w:val="20"/>
          <w:lang w:val="es-CL"/>
        </w:rPr>
        <w:t>.</w:t>
      </w:r>
    </w:p>
    <w:p w14:paraId="5662BD32" w14:textId="77777777" w:rsidR="001D6117" w:rsidRPr="001D6117" w:rsidRDefault="001D6117" w:rsidP="001D6117">
      <w:pPr>
        <w:jc w:val="both"/>
        <w:rPr>
          <w:rFonts w:ascii="Roboto" w:eastAsia="Roboto" w:hAnsi="Roboto" w:cs="Roboto"/>
          <w:color w:val="000000"/>
          <w:sz w:val="20"/>
          <w:szCs w:val="20"/>
          <w:lang w:val="es-CL"/>
        </w:rPr>
      </w:pPr>
      <w:r w:rsidRPr="001D6117">
        <w:rPr>
          <w:rFonts w:ascii="Roboto" w:eastAsia="Roboto" w:hAnsi="Roboto" w:cs="Roboto"/>
          <w:color w:val="000000"/>
          <w:sz w:val="20"/>
          <w:szCs w:val="20"/>
          <w:lang w:val="es-CL"/>
        </w:rPr>
        <w:t>Desde esta perspectiva, el desafío no radica en reemplazar un marco por otro, sino en avanzar hacia modelos de articulación que permitan dialogar entre tradiciones, reconociendo sus aportes y limitaciones.</w:t>
      </w:r>
    </w:p>
    <w:p w14:paraId="642233FB" w14:textId="77777777" w:rsidR="00645F96" w:rsidRPr="001D6117" w:rsidRDefault="00645F96">
      <w:pPr>
        <w:jc w:val="both"/>
        <w:rPr>
          <w:rFonts w:ascii="Roboto" w:eastAsia="Roboto" w:hAnsi="Roboto" w:cs="Roboto"/>
          <w:sz w:val="20"/>
          <w:szCs w:val="20"/>
          <w:lang w:val="es-CL"/>
        </w:rPr>
      </w:pPr>
    </w:p>
    <w:p w14:paraId="0F310598" w14:textId="5A02BB5D" w:rsidR="00645F96" w:rsidRPr="002371D2" w:rsidRDefault="001D6117">
      <w:pPr>
        <w:jc w:val="both"/>
        <w:rPr>
          <w:rFonts w:ascii="Roboto" w:eastAsia="Roboto" w:hAnsi="Roboto" w:cs="Roboto"/>
          <w:b/>
          <w:bCs/>
          <w:sz w:val="20"/>
          <w:szCs w:val="20"/>
          <w:lang w:val="en-US"/>
        </w:rPr>
      </w:pPr>
      <w:r w:rsidRPr="002371D2">
        <w:rPr>
          <w:rFonts w:ascii="Roboto" w:eastAsia="Roboto" w:hAnsi="Roboto" w:cs="Roboto"/>
          <w:b/>
          <w:bCs/>
          <w:sz w:val="20"/>
          <w:szCs w:val="20"/>
          <w:lang w:val="en-US"/>
        </w:rPr>
        <w:t>Referencias</w:t>
      </w:r>
    </w:p>
    <w:p w14:paraId="48DC4139" w14:textId="35DAC523" w:rsidR="001D6117" w:rsidRPr="001D6117" w:rsidRDefault="001D6117" w:rsidP="001D6117">
      <w:pPr>
        <w:jc w:val="both"/>
        <w:rPr>
          <w:rFonts w:ascii="Roboto" w:eastAsia="Roboto" w:hAnsi="Roboto" w:cs="Roboto"/>
          <w:sz w:val="20"/>
          <w:szCs w:val="20"/>
          <w:lang w:val="en-US"/>
        </w:rPr>
      </w:pPr>
      <w:r w:rsidRPr="001D6117">
        <w:rPr>
          <w:rFonts w:ascii="Roboto" w:eastAsia="Roboto" w:hAnsi="Roboto" w:cs="Roboto"/>
          <w:sz w:val="20"/>
          <w:szCs w:val="20"/>
          <w:lang w:val="en-US"/>
        </w:rPr>
        <w:t xml:space="preserve">Abell, S. K. (2008). Twenty years later: Does pedagogical content knowledge remain a useful idea? </w:t>
      </w:r>
      <w:r w:rsidRPr="001D6117">
        <w:rPr>
          <w:rFonts w:ascii="Roboto" w:eastAsia="Roboto" w:hAnsi="Roboto" w:cs="Roboto"/>
          <w:i/>
          <w:iCs/>
          <w:sz w:val="20"/>
          <w:szCs w:val="20"/>
          <w:lang w:val="en-US"/>
        </w:rPr>
        <w:t>International Journal of Science Education, 30</w:t>
      </w:r>
      <w:r w:rsidRPr="001D6117">
        <w:rPr>
          <w:rFonts w:ascii="Roboto" w:eastAsia="Roboto" w:hAnsi="Roboto" w:cs="Roboto"/>
          <w:sz w:val="20"/>
          <w:szCs w:val="20"/>
          <w:lang w:val="en-US"/>
        </w:rPr>
        <w:t xml:space="preserve">(10), 1405–1416. </w:t>
      </w:r>
    </w:p>
    <w:p w14:paraId="44BF1627" w14:textId="24C9AE34" w:rsidR="001D6117" w:rsidRPr="001D6117" w:rsidRDefault="001D6117" w:rsidP="001D6117">
      <w:pPr>
        <w:jc w:val="both"/>
        <w:rPr>
          <w:rFonts w:ascii="Roboto" w:eastAsia="Roboto" w:hAnsi="Roboto" w:cs="Roboto"/>
          <w:sz w:val="20"/>
          <w:szCs w:val="20"/>
          <w:lang w:val="es-CL"/>
        </w:rPr>
      </w:pPr>
      <w:r w:rsidRPr="002371D2">
        <w:rPr>
          <w:rFonts w:ascii="Roboto" w:eastAsia="Roboto" w:hAnsi="Roboto" w:cs="Roboto"/>
          <w:sz w:val="20"/>
          <w:szCs w:val="20"/>
          <w:lang w:val="en-US"/>
        </w:rPr>
        <w:t xml:space="preserve">Alpízar Vargas, M., &amp; Alfaro Arce, A. L. (2020). </w:t>
      </w:r>
      <w:r w:rsidRPr="001D6117">
        <w:rPr>
          <w:rFonts w:ascii="Roboto" w:eastAsia="Roboto" w:hAnsi="Roboto" w:cs="Roboto"/>
          <w:sz w:val="20"/>
          <w:szCs w:val="20"/>
          <w:lang w:val="es-CL"/>
        </w:rPr>
        <w:t xml:space="preserve">Percepción de un grupo de docentes de educación primaria acerca de la preparación recibida durante su formación universitaria en cuanto al tema de las matemáticas. </w:t>
      </w:r>
      <w:r w:rsidRPr="001D6117">
        <w:rPr>
          <w:rFonts w:ascii="Roboto" w:eastAsia="Roboto" w:hAnsi="Roboto" w:cs="Roboto"/>
          <w:i/>
          <w:iCs/>
          <w:sz w:val="20"/>
          <w:szCs w:val="20"/>
          <w:lang w:val="es-CL"/>
        </w:rPr>
        <w:t>Uniciencia, 34</w:t>
      </w:r>
      <w:r w:rsidRPr="001D6117">
        <w:rPr>
          <w:rFonts w:ascii="Roboto" w:eastAsia="Roboto" w:hAnsi="Roboto" w:cs="Roboto"/>
          <w:sz w:val="20"/>
          <w:szCs w:val="20"/>
          <w:lang w:val="es-CL"/>
        </w:rPr>
        <w:t xml:space="preserve">(1), 1–16. </w:t>
      </w:r>
    </w:p>
    <w:p w14:paraId="71C1A5F7" w14:textId="682CB63D" w:rsidR="001D6117" w:rsidRPr="001D6117" w:rsidRDefault="001D6117" w:rsidP="001D6117">
      <w:pPr>
        <w:jc w:val="both"/>
        <w:rPr>
          <w:rFonts w:ascii="Roboto" w:eastAsia="Roboto" w:hAnsi="Roboto" w:cs="Roboto"/>
          <w:sz w:val="20"/>
          <w:szCs w:val="20"/>
          <w:lang w:val="es-CL"/>
        </w:rPr>
      </w:pPr>
      <w:r w:rsidRPr="001D6117">
        <w:rPr>
          <w:rFonts w:ascii="Roboto" w:eastAsia="Roboto" w:hAnsi="Roboto" w:cs="Roboto"/>
          <w:sz w:val="20"/>
          <w:szCs w:val="20"/>
          <w:lang w:val="es-CL"/>
        </w:rPr>
        <w:t xml:space="preserve">Chamizo, J. A. (2010). Una tipología de los modelos para la enseñanza de las ciencias. </w:t>
      </w:r>
      <w:r w:rsidRPr="001D6117">
        <w:rPr>
          <w:rFonts w:ascii="Roboto" w:eastAsia="Roboto" w:hAnsi="Roboto" w:cs="Roboto"/>
          <w:i/>
          <w:iCs/>
          <w:sz w:val="20"/>
          <w:szCs w:val="20"/>
          <w:lang w:val="es-CL"/>
        </w:rPr>
        <w:t>Revista Eureka sobre Enseñanza y Divulgación de las Ciencias, 7</w:t>
      </w:r>
      <w:r w:rsidRPr="001D6117">
        <w:rPr>
          <w:rFonts w:ascii="Roboto" w:eastAsia="Roboto" w:hAnsi="Roboto" w:cs="Roboto"/>
          <w:sz w:val="20"/>
          <w:szCs w:val="20"/>
          <w:lang w:val="es-CL"/>
        </w:rPr>
        <w:t xml:space="preserve">(1), 26–41. </w:t>
      </w:r>
    </w:p>
    <w:p w14:paraId="2D08DFBB" w14:textId="77777777" w:rsidR="001D6117" w:rsidRPr="001D6117" w:rsidRDefault="001D6117" w:rsidP="001D6117">
      <w:pPr>
        <w:jc w:val="both"/>
        <w:rPr>
          <w:rFonts w:ascii="Roboto" w:eastAsia="Roboto" w:hAnsi="Roboto" w:cs="Roboto"/>
          <w:sz w:val="20"/>
          <w:szCs w:val="20"/>
          <w:lang w:val="en-US"/>
        </w:rPr>
      </w:pPr>
      <w:r w:rsidRPr="001D6117">
        <w:rPr>
          <w:rFonts w:ascii="Roboto" w:eastAsia="Roboto" w:hAnsi="Roboto" w:cs="Roboto"/>
          <w:sz w:val="20"/>
          <w:szCs w:val="20"/>
          <w:lang w:val="es-CL"/>
        </w:rPr>
        <w:t xml:space="preserve">Chevallard, Y. (1991). </w:t>
      </w:r>
      <w:r w:rsidRPr="001D6117">
        <w:rPr>
          <w:rFonts w:ascii="Roboto" w:eastAsia="Roboto" w:hAnsi="Roboto" w:cs="Roboto"/>
          <w:i/>
          <w:iCs/>
          <w:sz w:val="20"/>
          <w:szCs w:val="20"/>
          <w:lang w:val="es-CL"/>
        </w:rPr>
        <w:t>La transposición didáctica: Del saber sabio al saber enseñado</w:t>
      </w:r>
      <w:r w:rsidRPr="001D6117">
        <w:rPr>
          <w:rFonts w:ascii="Roboto" w:eastAsia="Roboto" w:hAnsi="Roboto" w:cs="Roboto"/>
          <w:sz w:val="20"/>
          <w:szCs w:val="20"/>
          <w:lang w:val="es-CL"/>
        </w:rPr>
        <w:t xml:space="preserve">. </w:t>
      </w:r>
      <w:r w:rsidRPr="001D6117">
        <w:rPr>
          <w:rFonts w:ascii="Roboto" w:eastAsia="Roboto" w:hAnsi="Roboto" w:cs="Roboto"/>
          <w:sz w:val="20"/>
          <w:szCs w:val="20"/>
          <w:lang w:val="en-US"/>
        </w:rPr>
        <w:t>Aique.</w:t>
      </w:r>
    </w:p>
    <w:p w14:paraId="487BCB18" w14:textId="77777777" w:rsidR="001D6117" w:rsidRPr="001D6117" w:rsidRDefault="001D6117" w:rsidP="001D6117">
      <w:pPr>
        <w:jc w:val="both"/>
        <w:rPr>
          <w:rFonts w:ascii="Roboto" w:eastAsia="Roboto" w:hAnsi="Roboto" w:cs="Roboto"/>
          <w:sz w:val="20"/>
          <w:szCs w:val="20"/>
          <w:lang w:val="en-US"/>
        </w:rPr>
      </w:pPr>
      <w:r w:rsidRPr="001D6117">
        <w:rPr>
          <w:rFonts w:ascii="Roboto" w:eastAsia="Roboto" w:hAnsi="Roboto" w:cs="Roboto"/>
          <w:sz w:val="20"/>
          <w:szCs w:val="20"/>
          <w:lang w:val="en-US"/>
        </w:rPr>
        <w:t xml:space="preserve">Clandinin, D. J., &amp; Connelly, F. M. (1995). </w:t>
      </w:r>
      <w:r w:rsidRPr="001D6117">
        <w:rPr>
          <w:rFonts w:ascii="Roboto" w:eastAsia="Roboto" w:hAnsi="Roboto" w:cs="Roboto"/>
          <w:i/>
          <w:iCs/>
          <w:sz w:val="20"/>
          <w:szCs w:val="20"/>
          <w:lang w:val="en-US"/>
        </w:rPr>
        <w:t>Teachers’ professional knowledge landscapes</w:t>
      </w:r>
      <w:r w:rsidRPr="001D6117">
        <w:rPr>
          <w:rFonts w:ascii="Roboto" w:eastAsia="Roboto" w:hAnsi="Roboto" w:cs="Roboto"/>
          <w:sz w:val="20"/>
          <w:szCs w:val="20"/>
          <w:lang w:val="en-US"/>
        </w:rPr>
        <w:t>. Teachers College Press.</w:t>
      </w:r>
    </w:p>
    <w:p w14:paraId="502B4078" w14:textId="16582897" w:rsidR="001D6117" w:rsidRPr="001D6117" w:rsidRDefault="001D6117" w:rsidP="001D6117">
      <w:pPr>
        <w:jc w:val="both"/>
        <w:rPr>
          <w:rFonts w:ascii="Roboto" w:eastAsia="Roboto" w:hAnsi="Roboto" w:cs="Roboto"/>
          <w:sz w:val="20"/>
          <w:szCs w:val="20"/>
          <w:lang w:val="en-US"/>
        </w:rPr>
      </w:pPr>
      <w:r w:rsidRPr="001D6117">
        <w:rPr>
          <w:rFonts w:ascii="Roboto" w:eastAsia="Roboto" w:hAnsi="Roboto" w:cs="Roboto"/>
          <w:sz w:val="20"/>
          <w:szCs w:val="20"/>
          <w:lang w:val="en-US"/>
        </w:rPr>
        <w:t xml:space="preserve">Díaz Godino, J., Batanero, C., &amp; Font, V. (2015). The onto-semiotic approach to research in mathematics education. </w:t>
      </w:r>
      <w:r w:rsidRPr="001D6117">
        <w:rPr>
          <w:rFonts w:ascii="Roboto" w:eastAsia="Roboto" w:hAnsi="Roboto" w:cs="Roboto"/>
          <w:i/>
          <w:iCs/>
          <w:sz w:val="20"/>
          <w:szCs w:val="20"/>
          <w:lang w:val="en-US"/>
        </w:rPr>
        <w:t>ZDM Mathematics Education, 47</w:t>
      </w:r>
      <w:r w:rsidRPr="001D6117">
        <w:rPr>
          <w:rFonts w:ascii="Roboto" w:eastAsia="Roboto" w:hAnsi="Roboto" w:cs="Roboto"/>
          <w:sz w:val="20"/>
          <w:szCs w:val="20"/>
          <w:lang w:val="en-US"/>
        </w:rPr>
        <w:t xml:space="preserve">(4), 561–574. </w:t>
      </w:r>
    </w:p>
    <w:p w14:paraId="265512E3" w14:textId="4F19E7F2" w:rsidR="001D6117" w:rsidRPr="001D6117" w:rsidRDefault="001D6117" w:rsidP="001D6117">
      <w:pPr>
        <w:jc w:val="both"/>
        <w:rPr>
          <w:rFonts w:ascii="Roboto" w:eastAsia="Roboto" w:hAnsi="Roboto" w:cs="Roboto"/>
          <w:sz w:val="20"/>
          <w:szCs w:val="20"/>
          <w:lang w:val="es-CL"/>
        </w:rPr>
      </w:pPr>
      <w:r w:rsidRPr="002371D2">
        <w:rPr>
          <w:rFonts w:ascii="Roboto" w:eastAsia="Roboto" w:hAnsi="Roboto" w:cs="Roboto"/>
          <w:sz w:val="20"/>
          <w:szCs w:val="20"/>
          <w:lang w:val="en-US"/>
        </w:rPr>
        <w:t xml:space="preserve">Melo, L., Paixão, F., Marín, E., Cubero, J., &amp; Muñoz, A. (2022). </w:t>
      </w:r>
      <w:r w:rsidRPr="001D6117">
        <w:rPr>
          <w:rFonts w:ascii="Roboto" w:eastAsia="Roboto" w:hAnsi="Roboto" w:cs="Roboto"/>
          <w:sz w:val="20"/>
          <w:szCs w:val="20"/>
          <w:lang w:val="en-US"/>
        </w:rPr>
        <w:t xml:space="preserve">Pedagogical content knowledge with primary pre-service teachers on density: Validation of a questionnaire. </w:t>
      </w:r>
      <w:r w:rsidRPr="001D6117">
        <w:rPr>
          <w:rFonts w:ascii="Roboto" w:eastAsia="Roboto" w:hAnsi="Roboto" w:cs="Roboto"/>
          <w:i/>
          <w:iCs/>
          <w:sz w:val="20"/>
          <w:szCs w:val="20"/>
          <w:lang w:val="es-CL"/>
        </w:rPr>
        <w:t>Investigaciones en Enseñanza de las Ciencias, 27</w:t>
      </w:r>
      <w:r w:rsidRPr="001D6117">
        <w:rPr>
          <w:rFonts w:ascii="Roboto" w:eastAsia="Roboto" w:hAnsi="Roboto" w:cs="Roboto"/>
          <w:sz w:val="20"/>
          <w:szCs w:val="20"/>
          <w:lang w:val="es-CL"/>
        </w:rPr>
        <w:t xml:space="preserve">(2), 257–270. </w:t>
      </w:r>
    </w:p>
    <w:p w14:paraId="28C25965" w14:textId="2FE40682" w:rsidR="001D6117" w:rsidRPr="001D6117" w:rsidRDefault="001D6117" w:rsidP="001D6117">
      <w:pPr>
        <w:jc w:val="both"/>
        <w:rPr>
          <w:rFonts w:ascii="Roboto" w:eastAsia="Roboto" w:hAnsi="Roboto" w:cs="Roboto"/>
          <w:sz w:val="20"/>
          <w:szCs w:val="20"/>
          <w:lang w:val="en-US"/>
        </w:rPr>
      </w:pPr>
      <w:r w:rsidRPr="001D6117">
        <w:rPr>
          <w:rFonts w:ascii="Roboto" w:eastAsia="Roboto" w:hAnsi="Roboto" w:cs="Roboto"/>
          <w:sz w:val="20"/>
          <w:szCs w:val="20"/>
          <w:lang w:val="es-CL"/>
        </w:rPr>
        <w:t xml:space="preserve">Montoya Grisales, N. E., Arroyave Giraldo, D., Almonacid Fierro, A., &amp; Sepúlveda Vallejos, S. A. (2023). Conocimiento pedagógico del contenido en el campo de la educación física: Una revisión sistemática de la literatura (2011–2022). </w:t>
      </w:r>
      <w:r w:rsidRPr="001D6117">
        <w:rPr>
          <w:rFonts w:ascii="Roboto" w:eastAsia="Roboto" w:hAnsi="Roboto" w:cs="Roboto"/>
          <w:i/>
          <w:iCs/>
          <w:sz w:val="20"/>
          <w:szCs w:val="20"/>
          <w:lang w:val="en-US"/>
        </w:rPr>
        <w:t>Retos, 50</w:t>
      </w:r>
      <w:r w:rsidRPr="001D6117">
        <w:rPr>
          <w:rFonts w:ascii="Roboto" w:eastAsia="Roboto" w:hAnsi="Roboto" w:cs="Roboto"/>
          <w:sz w:val="20"/>
          <w:szCs w:val="20"/>
          <w:lang w:val="en-US"/>
        </w:rPr>
        <w:t xml:space="preserve">, 1240–1250. </w:t>
      </w:r>
    </w:p>
    <w:p w14:paraId="42EC43BE" w14:textId="59DA69AA" w:rsidR="001D6117" w:rsidRPr="001D6117" w:rsidRDefault="001D6117" w:rsidP="001D6117">
      <w:pPr>
        <w:jc w:val="both"/>
        <w:rPr>
          <w:rFonts w:ascii="Roboto" w:eastAsia="Roboto" w:hAnsi="Roboto" w:cs="Roboto"/>
          <w:sz w:val="20"/>
          <w:szCs w:val="20"/>
          <w:lang w:val="en-US"/>
        </w:rPr>
      </w:pPr>
      <w:r w:rsidRPr="001D6117">
        <w:rPr>
          <w:rFonts w:ascii="Roboto" w:eastAsia="Roboto" w:hAnsi="Roboto" w:cs="Roboto"/>
          <w:sz w:val="20"/>
          <w:szCs w:val="20"/>
          <w:lang w:val="en-US"/>
        </w:rPr>
        <w:t xml:space="preserve">Shulman, L. S. (1986). Those who understand: Knowledge growth in teaching. </w:t>
      </w:r>
      <w:r w:rsidRPr="001D6117">
        <w:rPr>
          <w:rFonts w:ascii="Roboto" w:eastAsia="Roboto" w:hAnsi="Roboto" w:cs="Roboto"/>
          <w:i/>
          <w:iCs/>
          <w:sz w:val="20"/>
          <w:szCs w:val="20"/>
          <w:lang w:val="en-US"/>
        </w:rPr>
        <w:t>Educational Researcher, 15</w:t>
      </w:r>
      <w:r w:rsidRPr="001D6117">
        <w:rPr>
          <w:rFonts w:ascii="Roboto" w:eastAsia="Roboto" w:hAnsi="Roboto" w:cs="Roboto"/>
          <w:sz w:val="20"/>
          <w:szCs w:val="20"/>
          <w:lang w:val="en-US"/>
        </w:rPr>
        <w:t xml:space="preserve">(2), 4–14. </w:t>
      </w:r>
    </w:p>
    <w:p w14:paraId="7CEFB7DF" w14:textId="2B1480B1" w:rsidR="001D6117" w:rsidRPr="002371D2" w:rsidRDefault="001D6117" w:rsidP="001D6117">
      <w:pPr>
        <w:jc w:val="both"/>
        <w:rPr>
          <w:rFonts w:ascii="Roboto" w:eastAsia="Roboto" w:hAnsi="Roboto" w:cs="Roboto"/>
          <w:sz w:val="20"/>
          <w:szCs w:val="20"/>
          <w:lang w:val="es-CL"/>
        </w:rPr>
      </w:pPr>
      <w:r w:rsidRPr="001D6117">
        <w:rPr>
          <w:rFonts w:ascii="Roboto" w:eastAsia="Roboto" w:hAnsi="Roboto" w:cs="Roboto"/>
          <w:sz w:val="20"/>
          <w:szCs w:val="20"/>
          <w:lang w:val="en-US"/>
        </w:rPr>
        <w:t xml:space="preserve">Shulman, L. S. (1987). Knowledge and teaching: Foundations of the new reform. </w:t>
      </w:r>
      <w:r w:rsidRPr="002371D2">
        <w:rPr>
          <w:rFonts w:ascii="Roboto" w:eastAsia="Roboto" w:hAnsi="Roboto" w:cs="Roboto"/>
          <w:i/>
          <w:iCs/>
          <w:sz w:val="20"/>
          <w:szCs w:val="20"/>
          <w:lang w:val="es-CL"/>
        </w:rPr>
        <w:t>Harvard Educational Review, 57</w:t>
      </w:r>
      <w:r w:rsidRPr="002371D2">
        <w:rPr>
          <w:rFonts w:ascii="Roboto" w:eastAsia="Roboto" w:hAnsi="Roboto" w:cs="Roboto"/>
          <w:sz w:val="20"/>
          <w:szCs w:val="20"/>
          <w:lang w:val="es-CL"/>
        </w:rPr>
        <w:t xml:space="preserve">(1), 1–22. </w:t>
      </w:r>
    </w:p>
    <w:p w14:paraId="136DDCC7" w14:textId="77777777" w:rsidR="001D6117" w:rsidRPr="001D6117" w:rsidRDefault="001D6117" w:rsidP="001D6117">
      <w:pPr>
        <w:jc w:val="both"/>
        <w:rPr>
          <w:rFonts w:ascii="Roboto" w:eastAsia="Roboto" w:hAnsi="Roboto" w:cs="Roboto"/>
          <w:sz w:val="20"/>
          <w:szCs w:val="20"/>
          <w:lang w:val="en-US"/>
        </w:rPr>
      </w:pPr>
      <w:r w:rsidRPr="002371D2">
        <w:rPr>
          <w:rFonts w:ascii="Roboto" w:eastAsia="Roboto" w:hAnsi="Roboto" w:cs="Roboto"/>
          <w:sz w:val="20"/>
          <w:szCs w:val="20"/>
          <w:lang w:val="es-CL"/>
        </w:rPr>
        <w:t xml:space="preserve">Tardif, M. (2004). </w:t>
      </w:r>
      <w:r w:rsidRPr="001D6117">
        <w:rPr>
          <w:rFonts w:ascii="Roboto" w:eastAsia="Roboto" w:hAnsi="Roboto" w:cs="Roboto"/>
          <w:i/>
          <w:iCs/>
          <w:sz w:val="20"/>
          <w:szCs w:val="20"/>
          <w:lang w:val="es-CL"/>
        </w:rPr>
        <w:t>Los saberes del docente y su desarrollo profesional</w:t>
      </w:r>
      <w:r w:rsidRPr="001D6117">
        <w:rPr>
          <w:rFonts w:ascii="Roboto" w:eastAsia="Roboto" w:hAnsi="Roboto" w:cs="Roboto"/>
          <w:sz w:val="20"/>
          <w:szCs w:val="20"/>
          <w:lang w:val="es-CL"/>
        </w:rPr>
        <w:t xml:space="preserve">. </w:t>
      </w:r>
      <w:r w:rsidRPr="001D6117">
        <w:rPr>
          <w:rFonts w:ascii="Roboto" w:eastAsia="Roboto" w:hAnsi="Roboto" w:cs="Roboto"/>
          <w:sz w:val="20"/>
          <w:szCs w:val="20"/>
          <w:lang w:val="en-US"/>
        </w:rPr>
        <w:t>Narcea.</w:t>
      </w:r>
    </w:p>
    <w:p w14:paraId="78BB6E05" w14:textId="7E761B6E" w:rsidR="001D6117" w:rsidRPr="002371D2" w:rsidRDefault="001D6117" w:rsidP="001D6117">
      <w:pPr>
        <w:jc w:val="both"/>
        <w:rPr>
          <w:rFonts w:ascii="Roboto" w:eastAsia="Roboto" w:hAnsi="Roboto" w:cs="Roboto"/>
          <w:sz w:val="20"/>
          <w:szCs w:val="20"/>
          <w:lang w:val="en-US"/>
        </w:rPr>
      </w:pPr>
      <w:r w:rsidRPr="001D6117">
        <w:rPr>
          <w:rFonts w:ascii="Roboto" w:eastAsia="Roboto" w:hAnsi="Roboto" w:cs="Roboto"/>
          <w:sz w:val="20"/>
          <w:szCs w:val="20"/>
          <w:lang w:val="en-US"/>
        </w:rPr>
        <w:t xml:space="preserve">van Driel, J. H., </w:t>
      </w:r>
      <w:r w:rsidR="00601B86">
        <w:rPr>
          <w:rFonts w:ascii="Roboto" w:eastAsia="Roboto" w:hAnsi="Roboto" w:cs="Roboto"/>
          <w:sz w:val="20"/>
          <w:szCs w:val="20"/>
          <w:lang w:val="en-US"/>
        </w:rPr>
        <w:t xml:space="preserve">Hume, A., &amp; </w:t>
      </w:r>
      <w:r w:rsidRPr="001D6117">
        <w:rPr>
          <w:rFonts w:ascii="Roboto" w:eastAsia="Roboto" w:hAnsi="Roboto" w:cs="Roboto"/>
          <w:sz w:val="20"/>
          <w:szCs w:val="20"/>
          <w:lang w:val="en-US"/>
        </w:rPr>
        <w:t xml:space="preserve">Berry, A. (2023). Research on science </w:t>
      </w:r>
      <w:r w:rsidR="00601B86" w:rsidRPr="001D6117">
        <w:rPr>
          <w:rFonts w:ascii="Roboto" w:eastAsia="Roboto" w:hAnsi="Roboto" w:cs="Roboto"/>
          <w:sz w:val="20"/>
          <w:szCs w:val="20"/>
          <w:lang w:val="en-US"/>
        </w:rPr>
        <w:t>teachers’</w:t>
      </w:r>
      <w:r w:rsidRPr="001D6117">
        <w:rPr>
          <w:rFonts w:ascii="Roboto" w:eastAsia="Roboto" w:hAnsi="Roboto" w:cs="Roboto"/>
          <w:sz w:val="20"/>
          <w:szCs w:val="20"/>
          <w:lang w:val="en-US"/>
        </w:rPr>
        <w:t xml:space="preserve"> knowledge</w:t>
      </w:r>
      <w:r w:rsidR="002371D2">
        <w:rPr>
          <w:rFonts w:ascii="Roboto" w:eastAsia="Roboto" w:hAnsi="Roboto" w:cs="Roboto"/>
          <w:sz w:val="20"/>
          <w:szCs w:val="20"/>
          <w:lang w:val="en-US"/>
        </w:rPr>
        <w:t xml:space="preserve"> and its development</w:t>
      </w:r>
      <w:r w:rsidRPr="002371D2">
        <w:rPr>
          <w:rFonts w:ascii="Roboto" w:eastAsia="Roboto" w:hAnsi="Roboto" w:cs="Roboto"/>
          <w:sz w:val="20"/>
          <w:szCs w:val="20"/>
          <w:lang w:val="en-US"/>
        </w:rPr>
        <w:t xml:space="preserve">. </w:t>
      </w:r>
      <w:r w:rsidR="00601B86">
        <w:rPr>
          <w:rFonts w:ascii="Roboto" w:eastAsia="Roboto" w:hAnsi="Roboto" w:cs="Roboto"/>
          <w:sz w:val="20"/>
          <w:szCs w:val="20"/>
          <w:lang w:val="en-US"/>
        </w:rPr>
        <w:t>Routledge.</w:t>
      </w:r>
    </w:p>
    <w:p w14:paraId="26AFEE1D" w14:textId="77777777" w:rsidR="00645F96" w:rsidRPr="002371D2" w:rsidRDefault="00645F96">
      <w:pPr>
        <w:jc w:val="both"/>
        <w:rPr>
          <w:rFonts w:ascii="Roboto" w:eastAsia="Roboto" w:hAnsi="Roboto" w:cs="Roboto"/>
          <w:sz w:val="20"/>
          <w:szCs w:val="20"/>
          <w:lang w:val="en-US"/>
        </w:rPr>
      </w:pPr>
    </w:p>
    <w:p w14:paraId="464E866E" w14:textId="77777777" w:rsidR="00645F96" w:rsidRPr="002371D2" w:rsidRDefault="00645F96">
      <w:pPr>
        <w:jc w:val="both"/>
        <w:rPr>
          <w:rFonts w:ascii="Roboto" w:eastAsia="Roboto" w:hAnsi="Roboto" w:cs="Roboto"/>
          <w:sz w:val="20"/>
          <w:szCs w:val="20"/>
          <w:lang w:val="en-US"/>
        </w:rPr>
      </w:pPr>
    </w:p>
    <w:p w14:paraId="4D881722" w14:textId="77777777" w:rsidR="00645F96" w:rsidRPr="002371D2" w:rsidRDefault="00645F96">
      <w:pPr>
        <w:jc w:val="both"/>
        <w:rPr>
          <w:rFonts w:ascii="Roboto" w:eastAsia="Roboto" w:hAnsi="Roboto" w:cs="Roboto"/>
          <w:sz w:val="20"/>
          <w:szCs w:val="20"/>
          <w:lang w:val="en-US"/>
        </w:rPr>
        <w:sectPr w:rsidR="00645F96" w:rsidRPr="002371D2">
          <w:type w:val="continuous"/>
          <w:pgSz w:w="11906" w:h="16838"/>
          <w:pgMar w:top="1134" w:right="851" w:bottom="1134" w:left="851" w:header="357" w:footer="720" w:gutter="0"/>
          <w:cols w:num="2" w:space="720" w:equalWidth="0">
            <w:col w:w="4934" w:space="335"/>
            <w:col w:w="4934" w:space="0"/>
          </w:cols>
        </w:sectPr>
      </w:pPr>
    </w:p>
    <w:p w14:paraId="1A5799A0" w14:textId="77777777" w:rsidR="00645F96" w:rsidRDefault="00000000">
      <w:pPr>
        <w:spacing w:before="240"/>
        <w:jc w:val="center"/>
        <w:rPr>
          <w:rFonts w:ascii="Roboto" w:eastAsia="Roboto" w:hAnsi="Roboto" w:cs="Roboto"/>
          <w:b/>
          <w:bCs/>
          <w:color w:val="FF0000"/>
          <w:sz w:val="20"/>
          <w:szCs w:val="20"/>
        </w:rPr>
      </w:pPr>
      <w:r>
        <w:rPr>
          <w:rFonts w:ascii="Roboto" w:eastAsia="Roboto" w:hAnsi="Roboto" w:cs="Roboto"/>
          <w:b/>
          <w:bCs/>
          <w:color w:val="FF0000"/>
          <w:sz w:val="20"/>
          <w:szCs w:val="20"/>
        </w:rPr>
        <w:lastRenderedPageBreak/>
        <w:t>Declaración de originalidad y autorización de publicación</w:t>
      </w:r>
    </w:p>
    <w:p w14:paraId="2DAD4AFF" w14:textId="77777777" w:rsidR="00645F96" w:rsidRDefault="00000000">
      <w:pPr>
        <w:spacing w:before="240"/>
        <w:jc w:val="center"/>
        <w:rPr>
          <w:rFonts w:ascii="Roboto" w:eastAsia="Roboto" w:hAnsi="Roboto" w:cs="Roboto"/>
          <w:b/>
          <w:bCs/>
          <w:sz w:val="20"/>
          <w:szCs w:val="20"/>
        </w:rPr>
      </w:pPr>
      <w:r>
        <w:rPr>
          <w:rFonts w:ascii="Roboto" w:eastAsia="Roboto" w:hAnsi="Roboto" w:cs="Roboto"/>
          <w:b/>
          <w:bCs/>
          <w:sz w:val="20"/>
          <w:szCs w:val="20"/>
        </w:rPr>
        <w:t>III Encuentro de Investigadores de la Red Internacional de Universidades Regnum Christi (RIU)</w:t>
      </w:r>
    </w:p>
    <w:p w14:paraId="6C22D121" w14:textId="77777777" w:rsidR="00645F96"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Al enviar el presente resumen para su inclusión en las </w:t>
      </w:r>
      <w:r>
        <w:rPr>
          <w:rFonts w:ascii="Roboto" w:eastAsia="Roboto" w:hAnsi="Roboto" w:cs="Roboto"/>
          <w:b/>
          <w:bCs/>
          <w:sz w:val="20"/>
          <w:szCs w:val="20"/>
        </w:rPr>
        <w:t>Memorias del III Encuentro de Investigadores de la Red Internacional de Universidades Regnum Christi (RIU)</w:t>
      </w:r>
      <w:r>
        <w:rPr>
          <w:rFonts w:ascii="Roboto" w:eastAsia="Roboto" w:hAnsi="Roboto" w:cs="Roboto"/>
          <w:sz w:val="20"/>
          <w:szCs w:val="20"/>
        </w:rPr>
        <w:t>, los autores declaran y aceptan lo siguiente:</w:t>
      </w:r>
    </w:p>
    <w:p w14:paraId="0EBDDD8C" w14:textId="77777777" w:rsidR="00645F96"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1. Declaración de originalidad</w:t>
      </w:r>
    </w:p>
    <w:p w14:paraId="24E8EF65" w14:textId="77777777" w:rsidR="00645F96"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Los autores declaran que el trabajo presentado es </w:t>
      </w:r>
      <w:r>
        <w:rPr>
          <w:rFonts w:ascii="Roboto" w:eastAsia="Roboto" w:hAnsi="Roboto" w:cs="Roboto"/>
          <w:b/>
          <w:bCs/>
          <w:sz w:val="20"/>
          <w:szCs w:val="20"/>
        </w:rPr>
        <w:t>original</w:t>
      </w:r>
      <w:r>
        <w:rPr>
          <w:rFonts w:ascii="Roboto" w:eastAsia="Roboto" w:hAnsi="Roboto" w:cs="Roboto"/>
          <w:sz w:val="20"/>
          <w:szCs w:val="20"/>
        </w:rPr>
        <w:t>, que no infringe derechos de propiedad intelectual de terceros y que cuenta con las autorizaciones necesarias en caso de incluir información, datos, imágenes o materiales previamente publicados. Asimismo, manifiestan que todas las personas que contribuyeron significativamente al trabajo han sido debidamente reconocidas como autores o colaboradores.</w:t>
      </w:r>
    </w:p>
    <w:p w14:paraId="1734BDA0" w14:textId="77777777" w:rsidR="00645F96"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2. Titularidad de los derechos</w:t>
      </w:r>
    </w:p>
    <w:p w14:paraId="5D5B64FC" w14:textId="77777777" w:rsidR="00645F96"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Los autores </w:t>
      </w:r>
      <w:r>
        <w:rPr>
          <w:rFonts w:ascii="Roboto" w:eastAsia="Roboto" w:hAnsi="Roboto" w:cs="Roboto"/>
          <w:b/>
          <w:bCs/>
          <w:sz w:val="20"/>
          <w:szCs w:val="20"/>
        </w:rPr>
        <w:t>conservan la titularidad de los derechos de autor y de propiedad intelectual</w:t>
      </w:r>
      <w:r>
        <w:rPr>
          <w:rFonts w:ascii="Roboto" w:eastAsia="Roboto" w:hAnsi="Roboto" w:cs="Roboto"/>
          <w:sz w:val="20"/>
          <w:szCs w:val="20"/>
        </w:rPr>
        <w:t xml:space="preserve"> sobre el contenido del resumen y sobre la investigación descrita en el mismo. La aceptación de esta declaración </w:t>
      </w:r>
      <w:r>
        <w:rPr>
          <w:rFonts w:ascii="Roboto" w:eastAsia="Roboto" w:hAnsi="Roboto" w:cs="Roboto"/>
          <w:b/>
          <w:bCs/>
          <w:sz w:val="20"/>
          <w:szCs w:val="20"/>
        </w:rPr>
        <w:t>no implica transferencia de derechos patrimoniales</w:t>
      </w:r>
      <w:r>
        <w:rPr>
          <w:rFonts w:ascii="Roboto" w:eastAsia="Roboto" w:hAnsi="Roboto" w:cs="Roboto"/>
          <w:sz w:val="20"/>
          <w:szCs w:val="20"/>
        </w:rPr>
        <w:t xml:space="preserve"> al organizador del congreso ni al sello editorial responsable de la publicación.</w:t>
      </w:r>
    </w:p>
    <w:p w14:paraId="163E0ACA" w14:textId="77777777" w:rsidR="00645F96"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3. Licencia de publicación</w:t>
      </w:r>
    </w:p>
    <w:p w14:paraId="6530A8CB" w14:textId="77777777" w:rsidR="00645F96"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Los autores conceden al </w:t>
      </w:r>
      <w:r>
        <w:rPr>
          <w:rFonts w:ascii="Roboto" w:eastAsia="Roboto" w:hAnsi="Roboto" w:cs="Roboto"/>
          <w:b/>
          <w:bCs/>
          <w:sz w:val="20"/>
          <w:szCs w:val="20"/>
        </w:rPr>
        <w:t>Sello Editorial de la Universidad Anáhuac Mayab</w:t>
      </w:r>
      <w:r>
        <w:rPr>
          <w:rFonts w:ascii="Roboto" w:eastAsia="Roboto" w:hAnsi="Roboto" w:cs="Roboto"/>
          <w:sz w:val="20"/>
          <w:szCs w:val="20"/>
        </w:rPr>
        <w:t xml:space="preserve">, en su carácter de responsable de la edición de las memorias del evento, una </w:t>
      </w:r>
      <w:r>
        <w:rPr>
          <w:rFonts w:ascii="Roboto" w:eastAsia="Roboto" w:hAnsi="Roboto" w:cs="Roboto"/>
          <w:b/>
          <w:bCs/>
          <w:sz w:val="20"/>
          <w:szCs w:val="20"/>
        </w:rPr>
        <w:t>licencia no exclusiva, gratuita y por tiempo indefinido</w:t>
      </w:r>
      <w:r>
        <w:rPr>
          <w:rFonts w:ascii="Roboto" w:eastAsia="Roboto" w:hAnsi="Roboto" w:cs="Roboto"/>
          <w:sz w:val="20"/>
          <w:szCs w:val="20"/>
        </w:rPr>
        <w:t xml:space="preserve"> para:</w:t>
      </w:r>
    </w:p>
    <w:p w14:paraId="16C8638B" w14:textId="77777777" w:rsidR="00645F96" w:rsidRDefault="00000000">
      <w:pPr>
        <w:numPr>
          <w:ilvl w:val="0"/>
          <w:numId w:val="1"/>
        </w:numPr>
        <w:jc w:val="both"/>
        <w:rPr>
          <w:rFonts w:ascii="Roboto" w:eastAsia="Roboto" w:hAnsi="Roboto" w:cs="Roboto"/>
          <w:sz w:val="20"/>
          <w:szCs w:val="20"/>
        </w:rPr>
      </w:pPr>
      <w:r>
        <w:rPr>
          <w:rFonts w:ascii="Roboto" w:eastAsia="Roboto" w:hAnsi="Roboto" w:cs="Roboto"/>
          <w:sz w:val="20"/>
          <w:szCs w:val="20"/>
        </w:rPr>
        <w:t xml:space="preserve">Publicar el resumen como parte de las </w:t>
      </w:r>
      <w:r>
        <w:rPr>
          <w:rFonts w:ascii="Roboto" w:eastAsia="Roboto" w:hAnsi="Roboto" w:cs="Roboto"/>
          <w:b/>
          <w:bCs/>
          <w:sz w:val="20"/>
          <w:szCs w:val="20"/>
        </w:rPr>
        <w:t>Memorias del III Encuentro de Investigadores de la RIU</w:t>
      </w:r>
      <w:r>
        <w:rPr>
          <w:rFonts w:ascii="Roboto" w:eastAsia="Roboto" w:hAnsi="Roboto" w:cs="Roboto"/>
          <w:sz w:val="20"/>
          <w:szCs w:val="20"/>
        </w:rPr>
        <w:t>.</w:t>
      </w:r>
    </w:p>
    <w:p w14:paraId="209F7F46" w14:textId="77777777" w:rsidR="00645F96" w:rsidRDefault="00000000">
      <w:pPr>
        <w:numPr>
          <w:ilvl w:val="0"/>
          <w:numId w:val="1"/>
        </w:numPr>
        <w:jc w:val="both"/>
        <w:rPr>
          <w:rFonts w:ascii="Roboto" w:eastAsia="Roboto" w:hAnsi="Roboto" w:cs="Roboto"/>
          <w:sz w:val="20"/>
          <w:szCs w:val="20"/>
        </w:rPr>
      </w:pPr>
      <w:r>
        <w:rPr>
          <w:rFonts w:ascii="Roboto" w:eastAsia="Roboto" w:hAnsi="Roboto" w:cs="Roboto"/>
          <w:sz w:val="20"/>
          <w:szCs w:val="20"/>
        </w:rPr>
        <w:t xml:space="preserve">Realizar las adaptaciones editoriales necesarias para su </w:t>
      </w:r>
      <w:r>
        <w:rPr>
          <w:rFonts w:ascii="Roboto" w:eastAsia="Roboto" w:hAnsi="Roboto" w:cs="Roboto"/>
          <w:b/>
          <w:bCs/>
          <w:sz w:val="20"/>
          <w:szCs w:val="20"/>
        </w:rPr>
        <w:t>corrección de estilo, maquetación y edición</w:t>
      </w:r>
      <w:r>
        <w:rPr>
          <w:rFonts w:ascii="Roboto" w:eastAsia="Roboto" w:hAnsi="Roboto" w:cs="Roboto"/>
          <w:sz w:val="20"/>
          <w:szCs w:val="20"/>
        </w:rPr>
        <w:t xml:space="preserve"> dentro del volumen de memorias.</w:t>
      </w:r>
    </w:p>
    <w:p w14:paraId="21E2679D" w14:textId="77777777" w:rsidR="00645F96" w:rsidRDefault="00000000">
      <w:pPr>
        <w:numPr>
          <w:ilvl w:val="0"/>
          <w:numId w:val="1"/>
        </w:numPr>
        <w:jc w:val="both"/>
        <w:rPr>
          <w:rFonts w:ascii="Roboto" w:eastAsia="Roboto" w:hAnsi="Roboto" w:cs="Roboto"/>
          <w:sz w:val="20"/>
          <w:szCs w:val="20"/>
        </w:rPr>
      </w:pPr>
      <w:r>
        <w:rPr>
          <w:rFonts w:ascii="Roboto" w:eastAsia="Roboto" w:hAnsi="Roboto" w:cs="Roboto"/>
          <w:sz w:val="20"/>
          <w:szCs w:val="20"/>
        </w:rPr>
        <w:t xml:space="preserve">Reproducir, distribuir y comunicar públicamente el contenido en </w:t>
      </w:r>
      <w:r>
        <w:rPr>
          <w:rFonts w:ascii="Roboto" w:eastAsia="Roboto" w:hAnsi="Roboto" w:cs="Roboto"/>
          <w:b/>
          <w:bCs/>
          <w:sz w:val="20"/>
          <w:szCs w:val="20"/>
        </w:rPr>
        <w:t>formatos impresos y digitales</w:t>
      </w:r>
      <w:r>
        <w:rPr>
          <w:rFonts w:ascii="Roboto" w:eastAsia="Roboto" w:hAnsi="Roboto" w:cs="Roboto"/>
          <w:sz w:val="20"/>
          <w:szCs w:val="20"/>
        </w:rPr>
        <w:t>.</w:t>
      </w:r>
    </w:p>
    <w:p w14:paraId="05ADBAF2" w14:textId="77777777" w:rsidR="00645F96" w:rsidRDefault="00000000">
      <w:pPr>
        <w:numPr>
          <w:ilvl w:val="0"/>
          <w:numId w:val="1"/>
        </w:numPr>
        <w:spacing w:after="240"/>
        <w:jc w:val="both"/>
        <w:rPr>
          <w:rFonts w:ascii="Roboto" w:eastAsia="Roboto" w:hAnsi="Roboto" w:cs="Roboto"/>
          <w:sz w:val="20"/>
          <w:szCs w:val="20"/>
        </w:rPr>
      </w:pPr>
      <w:r>
        <w:rPr>
          <w:rFonts w:ascii="Roboto" w:eastAsia="Roboto" w:hAnsi="Roboto" w:cs="Roboto"/>
          <w:sz w:val="20"/>
          <w:szCs w:val="20"/>
        </w:rPr>
        <w:t xml:space="preserve">Difundir la obra a través de </w:t>
      </w:r>
      <w:r>
        <w:rPr>
          <w:rFonts w:ascii="Roboto" w:eastAsia="Roboto" w:hAnsi="Roboto" w:cs="Roboto"/>
          <w:b/>
          <w:bCs/>
          <w:sz w:val="20"/>
          <w:szCs w:val="20"/>
        </w:rPr>
        <w:t>repositorios institucionales, bibliotecas digitales, plataformas académicas, bases de datos, sitios web institucionales y otros medios de difusión científica</w:t>
      </w:r>
      <w:r>
        <w:rPr>
          <w:rFonts w:ascii="Roboto" w:eastAsia="Roboto" w:hAnsi="Roboto" w:cs="Roboto"/>
          <w:sz w:val="20"/>
          <w:szCs w:val="20"/>
        </w:rPr>
        <w:t xml:space="preserve"> vinculados al congreso, a la Universidad Anáhuac Mayab o a la Red Internacional de Universidades Regnum Christi.</w:t>
      </w:r>
    </w:p>
    <w:p w14:paraId="74E97F46" w14:textId="77777777" w:rsidR="00645F96"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4. Alcance de la autorización</w:t>
      </w:r>
    </w:p>
    <w:p w14:paraId="3CC48476" w14:textId="77777777" w:rsidR="00645F96"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La presente autorización se limita exclusivamente a la </w:t>
      </w:r>
      <w:r>
        <w:rPr>
          <w:rFonts w:ascii="Roboto" w:eastAsia="Roboto" w:hAnsi="Roboto" w:cs="Roboto"/>
          <w:b/>
          <w:bCs/>
          <w:sz w:val="20"/>
          <w:szCs w:val="20"/>
        </w:rPr>
        <w:t>publicación del resumen dentro de las memorias del congreso</w:t>
      </w:r>
      <w:r>
        <w:rPr>
          <w:rFonts w:ascii="Roboto" w:eastAsia="Roboto" w:hAnsi="Roboto" w:cs="Roboto"/>
          <w:sz w:val="20"/>
          <w:szCs w:val="20"/>
        </w:rPr>
        <w:t xml:space="preserve"> y no restringe el derecho de los autores a:</w:t>
      </w:r>
    </w:p>
    <w:p w14:paraId="5A1A6939" w14:textId="77777777" w:rsidR="00645F96" w:rsidRDefault="00000000">
      <w:pPr>
        <w:numPr>
          <w:ilvl w:val="0"/>
          <w:numId w:val="2"/>
        </w:numPr>
        <w:jc w:val="both"/>
        <w:rPr>
          <w:rFonts w:ascii="Roboto" w:eastAsia="Roboto" w:hAnsi="Roboto" w:cs="Roboto"/>
          <w:sz w:val="20"/>
          <w:szCs w:val="20"/>
        </w:rPr>
      </w:pPr>
      <w:r>
        <w:rPr>
          <w:rFonts w:ascii="Roboto" w:eastAsia="Roboto" w:hAnsi="Roboto" w:cs="Roboto"/>
          <w:sz w:val="20"/>
          <w:szCs w:val="20"/>
        </w:rPr>
        <w:t xml:space="preserve">Publicar versiones ampliadas del trabajo en </w:t>
      </w:r>
      <w:r>
        <w:rPr>
          <w:rFonts w:ascii="Roboto" w:eastAsia="Roboto" w:hAnsi="Roboto" w:cs="Roboto"/>
          <w:b/>
          <w:bCs/>
          <w:sz w:val="20"/>
          <w:szCs w:val="20"/>
        </w:rPr>
        <w:t>revistas científicas, libros u otros medios académicos</w:t>
      </w:r>
      <w:r>
        <w:rPr>
          <w:rFonts w:ascii="Roboto" w:eastAsia="Roboto" w:hAnsi="Roboto" w:cs="Roboto"/>
          <w:sz w:val="20"/>
          <w:szCs w:val="20"/>
        </w:rPr>
        <w:t>.</w:t>
      </w:r>
    </w:p>
    <w:p w14:paraId="42439F0D" w14:textId="77777777" w:rsidR="00645F96" w:rsidRDefault="00000000">
      <w:pPr>
        <w:numPr>
          <w:ilvl w:val="0"/>
          <w:numId w:val="2"/>
        </w:numPr>
        <w:jc w:val="both"/>
        <w:rPr>
          <w:rFonts w:ascii="Roboto" w:eastAsia="Roboto" w:hAnsi="Roboto" w:cs="Roboto"/>
          <w:sz w:val="20"/>
          <w:szCs w:val="20"/>
        </w:rPr>
      </w:pPr>
      <w:r>
        <w:rPr>
          <w:rFonts w:ascii="Roboto" w:eastAsia="Roboto" w:hAnsi="Roboto" w:cs="Roboto"/>
          <w:sz w:val="20"/>
          <w:szCs w:val="20"/>
        </w:rPr>
        <w:t xml:space="preserve">Utilizar el contenido en </w:t>
      </w:r>
      <w:r>
        <w:rPr>
          <w:rFonts w:ascii="Roboto" w:eastAsia="Roboto" w:hAnsi="Roboto" w:cs="Roboto"/>
          <w:b/>
          <w:bCs/>
          <w:sz w:val="20"/>
          <w:szCs w:val="20"/>
        </w:rPr>
        <w:t>tesis, proyectos de investigación, reportes técnicos u otras publicaciones académicas</w:t>
      </w:r>
      <w:r>
        <w:rPr>
          <w:rFonts w:ascii="Roboto" w:eastAsia="Roboto" w:hAnsi="Roboto" w:cs="Roboto"/>
          <w:sz w:val="20"/>
          <w:szCs w:val="20"/>
        </w:rPr>
        <w:t>.</w:t>
      </w:r>
    </w:p>
    <w:p w14:paraId="37398C6A" w14:textId="77777777" w:rsidR="00645F96" w:rsidRDefault="00000000">
      <w:pPr>
        <w:numPr>
          <w:ilvl w:val="0"/>
          <w:numId w:val="2"/>
        </w:numPr>
        <w:spacing w:after="240"/>
        <w:jc w:val="both"/>
        <w:rPr>
          <w:rFonts w:ascii="Roboto" w:eastAsia="Roboto" w:hAnsi="Roboto" w:cs="Roboto"/>
          <w:sz w:val="20"/>
          <w:szCs w:val="20"/>
        </w:rPr>
      </w:pPr>
      <w:r>
        <w:rPr>
          <w:rFonts w:ascii="Roboto" w:eastAsia="Roboto" w:hAnsi="Roboto" w:cs="Roboto"/>
          <w:sz w:val="20"/>
          <w:szCs w:val="20"/>
        </w:rPr>
        <w:t>Difundir su investigación en otros espacios científicos o de divulgación.</w:t>
      </w:r>
    </w:p>
    <w:p w14:paraId="35CC9E6B" w14:textId="77777777" w:rsidR="00645F96"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5. Responsabilidad del contenido</w:t>
      </w:r>
    </w:p>
    <w:p w14:paraId="05E63588" w14:textId="77777777" w:rsidR="00645F96"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Los autores asumen plena responsabilidad por el contenido del resumen, incluyendo la </w:t>
      </w:r>
      <w:r>
        <w:rPr>
          <w:rFonts w:ascii="Roboto" w:eastAsia="Roboto" w:hAnsi="Roboto" w:cs="Roboto"/>
          <w:b/>
          <w:bCs/>
          <w:sz w:val="20"/>
          <w:szCs w:val="20"/>
        </w:rPr>
        <w:t>veracidad de la información presentada, el cumplimiento de normas éticas de investigación y el respeto a derechos de terceros</w:t>
      </w:r>
      <w:r>
        <w:rPr>
          <w:rFonts w:ascii="Roboto" w:eastAsia="Roboto" w:hAnsi="Roboto" w:cs="Roboto"/>
          <w:sz w:val="20"/>
          <w:szCs w:val="20"/>
        </w:rPr>
        <w:t>.</w:t>
      </w:r>
    </w:p>
    <w:p w14:paraId="6BA060E5" w14:textId="77777777" w:rsidR="00645F96"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6. Aceptación de la declaración</w:t>
      </w:r>
    </w:p>
    <w:p w14:paraId="02B21DC4" w14:textId="77777777" w:rsidR="00645F96"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El envío del resumen mediante el sistema o formato oficial del congreso </w:t>
      </w:r>
      <w:r>
        <w:rPr>
          <w:rFonts w:ascii="Roboto" w:eastAsia="Roboto" w:hAnsi="Roboto" w:cs="Roboto"/>
          <w:b/>
          <w:bCs/>
          <w:sz w:val="20"/>
          <w:szCs w:val="20"/>
        </w:rPr>
        <w:t>constituye evidencia de que todos los autores conocen y aceptan los términos de la presente declaración y autorización de publicación</w:t>
      </w:r>
      <w:r>
        <w:rPr>
          <w:rFonts w:ascii="Roboto" w:eastAsia="Roboto" w:hAnsi="Roboto" w:cs="Roboto"/>
          <w:sz w:val="20"/>
          <w:szCs w:val="20"/>
        </w:rPr>
        <w:t>.</w:t>
      </w:r>
    </w:p>
    <w:p w14:paraId="062CA353" w14:textId="199DDE69" w:rsidR="00645F96"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  </w:t>
      </w:r>
      <w:r w:rsidR="00CC5355">
        <w:rPr>
          <w:rFonts w:ascii="Roboto" w:eastAsia="Roboto" w:hAnsi="Roboto" w:cs="Roboto"/>
          <w:sz w:val="20"/>
          <w:szCs w:val="20"/>
        </w:rPr>
        <w:t>X</w:t>
      </w:r>
      <w:r>
        <w:rPr>
          <w:rFonts w:ascii="Roboto" w:eastAsia="Roboto" w:hAnsi="Roboto" w:cs="Roboto"/>
          <w:sz w:val="20"/>
          <w:szCs w:val="20"/>
        </w:rPr>
        <w:t xml:space="preserve">  )  Declaro que he leído y acepto los términos de esta declaración y autorización de publicación.</w:t>
      </w:r>
    </w:p>
    <w:p w14:paraId="2AD852A5" w14:textId="6E1A4188" w:rsidR="00CC5355" w:rsidRPr="00CC5355" w:rsidRDefault="00000000" w:rsidP="00CC5355">
      <w:pPr>
        <w:spacing w:before="240" w:after="240"/>
        <w:rPr>
          <w:rFonts w:ascii="Roboto" w:eastAsia="Roboto" w:hAnsi="Roboto" w:cs="Roboto"/>
          <w:b/>
          <w:bCs/>
          <w:sz w:val="20"/>
          <w:szCs w:val="20"/>
        </w:rPr>
      </w:pPr>
      <w:r>
        <w:rPr>
          <w:rFonts w:ascii="Roboto" w:eastAsia="Roboto" w:hAnsi="Roboto" w:cs="Roboto"/>
          <w:b/>
          <w:bCs/>
          <w:sz w:val="20"/>
          <w:szCs w:val="20"/>
        </w:rPr>
        <w:t>Autor responsable:</w:t>
      </w:r>
      <w:r w:rsidR="00CC5355">
        <w:rPr>
          <w:rFonts w:ascii="Roboto" w:eastAsia="Roboto" w:hAnsi="Roboto" w:cs="Roboto"/>
          <w:b/>
          <w:bCs/>
          <w:sz w:val="20"/>
          <w:szCs w:val="20"/>
        </w:rPr>
        <w:t xml:space="preserve"> David Santibáñez Gómez</w:t>
      </w:r>
      <w:r>
        <w:rPr>
          <w:rFonts w:ascii="Roboto" w:eastAsia="Roboto" w:hAnsi="Roboto" w:cs="Roboto"/>
          <w:b/>
          <w:bCs/>
          <w:sz w:val="20"/>
          <w:szCs w:val="20"/>
        </w:rPr>
        <w:br/>
      </w:r>
      <w:r>
        <w:rPr>
          <w:rFonts w:ascii="Roboto" w:eastAsia="Roboto" w:hAnsi="Roboto" w:cs="Roboto"/>
          <w:sz w:val="20"/>
          <w:szCs w:val="20"/>
        </w:rPr>
        <w:t xml:space="preserve"> </w:t>
      </w:r>
      <w:r>
        <w:rPr>
          <w:rFonts w:ascii="Roboto" w:eastAsia="Roboto" w:hAnsi="Roboto" w:cs="Roboto"/>
          <w:b/>
          <w:bCs/>
          <w:sz w:val="20"/>
          <w:szCs w:val="20"/>
        </w:rPr>
        <w:t>Institución:</w:t>
      </w:r>
      <w:r w:rsidR="00CC5355">
        <w:rPr>
          <w:rFonts w:ascii="Roboto" w:eastAsia="Roboto" w:hAnsi="Roboto" w:cs="Roboto"/>
          <w:b/>
          <w:bCs/>
          <w:sz w:val="20"/>
          <w:szCs w:val="20"/>
        </w:rPr>
        <w:t xml:space="preserve"> Universidad Finis Terrae</w:t>
      </w:r>
      <w:r>
        <w:rPr>
          <w:rFonts w:ascii="Roboto" w:eastAsia="Roboto" w:hAnsi="Roboto" w:cs="Roboto"/>
          <w:b/>
          <w:bCs/>
          <w:sz w:val="20"/>
          <w:szCs w:val="20"/>
        </w:rPr>
        <w:br/>
      </w:r>
      <w:r>
        <w:rPr>
          <w:rFonts w:ascii="Roboto" w:eastAsia="Roboto" w:hAnsi="Roboto" w:cs="Roboto"/>
          <w:sz w:val="20"/>
          <w:szCs w:val="20"/>
        </w:rPr>
        <w:t xml:space="preserve"> </w:t>
      </w:r>
      <w:r>
        <w:rPr>
          <w:rFonts w:ascii="Roboto" w:eastAsia="Roboto" w:hAnsi="Roboto" w:cs="Roboto"/>
          <w:b/>
          <w:bCs/>
          <w:sz w:val="20"/>
          <w:szCs w:val="20"/>
        </w:rPr>
        <w:t>Título del trabajo con autores:</w:t>
      </w:r>
      <w:r w:rsidR="00CC5355">
        <w:rPr>
          <w:rFonts w:ascii="Roboto" w:eastAsia="Roboto" w:hAnsi="Roboto" w:cs="Roboto"/>
          <w:b/>
          <w:bCs/>
          <w:sz w:val="20"/>
          <w:szCs w:val="20"/>
        </w:rPr>
        <w:t xml:space="preserve"> </w:t>
      </w:r>
      <w:r w:rsidR="00CC5355" w:rsidRPr="00CC5355">
        <w:rPr>
          <w:rFonts w:ascii="Roboto" w:eastAsia="Roboto" w:hAnsi="Roboto" w:cs="Roboto"/>
          <w:sz w:val="20"/>
          <w:szCs w:val="20"/>
        </w:rPr>
        <w:t>El conocimiento profesional del profesorado de educación primaria: un mapa internacional de enfoques, lenguajes y oportunidades de articulación</w:t>
      </w:r>
      <w:r w:rsidR="00CC5355">
        <w:rPr>
          <w:rFonts w:ascii="Roboto" w:eastAsia="Roboto" w:hAnsi="Roboto" w:cs="Roboto"/>
          <w:sz w:val="20"/>
          <w:szCs w:val="20"/>
        </w:rPr>
        <w:t xml:space="preserve"> (no hay otros autores).</w:t>
      </w:r>
    </w:p>
    <w:sectPr w:rsidR="00CC5355" w:rsidRPr="00CC5355">
      <w:pgSz w:w="11906" w:h="16838"/>
      <w:pgMar w:top="1134" w:right="851" w:bottom="1134" w:left="851" w:header="357" w:footer="720" w:gutter="0"/>
      <w:cols w:space="720" w:equalWidth="0">
        <w:col w:w="10203"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597855" w14:textId="77777777" w:rsidR="00BB37CA" w:rsidRDefault="00BB37CA">
      <w:r>
        <w:separator/>
      </w:r>
    </w:p>
  </w:endnote>
  <w:endnote w:type="continuationSeparator" w:id="0">
    <w:p w14:paraId="6F8A8B57" w14:textId="77777777" w:rsidR="00BB37CA" w:rsidRDefault="00BB37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4502F24-EE76-4CEB-8AA0-478907E1B78C}"/>
  </w:font>
  <w:font w:name="Georgia">
    <w:panose1 w:val="02040502050405020303"/>
    <w:charset w:val="00"/>
    <w:family w:val="roman"/>
    <w:pitch w:val="variable"/>
    <w:sig w:usb0="00000287" w:usb1="00000000" w:usb2="00000000" w:usb3="00000000" w:csb0="0000009F" w:csb1="00000000"/>
    <w:embedItalic r:id="rId2" w:fontKey="{77E6B11B-5FEF-44F9-8B83-BFBF7B7EA0EE}"/>
  </w:font>
  <w:font w:name="Roboto">
    <w:charset w:val="00"/>
    <w:family w:val="auto"/>
    <w:pitch w:val="variable"/>
    <w:sig w:usb0="E0000AFF" w:usb1="5000217F" w:usb2="00000021" w:usb3="00000000" w:csb0="0000019F" w:csb1="00000000"/>
    <w:embedRegular r:id="rId3" w:fontKey="{02C2C0D8-A40E-4F5A-918A-25E3C556D03F}"/>
    <w:embedBold r:id="rId4" w:fontKey="{725E6B4E-5D9F-4700-926C-89DFB58DC990}"/>
    <w:embedItalic r:id="rId5" w:fontKey="{6DF94C04-46FE-4F92-9487-659C4FC5FF2D}"/>
  </w:font>
  <w:font w:name="Calibri Light">
    <w:panose1 w:val="020F0302020204030204"/>
    <w:charset w:val="00"/>
    <w:family w:val="swiss"/>
    <w:pitch w:val="variable"/>
    <w:sig w:usb0="E4002EFF" w:usb1="C200247B" w:usb2="00000009" w:usb3="00000000" w:csb0="000001FF" w:csb1="00000000"/>
    <w:embedRegular r:id="rId6" w:fontKey="{92DA5ED0-EDC9-466F-B1EE-BE23F4AD4C5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B4C0F3" w14:textId="77777777" w:rsidR="00BB37CA" w:rsidRDefault="00BB37CA">
      <w:r>
        <w:separator/>
      </w:r>
    </w:p>
  </w:footnote>
  <w:footnote w:type="continuationSeparator" w:id="0">
    <w:p w14:paraId="7FD57E4A" w14:textId="77777777" w:rsidR="00BB37CA" w:rsidRDefault="00BB37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B7E23" w14:textId="77777777" w:rsidR="00645F96" w:rsidRDefault="00645F96">
    <w:pPr>
      <w:widowControl w:val="0"/>
      <w:pBdr>
        <w:top w:val="nil"/>
        <w:left w:val="nil"/>
        <w:bottom w:val="nil"/>
        <w:right w:val="nil"/>
        <w:between w:val="nil"/>
      </w:pBdr>
      <w:spacing w:line="276" w:lineRule="auto"/>
      <w:rPr>
        <w:rFonts w:ascii="Roboto" w:eastAsia="Roboto" w:hAnsi="Roboto" w:cs="Roboto"/>
      </w:rPr>
    </w:pPr>
  </w:p>
  <w:tbl>
    <w:tblPr>
      <w:tblStyle w:val="a2"/>
      <w:tblW w:w="6306" w:type="dxa"/>
      <w:jc w:val="center"/>
      <w:tblInd w:w="0" w:type="dxa"/>
      <w:tblLayout w:type="fixed"/>
      <w:tblLook w:val="0400" w:firstRow="0" w:lastRow="0" w:firstColumn="0" w:lastColumn="0" w:noHBand="0" w:noVBand="1"/>
    </w:tblPr>
    <w:tblGrid>
      <w:gridCol w:w="6306"/>
    </w:tblGrid>
    <w:tr w:rsidR="00645F96" w14:paraId="3E64516C" w14:textId="77777777">
      <w:trPr>
        <w:trHeight w:val="345"/>
        <w:jc w:val="center"/>
      </w:trPr>
      <w:tc>
        <w:tcPr>
          <w:tcW w:w="6306" w:type="dxa"/>
          <w:vAlign w:val="center"/>
        </w:tcPr>
        <w:p w14:paraId="2352E693" w14:textId="77777777" w:rsidR="00645F96" w:rsidRDefault="00645F96">
          <w:pPr>
            <w:jc w:val="center"/>
            <w:rPr>
              <w:i/>
              <w:iCs/>
              <w:sz w:val="18"/>
              <w:szCs w:val="18"/>
            </w:rPr>
          </w:pPr>
        </w:p>
      </w:tc>
    </w:tr>
  </w:tbl>
  <w:p w14:paraId="299462AB" w14:textId="77777777" w:rsidR="00645F96" w:rsidRDefault="00645F96">
    <w:pPr>
      <w:pBdr>
        <w:top w:val="nil"/>
        <w:left w:val="nil"/>
        <w:bottom w:val="nil"/>
        <w:right w:val="nil"/>
        <w:between w:val="nil"/>
      </w:pBdr>
      <w:tabs>
        <w:tab w:val="center" w:pos="4320"/>
        <w:tab w:val="right" w:pos="8640"/>
      </w:tabs>
      <w:rPr>
        <w:rFonts w:ascii="Calibri" w:eastAsia="Calibri" w:hAnsi="Calibri" w:cs="Calibri"/>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886176"/>
    <w:multiLevelType w:val="multilevel"/>
    <w:tmpl w:val="6A8E6A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E5F2DC8"/>
    <w:multiLevelType w:val="multilevel"/>
    <w:tmpl w:val="1C38F4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07968820">
    <w:abstractNumId w:val="0"/>
  </w:num>
  <w:num w:numId="2" w16cid:durableId="15744615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5F96"/>
    <w:rsid w:val="001D6117"/>
    <w:rsid w:val="002371D2"/>
    <w:rsid w:val="00364BA4"/>
    <w:rsid w:val="00601B86"/>
    <w:rsid w:val="00645F96"/>
    <w:rsid w:val="008F0054"/>
    <w:rsid w:val="00AE5D75"/>
    <w:rsid w:val="00BB37CA"/>
    <w:rsid w:val="00CC5355"/>
    <w:rsid w:val="00DD3B9A"/>
    <w:rsid w:val="00DF5ECA"/>
    <w:rsid w:val="00EB15E5"/>
    <w:rsid w:val="00FA7D8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3074B7"/>
  <w15:docId w15:val="{F7F9C711-7D01-4C5D-B447-F03592BC2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MX" w:eastAsia="es-C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paragraph" w:styleId="Encabezado">
    <w:name w:val="header"/>
    <w:basedOn w:val="Normal"/>
    <w:link w:val="EncabezadoCar"/>
    <w:uiPriority w:val="99"/>
    <w:unhideWhenUsed/>
    <w:rsid w:val="005625FC"/>
    <w:pPr>
      <w:tabs>
        <w:tab w:val="center" w:pos="4320"/>
        <w:tab w:val="right" w:pos="8640"/>
      </w:tabs>
    </w:pPr>
    <w:rPr>
      <w:rFonts w:asciiTheme="minorHAnsi" w:eastAsiaTheme="minorHAnsi" w:hAnsiTheme="minorHAnsi" w:cstheme="minorBidi"/>
      <w:sz w:val="22"/>
      <w:szCs w:val="22"/>
      <w:lang w:val="en-US"/>
    </w:rPr>
  </w:style>
  <w:style w:type="character" w:customStyle="1" w:styleId="EncabezadoCar">
    <w:name w:val="Encabezado Car"/>
    <w:basedOn w:val="Fuentedeprrafopredeter"/>
    <w:link w:val="Encabezado"/>
    <w:uiPriority w:val="99"/>
    <w:rsid w:val="005625FC"/>
    <w:rPr>
      <w:lang w:val="en-US"/>
    </w:rPr>
  </w:style>
  <w:style w:type="paragraph" w:customStyle="1" w:styleId="AUTHORSNAMES">
    <w:name w:val="AUTHORS NAMES"/>
    <w:basedOn w:val="Normal"/>
    <w:qFormat/>
    <w:rsid w:val="005625FC"/>
    <w:pPr>
      <w:spacing w:before="120" w:after="120" w:line="240" w:lineRule="atLeast"/>
    </w:pPr>
    <w:rPr>
      <w:b/>
      <w:sz w:val="22"/>
      <w:szCs w:val="20"/>
    </w:rPr>
  </w:style>
  <w:style w:type="paragraph" w:customStyle="1" w:styleId="AFFILIATIONS">
    <w:name w:val="AFFILIATIONS"/>
    <w:basedOn w:val="Normal"/>
    <w:qFormat/>
    <w:rsid w:val="005625FC"/>
    <w:pPr>
      <w:spacing w:line="240" w:lineRule="atLeast"/>
    </w:pPr>
    <w:rPr>
      <w:sz w:val="18"/>
      <w:szCs w:val="20"/>
      <w:vertAlign w:val="superscript"/>
      <w:lang w:val="en-US"/>
    </w:rPr>
  </w:style>
  <w:style w:type="paragraph" w:styleId="Textocomentario">
    <w:name w:val="annotation text"/>
    <w:basedOn w:val="Normal"/>
    <w:link w:val="TextocomentarioCar"/>
    <w:rsid w:val="005625FC"/>
    <w:rPr>
      <w:sz w:val="20"/>
      <w:szCs w:val="20"/>
    </w:rPr>
  </w:style>
  <w:style w:type="character" w:customStyle="1" w:styleId="TextocomentarioCar">
    <w:name w:val="Texto comentario Car"/>
    <w:basedOn w:val="Fuentedeprrafopredeter"/>
    <w:link w:val="Textocomentario"/>
    <w:rsid w:val="005625FC"/>
    <w:rPr>
      <w:rFonts w:ascii="Times New Roman" w:eastAsia="Times New Roman" w:hAnsi="Times New Roman" w:cs="Times New Roman"/>
      <w:sz w:val="20"/>
      <w:szCs w:val="20"/>
      <w:lang w:val="tr-TR" w:eastAsia="tr-TR"/>
    </w:rPr>
  </w:style>
  <w:style w:type="character" w:styleId="Hipervnculo">
    <w:name w:val="Hyperlink"/>
    <w:basedOn w:val="Fuentedeprrafopredeter"/>
    <w:uiPriority w:val="99"/>
    <w:unhideWhenUsed/>
    <w:rsid w:val="005625FC"/>
    <w:rPr>
      <w:color w:val="0563C1" w:themeColor="hyperlink"/>
      <w:u w:val="single"/>
    </w:rPr>
  </w:style>
  <w:style w:type="paragraph" w:styleId="Piedepgina">
    <w:name w:val="footer"/>
    <w:basedOn w:val="Normal"/>
    <w:link w:val="PiedepginaCar"/>
    <w:uiPriority w:val="99"/>
    <w:unhideWhenUsed/>
    <w:rsid w:val="00B12BB3"/>
    <w:pPr>
      <w:tabs>
        <w:tab w:val="center" w:pos="4419"/>
        <w:tab w:val="right" w:pos="8838"/>
      </w:tabs>
    </w:pPr>
  </w:style>
  <w:style w:type="character" w:customStyle="1" w:styleId="PiedepginaCar">
    <w:name w:val="Pie de página Car"/>
    <w:basedOn w:val="Fuentedeprrafopredeter"/>
    <w:link w:val="Piedepgina"/>
    <w:uiPriority w:val="99"/>
    <w:rsid w:val="00B12BB3"/>
    <w:rPr>
      <w:rFonts w:ascii="Times New Roman" w:eastAsia="Times New Roman" w:hAnsi="Times New Roman" w:cs="Times New Roman"/>
      <w:sz w:val="24"/>
      <w:szCs w:val="24"/>
      <w:lang w:val="tr-TR" w:eastAsia="tr-TR"/>
    </w:rPr>
  </w:style>
  <w:style w:type="character" w:styleId="Mencinsinresolver">
    <w:name w:val="Unresolved Mention"/>
    <w:basedOn w:val="Fuentedeprrafopredeter"/>
    <w:uiPriority w:val="99"/>
    <w:semiHidden/>
    <w:unhideWhenUsed/>
    <w:rsid w:val="00AC5917"/>
    <w:rPr>
      <w:color w:val="605E5C"/>
      <w:shd w:val="clear" w:color="auto" w:fill="E1DFDD"/>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orcid.org/0000-0001-7840-9138"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jXbelLgG65gZF2QnhxRlAtOTng==">CgMxLjA4AHIhMVVnbmZxNjZHV2Z0N2NLeFRUSEl4WjFxMVQ0MkVYSkYx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3</Pages>
  <Words>1522</Words>
  <Characters>9317</Characters>
  <Application>Microsoft Office Word</Application>
  <DocSecurity>0</DocSecurity>
  <Lines>207</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Mariana Berenice González Leija</dc:creator>
  <cp:lastModifiedBy>Evaluador</cp:lastModifiedBy>
  <cp:revision>5</cp:revision>
  <dcterms:created xsi:type="dcterms:W3CDTF">2026-03-31T03:32:00Z</dcterms:created>
  <dcterms:modified xsi:type="dcterms:W3CDTF">2026-04-01T03:54:00Z</dcterms:modified>
</cp:coreProperties>
</file>