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D08045" w14:textId="469D1753" w:rsidR="005C6234" w:rsidRDefault="00C02E27">
      <w:pPr>
        <w:pBdr>
          <w:top w:val="nil"/>
          <w:left w:val="nil"/>
          <w:bottom w:val="nil"/>
          <w:right w:val="nil"/>
          <w:between w:val="nil"/>
        </w:pBdr>
        <w:spacing w:before="120" w:after="120"/>
        <w:jc w:val="center"/>
        <w:rPr>
          <w:rFonts w:ascii="Roboto" w:eastAsia="Roboto" w:hAnsi="Roboto" w:cs="Roboto"/>
          <w:b/>
          <w:bCs/>
          <w:color w:val="000000"/>
        </w:rPr>
      </w:pPr>
      <w:r w:rsidRPr="00C02E27">
        <w:rPr>
          <w:rFonts w:ascii="Roboto" w:eastAsia="Roboto" w:hAnsi="Roboto" w:cs="Roboto"/>
          <w:b/>
          <w:bCs/>
          <w:color w:val="000000"/>
        </w:rPr>
        <w:t xml:space="preserve">Desarrollo de pensamiento complejo en </w:t>
      </w:r>
      <w:r>
        <w:rPr>
          <w:rFonts w:ascii="Roboto" w:eastAsia="Roboto" w:hAnsi="Roboto" w:cs="Roboto"/>
          <w:b/>
          <w:bCs/>
          <w:color w:val="000000"/>
        </w:rPr>
        <w:t>Matemáticas para N</w:t>
      </w:r>
      <w:r w:rsidRPr="00C02E27">
        <w:rPr>
          <w:rFonts w:ascii="Roboto" w:eastAsia="Roboto" w:hAnsi="Roboto" w:cs="Roboto"/>
          <w:b/>
          <w:bCs/>
          <w:color w:val="000000"/>
        </w:rPr>
        <w:t>egocios: evidencia inicial desde la ansiedad matemática y el desempeño académico</w:t>
      </w:r>
    </w:p>
    <w:p w14:paraId="24D5B015" w14:textId="2771451C" w:rsidR="005C6234" w:rsidRDefault="00C02E27">
      <w:pPr>
        <w:pBdr>
          <w:top w:val="nil"/>
          <w:left w:val="nil"/>
          <w:bottom w:val="nil"/>
          <w:right w:val="nil"/>
          <w:between w:val="nil"/>
        </w:pBdr>
        <w:spacing w:before="120" w:after="120"/>
        <w:jc w:val="center"/>
        <w:rPr>
          <w:rFonts w:ascii="Roboto" w:eastAsia="Roboto" w:hAnsi="Roboto" w:cs="Roboto"/>
          <w:b/>
          <w:bCs/>
          <w:color w:val="000000"/>
          <w:sz w:val="20"/>
          <w:szCs w:val="20"/>
        </w:rPr>
      </w:pPr>
      <w:r>
        <w:rPr>
          <w:rFonts w:ascii="Roboto" w:eastAsia="Roboto" w:hAnsi="Roboto" w:cs="Roboto"/>
          <w:b/>
          <w:bCs/>
          <w:color w:val="000000"/>
          <w:sz w:val="20"/>
          <w:szCs w:val="20"/>
        </w:rPr>
        <w:t>Bayly-Castañeda K</w:t>
      </w:r>
      <w:r w:rsidR="00000000">
        <w:rPr>
          <w:rFonts w:ascii="Roboto" w:eastAsia="Roboto" w:hAnsi="Roboto" w:cs="Roboto"/>
          <w:b/>
          <w:bCs/>
          <w:color w:val="000000"/>
          <w:sz w:val="20"/>
          <w:szCs w:val="20"/>
        </w:rPr>
        <w:t>.</w:t>
      </w:r>
      <w:r w:rsidR="00000000">
        <w:rPr>
          <w:rFonts w:ascii="Roboto" w:eastAsia="Roboto" w:hAnsi="Roboto" w:cs="Roboto"/>
          <w:b/>
          <w:bCs/>
          <w:color w:val="000000"/>
          <w:sz w:val="20"/>
          <w:szCs w:val="20"/>
          <w:vertAlign w:val="superscript"/>
        </w:rPr>
        <w:t>1</w:t>
      </w:r>
      <w:r>
        <w:rPr>
          <w:rFonts w:ascii="Roboto" w:eastAsia="Roboto" w:hAnsi="Roboto" w:cs="Roboto"/>
          <w:b/>
          <w:bCs/>
          <w:color w:val="000000"/>
          <w:sz w:val="20"/>
          <w:szCs w:val="20"/>
          <w:vertAlign w:val="superscript"/>
        </w:rPr>
        <w:t>*</w:t>
      </w:r>
      <w:r w:rsidR="00000000">
        <w:rPr>
          <w:rFonts w:ascii="Roboto" w:eastAsia="Roboto" w:hAnsi="Roboto" w:cs="Roboto"/>
          <w:b/>
          <w:bCs/>
          <w:color w:val="000000"/>
          <w:sz w:val="20"/>
          <w:szCs w:val="20"/>
        </w:rPr>
        <w:t xml:space="preserve">, </w:t>
      </w:r>
      <w:r>
        <w:rPr>
          <w:rFonts w:ascii="Roboto" w:eastAsia="Roboto" w:hAnsi="Roboto" w:cs="Roboto"/>
          <w:b/>
          <w:bCs/>
          <w:color w:val="000000"/>
          <w:sz w:val="20"/>
          <w:szCs w:val="20"/>
        </w:rPr>
        <w:t>Tejeda-Moreno A.</w:t>
      </w:r>
      <w:r w:rsidR="00000000">
        <w:rPr>
          <w:rFonts w:ascii="Roboto" w:eastAsia="Roboto" w:hAnsi="Roboto" w:cs="Roboto"/>
          <w:b/>
          <w:bCs/>
          <w:color w:val="000000"/>
          <w:sz w:val="20"/>
          <w:szCs w:val="20"/>
          <w:vertAlign w:val="superscript"/>
        </w:rPr>
        <w:t>2</w:t>
      </w:r>
    </w:p>
    <w:p w14:paraId="34D0E760" w14:textId="0210589C" w:rsidR="005C6234" w:rsidRDefault="00000000">
      <w:pPr>
        <w:pBdr>
          <w:top w:val="nil"/>
          <w:left w:val="nil"/>
          <w:bottom w:val="nil"/>
          <w:right w:val="nil"/>
          <w:between w:val="nil"/>
        </w:pBdr>
        <w:jc w:val="center"/>
        <w:rPr>
          <w:rFonts w:ascii="Roboto" w:eastAsia="Roboto" w:hAnsi="Roboto" w:cs="Roboto"/>
          <w:color w:val="000000"/>
          <w:sz w:val="18"/>
          <w:szCs w:val="18"/>
          <w:vertAlign w:val="superscript"/>
        </w:rPr>
      </w:pPr>
      <w:r>
        <w:rPr>
          <w:rFonts w:ascii="Roboto" w:eastAsia="Roboto" w:hAnsi="Roboto" w:cs="Roboto"/>
          <w:color w:val="000000"/>
          <w:sz w:val="18"/>
          <w:szCs w:val="18"/>
          <w:vertAlign w:val="superscript"/>
        </w:rPr>
        <w:t>1</w:t>
      </w:r>
      <w:r w:rsidR="00C02E27">
        <w:rPr>
          <w:rFonts w:ascii="Roboto" w:eastAsia="Roboto" w:hAnsi="Roboto" w:cs="Roboto"/>
          <w:color w:val="000000"/>
          <w:sz w:val="18"/>
          <w:szCs w:val="18"/>
        </w:rPr>
        <w:t>Universidad Anáhuac Puebla</w:t>
      </w:r>
      <w:r>
        <w:rPr>
          <w:rFonts w:ascii="Roboto" w:eastAsia="Roboto" w:hAnsi="Roboto" w:cs="Roboto"/>
          <w:color w:val="000000"/>
          <w:sz w:val="18"/>
          <w:szCs w:val="18"/>
        </w:rPr>
        <w:t>,</w:t>
      </w:r>
      <w:r w:rsidR="00FC1523">
        <w:rPr>
          <w:rFonts w:ascii="Roboto" w:eastAsia="Roboto" w:hAnsi="Roboto" w:cs="Roboto"/>
          <w:color w:val="000000"/>
          <w:sz w:val="18"/>
          <w:szCs w:val="18"/>
        </w:rPr>
        <w:t xml:space="preserve"> </w:t>
      </w:r>
      <w:r w:rsidR="00FC1523" w:rsidRPr="00FC1523">
        <w:rPr>
          <w:rFonts w:ascii="Roboto" w:eastAsia="Roboto" w:hAnsi="Roboto" w:cs="Roboto"/>
          <w:color w:val="000000"/>
          <w:sz w:val="18"/>
          <w:szCs w:val="18"/>
        </w:rPr>
        <w:t>https://orcid.org/0000-0002-4170-6072</w:t>
      </w:r>
    </w:p>
    <w:p w14:paraId="4D492E3B" w14:textId="5C4480EC" w:rsidR="005C6234" w:rsidRDefault="00000000">
      <w:pPr>
        <w:jc w:val="center"/>
        <w:rPr>
          <w:rFonts w:ascii="Roboto" w:eastAsia="Roboto" w:hAnsi="Roboto" w:cs="Roboto"/>
          <w:sz w:val="18"/>
          <w:szCs w:val="18"/>
        </w:rPr>
      </w:pPr>
      <w:r>
        <w:rPr>
          <w:rFonts w:ascii="Roboto" w:eastAsia="Roboto" w:hAnsi="Roboto" w:cs="Roboto"/>
          <w:sz w:val="18"/>
          <w:szCs w:val="18"/>
          <w:vertAlign w:val="superscript"/>
        </w:rPr>
        <w:t>2</w:t>
      </w:r>
      <w:r w:rsidR="00C02E27">
        <w:rPr>
          <w:rFonts w:ascii="Roboto" w:eastAsia="Roboto" w:hAnsi="Roboto" w:cs="Roboto"/>
          <w:sz w:val="18"/>
          <w:szCs w:val="18"/>
        </w:rPr>
        <w:t>Universidad Anáhuac Puebla</w:t>
      </w:r>
    </w:p>
    <w:p w14:paraId="0B7F7DE8" w14:textId="743ACAD6" w:rsidR="005C6234" w:rsidRDefault="00000000">
      <w:pPr>
        <w:jc w:val="center"/>
        <w:rPr>
          <w:rFonts w:ascii="Roboto" w:eastAsia="Roboto" w:hAnsi="Roboto" w:cs="Roboto"/>
          <w:sz w:val="18"/>
          <w:szCs w:val="18"/>
        </w:rPr>
      </w:pPr>
      <w:r>
        <w:rPr>
          <w:rFonts w:ascii="Roboto" w:eastAsia="Roboto" w:hAnsi="Roboto" w:cs="Roboto"/>
          <w:sz w:val="18"/>
          <w:szCs w:val="18"/>
        </w:rPr>
        <w:t>*Autor de correspondencia (e-mail:</w:t>
      </w:r>
      <w:r>
        <w:rPr>
          <w:rFonts w:ascii="Roboto" w:eastAsia="Roboto" w:hAnsi="Roboto" w:cs="Roboto"/>
          <w:sz w:val="18"/>
          <w:szCs w:val="18"/>
          <w:highlight w:val="white"/>
        </w:rPr>
        <w:t xml:space="preserve"> </w:t>
      </w:r>
      <w:r w:rsidR="00C02E27">
        <w:rPr>
          <w:rFonts w:ascii="Roboto" w:eastAsia="Roboto" w:hAnsi="Roboto" w:cs="Roboto"/>
          <w:sz w:val="18"/>
          <w:szCs w:val="18"/>
        </w:rPr>
        <w:t>Karla.baylyca@anahuac.mx</w:t>
      </w:r>
      <w:r>
        <w:rPr>
          <w:rFonts w:ascii="Roboto" w:eastAsia="Roboto" w:hAnsi="Roboto" w:cs="Roboto"/>
          <w:sz w:val="18"/>
          <w:szCs w:val="18"/>
        </w:rPr>
        <w:t>)</w:t>
      </w:r>
    </w:p>
    <w:p w14:paraId="350DD30C" w14:textId="77777777" w:rsidR="005C6234" w:rsidRDefault="00000000">
      <w:pPr>
        <w:spacing w:before="60"/>
        <w:jc w:val="center"/>
        <w:rPr>
          <w:rFonts w:ascii="Roboto" w:eastAsia="Roboto" w:hAnsi="Roboto" w:cs="Roboto"/>
          <w:sz w:val="18"/>
          <w:szCs w:val="18"/>
        </w:rPr>
        <w:sectPr w:rsidR="005C6234">
          <w:headerReference w:type="default" r:id="rId8"/>
          <w:pgSz w:w="11906" w:h="16838"/>
          <w:pgMar w:top="851" w:right="851" w:bottom="828" w:left="851" w:header="357" w:footer="720" w:gutter="0"/>
          <w:pgNumType w:start="1"/>
          <w:cols w:space="720"/>
        </w:sectPr>
      </w:pPr>
      <w:r>
        <w:pict w14:anchorId="67E4B283">
          <v:rect id="_x0000_i1025" style="width:0;height:1.5pt" o:hralign="center" o:hrstd="t" o:hr="t" fillcolor="#a0a0a0" stroked="f"/>
        </w:pict>
      </w:r>
    </w:p>
    <w:p w14:paraId="3362DA6F" w14:textId="77777777" w:rsidR="005C6234" w:rsidRDefault="005C6234">
      <w:pPr>
        <w:pBdr>
          <w:top w:val="nil"/>
          <w:left w:val="nil"/>
          <w:bottom w:val="nil"/>
          <w:right w:val="nil"/>
          <w:between w:val="nil"/>
        </w:pBdr>
        <w:jc w:val="both"/>
        <w:rPr>
          <w:rFonts w:ascii="Roboto" w:eastAsia="Roboto" w:hAnsi="Roboto" w:cs="Roboto"/>
          <w:b/>
          <w:bCs/>
          <w:color w:val="000000"/>
          <w:sz w:val="20"/>
          <w:szCs w:val="20"/>
        </w:rPr>
      </w:pPr>
    </w:p>
    <w:p w14:paraId="7262A64B" w14:textId="36F29D2C" w:rsidR="005C6234" w:rsidRDefault="00C02E27">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RESUMEN</w:t>
      </w:r>
    </w:p>
    <w:p w14:paraId="4871CCC9" w14:textId="77777777" w:rsidR="00C02E27" w:rsidRPr="00C02E27" w:rsidRDefault="00C02E27" w:rsidP="00C02E27">
      <w:pPr>
        <w:pBdr>
          <w:top w:val="nil"/>
          <w:left w:val="nil"/>
          <w:bottom w:val="nil"/>
          <w:right w:val="nil"/>
          <w:between w:val="nil"/>
        </w:pBdr>
        <w:jc w:val="both"/>
        <w:rPr>
          <w:rFonts w:ascii="Roboto" w:eastAsia="Roboto" w:hAnsi="Roboto" w:cs="Roboto"/>
          <w:color w:val="000000"/>
          <w:sz w:val="20"/>
          <w:szCs w:val="20"/>
        </w:rPr>
      </w:pPr>
      <w:r w:rsidRPr="00C02E27">
        <w:rPr>
          <w:rFonts w:ascii="Roboto" w:eastAsia="Roboto" w:hAnsi="Roboto" w:cs="Roboto"/>
          <w:color w:val="000000"/>
          <w:sz w:val="20"/>
          <w:szCs w:val="20"/>
        </w:rPr>
        <w:t>Las altas tasas de reprobación en cursos cuantitativos en educación superior están estrechamente vinculadas con barreras afectivas que limitan el desarrollo del pensamiento complejo en estudiantes de negocios. Este estudio analiza el perfil inicial de ansiedad matemática, su relación con la percepción de utilidad y su impacto en el desempeño académico, así como los efectos preliminares de una intervención pedagógica breve orientada al desarrollo de pensamiento complejo.</w:t>
      </w:r>
    </w:p>
    <w:p w14:paraId="50CA03B3" w14:textId="442A7000" w:rsidR="00C02E27" w:rsidRPr="00C02E27" w:rsidRDefault="00C02E27" w:rsidP="00C02E27">
      <w:pPr>
        <w:pBdr>
          <w:top w:val="nil"/>
          <w:left w:val="nil"/>
          <w:bottom w:val="nil"/>
          <w:right w:val="nil"/>
          <w:between w:val="nil"/>
        </w:pBdr>
        <w:jc w:val="both"/>
        <w:rPr>
          <w:rFonts w:ascii="Roboto" w:eastAsia="Roboto" w:hAnsi="Roboto" w:cs="Roboto"/>
          <w:color w:val="000000"/>
          <w:sz w:val="20"/>
          <w:szCs w:val="20"/>
        </w:rPr>
      </w:pPr>
      <w:r w:rsidRPr="00C02E27">
        <w:rPr>
          <w:rFonts w:ascii="Roboto" w:eastAsia="Roboto" w:hAnsi="Roboto" w:cs="Roboto"/>
          <w:color w:val="000000"/>
          <w:sz w:val="20"/>
          <w:szCs w:val="20"/>
        </w:rPr>
        <w:t xml:space="preserve">Se empleó un diseño </w:t>
      </w:r>
      <w:proofErr w:type="spellStart"/>
      <w:proofErr w:type="gramStart"/>
      <w:r w:rsidRPr="00C02E27">
        <w:rPr>
          <w:rFonts w:ascii="Roboto" w:eastAsia="Roboto" w:hAnsi="Roboto" w:cs="Roboto"/>
          <w:color w:val="000000"/>
          <w:sz w:val="20"/>
          <w:szCs w:val="20"/>
        </w:rPr>
        <w:t>cuasi-experimental</w:t>
      </w:r>
      <w:proofErr w:type="spellEnd"/>
      <w:proofErr w:type="gramEnd"/>
      <w:r w:rsidRPr="00C02E27">
        <w:rPr>
          <w:rFonts w:ascii="Roboto" w:eastAsia="Roboto" w:hAnsi="Roboto" w:cs="Roboto"/>
          <w:color w:val="000000"/>
          <w:sz w:val="20"/>
          <w:szCs w:val="20"/>
        </w:rPr>
        <w:t xml:space="preserve"> con grupo de intervención (2 grupos) y grupo de comparación (4 grupos), en la asignatura Matemáticas para Negocios durante el semestre enero–mayo 2026. Se aplicó un cuestionario diagnóstico estructurado en tres dimensiones: (1) falta de vinculación con la realidad, (2) ansiedad matemática y creencias limitantes, y (3) evitación en la toma de decisiones </w:t>
      </w:r>
      <w:r w:rsidRPr="00C02E27">
        <w:rPr>
          <w:rFonts w:ascii="Roboto" w:eastAsia="Roboto" w:hAnsi="Roboto" w:cs="Roboto"/>
          <w:color w:val="000000"/>
          <w:sz w:val="20"/>
          <w:szCs w:val="20"/>
        </w:rPr>
        <w:t>académicas.</w:t>
      </w:r>
      <w:r w:rsidRPr="00C02E27">
        <w:rPr>
          <w:rFonts w:ascii="Roboto" w:eastAsia="Roboto" w:hAnsi="Roboto" w:cs="Roboto"/>
          <w:color w:val="000000"/>
          <w:sz w:val="20"/>
          <w:szCs w:val="20"/>
        </w:rPr>
        <w:t xml:space="preserve"> El desempeño académico se evaluó mediante los resultados de los dos primeros exámenes parciales, analizados a través de comparaciones de medias y pruebas de significancia.</w:t>
      </w:r>
    </w:p>
    <w:p w14:paraId="70FCCB35" w14:textId="77777777" w:rsidR="00C02E27" w:rsidRPr="00C02E27" w:rsidRDefault="00C02E27" w:rsidP="00C02E27">
      <w:pPr>
        <w:pBdr>
          <w:top w:val="nil"/>
          <w:left w:val="nil"/>
          <w:bottom w:val="nil"/>
          <w:right w:val="nil"/>
          <w:between w:val="nil"/>
        </w:pBdr>
        <w:jc w:val="both"/>
        <w:rPr>
          <w:rFonts w:ascii="Roboto" w:eastAsia="Roboto" w:hAnsi="Roboto" w:cs="Roboto"/>
          <w:color w:val="000000"/>
          <w:sz w:val="20"/>
          <w:szCs w:val="20"/>
        </w:rPr>
      </w:pPr>
      <w:r w:rsidRPr="00C02E27">
        <w:rPr>
          <w:rFonts w:ascii="Roboto" w:eastAsia="Roboto" w:hAnsi="Roboto" w:cs="Roboto"/>
          <w:color w:val="000000"/>
          <w:sz w:val="20"/>
          <w:szCs w:val="20"/>
        </w:rPr>
        <w:t>Los resultados muestran: (a) niveles moderados a altos de ansiedad matemática desde el inicio del curso; (b) baja percepción de utilidad de las matemáticas en contextos de negocio; (c) presencia de patrones de evitación asociados a decisiones académicas; y (d) ausencia de diferencias estadísticamente significativas en el desempeño entre los grupos con y sin intervención en los primeros parciales.</w:t>
      </w:r>
    </w:p>
    <w:p w14:paraId="22BFA5D1" w14:textId="77777777" w:rsidR="00C02E27" w:rsidRDefault="00C02E27">
      <w:pPr>
        <w:pBdr>
          <w:top w:val="nil"/>
          <w:left w:val="nil"/>
          <w:bottom w:val="nil"/>
          <w:right w:val="nil"/>
          <w:between w:val="nil"/>
        </w:pBdr>
        <w:jc w:val="both"/>
        <w:rPr>
          <w:rFonts w:ascii="Roboto" w:eastAsia="Roboto" w:hAnsi="Roboto" w:cs="Roboto"/>
          <w:color w:val="000000"/>
          <w:sz w:val="20"/>
          <w:szCs w:val="20"/>
        </w:rPr>
      </w:pPr>
      <w:r w:rsidRPr="00C02E27">
        <w:rPr>
          <w:rFonts w:ascii="Roboto" w:eastAsia="Roboto" w:hAnsi="Roboto" w:cs="Roboto"/>
          <w:color w:val="000000"/>
          <w:sz w:val="20"/>
          <w:szCs w:val="20"/>
        </w:rPr>
        <w:t>Estos hallazgos sugieren que la ansiedad matemática constituye una barrera estructural que no puede ser mitigada mediante intervenciones breves aisladas. El estudio aporta evidencia empírica para el rediseño de estrategias pedagógicas en cursos cuantitativos y plantea la necesidad de intervenciones más profundas, sostenidas y sistémicas para el desarrollo del pensamiento complejo en educación superior.</w:t>
      </w:r>
    </w:p>
    <w:p w14:paraId="4D928082" w14:textId="3E60CDB0" w:rsidR="005C6234" w:rsidRPr="00C02E27" w:rsidRDefault="00C02E27">
      <w:pPr>
        <w:pBdr>
          <w:top w:val="nil"/>
          <w:left w:val="nil"/>
          <w:bottom w:val="nil"/>
          <w:right w:val="nil"/>
          <w:between w:val="nil"/>
        </w:pBdr>
        <w:jc w:val="both"/>
        <w:rPr>
          <w:rFonts w:ascii="Roboto" w:eastAsia="Roboto" w:hAnsi="Roboto" w:cs="Roboto"/>
          <w:color w:val="000000"/>
          <w:sz w:val="20"/>
          <w:szCs w:val="20"/>
        </w:rPr>
      </w:pPr>
      <w:r w:rsidRPr="00C02E27">
        <w:rPr>
          <w:rFonts w:ascii="Roboto" w:eastAsia="Roboto" w:hAnsi="Roboto" w:cs="Roboto"/>
          <w:b/>
          <w:bCs/>
          <w:color w:val="000000"/>
          <w:sz w:val="20"/>
          <w:szCs w:val="20"/>
        </w:rPr>
        <w:t>Palabras clave</w:t>
      </w:r>
      <w:r w:rsidRPr="00C02E27">
        <w:rPr>
          <w:rFonts w:ascii="Roboto" w:eastAsia="Roboto" w:hAnsi="Roboto" w:cs="Roboto"/>
          <w:color w:val="000000"/>
          <w:sz w:val="20"/>
          <w:szCs w:val="20"/>
        </w:rPr>
        <w:t>: pensamiento complejo, ansiedad matemática, educación superior, innovación educativa, desempeño académico</w:t>
      </w:r>
      <w:r w:rsidR="00000000" w:rsidRPr="00C02E27">
        <w:rPr>
          <w:rFonts w:ascii="Roboto" w:eastAsia="Roboto" w:hAnsi="Roboto" w:cs="Roboto"/>
          <w:color w:val="000000"/>
          <w:sz w:val="20"/>
          <w:szCs w:val="20"/>
        </w:rPr>
        <w:t>.</w:t>
      </w:r>
    </w:p>
    <w:p w14:paraId="0858DF69" w14:textId="77777777" w:rsidR="005C6234" w:rsidRDefault="005C6234">
      <w:pPr>
        <w:pBdr>
          <w:top w:val="nil"/>
          <w:left w:val="nil"/>
          <w:bottom w:val="nil"/>
          <w:right w:val="nil"/>
          <w:between w:val="nil"/>
        </w:pBdr>
        <w:jc w:val="both"/>
        <w:rPr>
          <w:rFonts w:ascii="Roboto" w:eastAsia="Roboto" w:hAnsi="Roboto" w:cs="Roboto"/>
          <w:b/>
          <w:bCs/>
          <w:color w:val="000000"/>
          <w:sz w:val="20"/>
          <w:szCs w:val="20"/>
        </w:rPr>
      </w:pPr>
    </w:p>
    <w:p w14:paraId="547F6D00" w14:textId="402D9FF2" w:rsidR="005C6234" w:rsidRDefault="00C02E27">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INTRODUCCIÓN</w:t>
      </w:r>
    </w:p>
    <w:p w14:paraId="5761A477" w14:textId="77777777" w:rsidR="00C02E27" w:rsidRPr="00C02E27" w:rsidRDefault="00C02E27" w:rsidP="00C02E27">
      <w:pPr>
        <w:pBdr>
          <w:top w:val="nil"/>
          <w:left w:val="nil"/>
          <w:bottom w:val="nil"/>
          <w:right w:val="nil"/>
          <w:between w:val="nil"/>
        </w:pBdr>
        <w:jc w:val="both"/>
        <w:rPr>
          <w:rFonts w:ascii="Roboto" w:eastAsia="Roboto" w:hAnsi="Roboto" w:cs="Roboto"/>
          <w:color w:val="000000"/>
          <w:sz w:val="20"/>
          <w:szCs w:val="20"/>
        </w:rPr>
      </w:pPr>
      <w:r w:rsidRPr="00C02E27">
        <w:rPr>
          <w:rFonts w:ascii="Roboto" w:eastAsia="Roboto" w:hAnsi="Roboto" w:cs="Roboto"/>
          <w:color w:val="000000"/>
          <w:sz w:val="20"/>
          <w:szCs w:val="20"/>
        </w:rPr>
        <w:t xml:space="preserve">El desarrollo del pensamiento complejo en educación de negocios representa un desafío significativo en cursos cuantitativos, donde los estudiantes frecuentemente enfrentan barreras no solo cognitivas, sino también afectivas. La literatura reciente ha documentado que la ansiedad matemática impacta negativamente tanto el desempeño académico como la disposición del </w:t>
      </w:r>
      <w:r w:rsidRPr="00C02E27">
        <w:rPr>
          <w:rFonts w:ascii="Roboto" w:eastAsia="Roboto" w:hAnsi="Roboto" w:cs="Roboto"/>
          <w:color w:val="000000"/>
          <w:sz w:val="20"/>
          <w:szCs w:val="20"/>
        </w:rPr>
        <w:t>estudiante para involucrarse en procesos de razonamiento profundo.</w:t>
      </w:r>
    </w:p>
    <w:p w14:paraId="57EF5906" w14:textId="77777777" w:rsidR="00C02E27" w:rsidRPr="00C02E27" w:rsidRDefault="00C02E27" w:rsidP="00C02E27">
      <w:pPr>
        <w:pBdr>
          <w:top w:val="nil"/>
          <w:left w:val="nil"/>
          <w:bottom w:val="nil"/>
          <w:right w:val="nil"/>
          <w:between w:val="nil"/>
        </w:pBdr>
        <w:jc w:val="both"/>
        <w:rPr>
          <w:rFonts w:ascii="Roboto" w:eastAsia="Roboto" w:hAnsi="Roboto" w:cs="Roboto"/>
          <w:color w:val="000000"/>
          <w:sz w:val="20"/>
          <w:szCs w:val="20"/>
        </w:rPr>
      </w:pPr>
      <w:r w:rsidRPr="00C02E27">
        <w:rPr>
          <w:rFonts w:ascii="Roboto" w:eastAsia="Roboto" w:hAnsi="Roboto" w:cs="Roboto"/>
          <w:color w:val="000000"/>
          <w:sz w:val="20"/>
          <w:szCs w:val="20"/>
        </w:rPr>
        <w:t>En este contexto, las propuestas de innovación educativa han comenzado a integrar enfoques que combinan el desarrollo de habilidades cognitivas con el fortalecimiento de la confianza académica. Sin embargo, existe evidencia limitada sobre la efectividad de intervenciones breves orientadas al pensamiento complejo en etapas tempranas del aprendizaje, particularmente en contextos con alta heterogeneidad en los niveles de preparación matemática.</w:t>
      </w:r>
    </w:p>
    <w:p w14:paraId="14371552" w14:textId="77777777" w:rsidR="00C02E27" w:rsidRPr="00C02E27" w:rsidRDefault="00C02E27" w:rsidP="00C02E27">
      <w:pPr>
        <w:pBdr>
          <w:top w:val="nil"/>
          <w:left w:val="nil"/>
          <w:bottom w:val="nil"/>
          <w:right w:val="nil"/>
          <w:between w:val="nil"/>
        </w:pBdr>
        <w:jc w:val="both"/>
        <w:rPr>
          <w:rFonts w:ascii="Roboto" w:eastAsia="Roboto" w:hAnsi="Roboto" w:cs="Roboto"/>
          <w:color w:val="000000"/>
          <w:sz w:val="20"/>
          <w:szCs w:val="20"/>
        </w:rPr>
      </w:pPr>
      <w:r w:rsidRPr="00C02E27">
        <w:rPr>
          <w:rFonts w:ascii="Roboto" w:eastAsia="Roboto" w:hAnsi="Roboto" w:cs="Roboto"/>
          <w:color w:val="000000"/>
          <w:sz w:val="20"/>
          <w:szCs w:val="20"/>
        </w:rPr>
        <w:t>El objetivo de este estudio es analizar el perfil inicial de ansiedad matemática en estudiantes de negocios y evaluar el impacto preliminar de una intervención pedagógica corta basada en pensamiento complejo sobre el desempeño académico, aportando evidencia empírica para el diseño de estrategias educativas más efectivas.</w:t>
      </w:r>
    </w:p>
    <w:p w14:paraId="03E83181" w14:textId="77777777" w:rsidR="005C6234" w:rsidRDefault="005C6234">
      <w:pPr>
        <w:pBdr>
          <w:top w:val="nil"/>
          <w:left w:val="nil"/>
          <w:bottom w:val="nil"/>
          <w:right w:val="nil"/>
          <w:between w:val="nil"/>
        </w:pBdr>
        <w:jc w:val="both"/>
        <w:rPr>
          <w:rFonts w:ascii="Roboto" w:eastAsia="Roboto" w:hAnsi="Roboto" w:cs="Roboto"/>
          <w:color w:val="000000"/>
          <w:sz w:val="20"/>
          <w:szCs w:val="20"/>
        </w:rPr>
      </w:pPr>
    </w:p>
    <w:p w14:paraId="7DBFC2D4" w14:textId="2C694BF5" w:rsidR="005C6234" w:rsidRDefault="00C02E27">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METODOLOGÍA</w:t>
      </w:r>
    </w:p>
    <w:p w14:paraId="79EE9381" w14:textId="323DC954" w:rsidR="00C02E27" w:rsidRPr="00C02E27" w:rsidRDefault="00C02E27" w:rsidP="00C02E27">
      <w:pPr>
        <w:pBdr>
          <w:top w:val="nil"/>
          <w:left w:val="nil"/>
          <w:bottom w:val="nil"/>
          <w:right w:val="nil"/>
          <w:between w:val="nil"/>
        </w:pBdr>
        <w:jc w:val="both"/>
        <w:rPr>
          <w:rFonts w:ascii="Roboto" w:eastAsia="Roboto" w:hAnsi="Roboto" w:cs="Roboto"/>
          <w:color w:val="000000"/>
          <w:sz w:val="20"/>
          <w:szCs w:val="20"/>
        </w:rPr>
      </w:pPr>
      <w:r w:rsidRPr="00C02E27">
        <w:rPr>
          <w:rFonts w:ascii="Roboto" w:eastAsia="Roboto" w:hAnsi="Roboto" w:cs="Roboto"/>
          <w:color w:val="000000"/>
          <w:sz w:val="20"/>
          <w:szCs w:val="20"/>
        </w:rPr>
        <w:t xml:space="preserve">Se utilizó un diseño </w:t>
      </w:r>
      <w:proofErr w:type="spellStart"/>
      <w:proofErr w:type="gramStart"/>
      <w:r w:rsidRPr="00C02E27">
        <w:rPr>
          <w:rFonts w:ascii="Roboto" w:eastAsia="Roboto" w:hAnsi="Roboto" w:cs="Roboto"/>
          <w:color w:val="000000"/>
          <w:sz w:val="20"/>
          <w:szCs w:val="20"/>
        </w:rPr>
        <w:t>cuasi-experimental</w:t>
      </w:r>
      <w:proofErr w:type="spellEnd"/>
      <w:proofErr w:type="gramEnd"/>
      <w:r w:rsidRPr="00C02E27">
        <w:rPr>
          <w:rFonts w:ascii="Roboto" w:eastAsia="Roboto" w:hAnsi="Roboto" w:cs="Roboto"/>
          <w:color w:val="000000"/>
          <w:sz w:val="20"/>
          <w:szCs w:val="20"/>
        </w:rPr>
        <w:t xml:space="preserve"> con grupo de intervención y grupo de comparación en seis grupos de la asignatura Matemáticas para Negocios. La intervención se implementó en dos grupos durante las primeras tres sesiones del semestre mediante un taller enfocado en descomposición de problemas, razonamiento crítico y pensamiento sistémico. Los cuatro grupos restantes siguieron el programa tradicional.</w:t>
      </w:r>
      <w:r>
        <w:rPr>
          <w:rFonts w:ascii="Roboto" w:eastAsia="Roboto" w:hAnsi="Roboto" w:cs="Roboto"/>
          <w:color w:val="000000"/>
          <w:sz w:val="20"/>
          <w:szCs w:val="20"/>
        </w:rPr>
        <w:t xml:space="preserve"> </w:t>
      </w:r>
      <w:r w:rsidRPr="00C02E27">
        <w:rPr>
          <w:rFonts w:ascii="Roboto" w:eastAsia="Roboto" w:hAnsi="Roboto" w:cs="Roboto"/>
          <w:color w:val="000000"/>
          <w:sz w:val="20"/>
          <w:szCs w:val="20"/>
        </w:rPr>
        <w:t>El diagnóstico inicial se realizó mediante un cuestionario estructurado en tres dimensiones: percepción de relevancia, ansiedad matemática y evitación académica. Este instrumento permitió establecer el perfil afectivo de los estudiantes al inicio del curso.</w:t>
      </w:r>
      <w:r>
        <w:rPr>
          <w:rFonts w:ascii="Roboto" w:eastAsia="Roboto" w:hAnsi="Roboto" w:cs="Roboto"/>
          <w:color w:val="000000"/>
          <w:sz w:val="20"/>
          <w:szCs w:val="20"/>
        </w:rPr>
        <w:t xml:space="preserve"> </w:t>
      </w:r>
      <w:r w:rsidRPr="00C02E27">
        <w:rPr>
          <w:rFonts w:ascii="Roboto" w:eastAsia="Roboto" w:hAnsi="Roboto" w:cs="Roboto"/>
          <w:color w:val="000000"/>
          <w:sz w:val="20"/>
          <w:szCs w:val="20"/>
        </w:rPr>
        <w:t>El desempeño académico se evaluó mediante los resultados de los dos primeros exámenes parciales. El análisis incluyó comparación de medias entre grupos y pruebas de significancia estadística para identificar posibles efectos de la intervención.</w:t>
      </w:r>
    </w:p>
    <w:p w14:paraId="672F07EC" w14:textId="77777777" w:rsidR="00C02E27" w:rsidRDefault="00C02E27">
      <w:pPr>
        <w:pBdr>
          <w:top w:val="nil"/>
          <w:left w:val="nil"/>
          <w:bottom w:val="nil"/>
          <w:right w:val="nil"/>
          <w:between w:val="nil"/>
        </w:pBdr>
        <w:jc w:val="both"/>
        <w:rPr>
          <w:rFonts w:ascii="Roboto" w:eastAsia="Roboto" w:hAnsi="Roboto" w:cs="Roboto"/>
          <w:color w:val="000000"/>
          <w:sz w:val="20"/>
          <w:szCs w:val="20"/>
        </w:rPr>
      </w:pPr>
    </w:p>
    <w:p w14:paraId="3E92B03E" w14:textId="2F6F53F7" w:rsidR="00C02E27" w:rsidRDefault="00C02E27" w:rsidP="00C02E27">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RESULTADOS</w:t>
      </w:r>
    </w:p>
    <w:p w14:paraId="1E717352" w14:textId="77777777" w:rsidR="00C02E27" w:rsidRDefault="00C02E27">
      <w:pPr>
        <w:pBdr>
          <w:top w:val="nil"/>
          <w:left w:val="nil"/>
          <w:bottom w:val="nil"/>
          <w:right w:val="nil"/>
          <w:between w:val="nil"/>
        </w:pBdr>
        <w:jc w:val="both"/>
        <w:rPr>
          <w:rFonts w:ascii="Roboto" w:eastAsia="Roboto" w:hAnsi="Roboto" w:cs="Roboto"/>
          <w:color w:val="000000"/>
          <w:sz w:val="20"/>
          <w:szCs w:val="20"/>
        </w:rPr>
      </w:pPr>
    </w:p>
    <w:p w14:paraId="1EDE5470" w14:textId="22C85448" w:rsidR="00C02E27" w:rsidRDefault="0096480E" w:rsidP="0096480E">
      <w:pPr>
        <w:keepNext/>
        <w:jc w:val="both"/>
        <w:rPr>
          <w:rFonts w:ascii="Roboto" w:eastAsia="Roboto" w:hAnsi="Roboto" w:cs="Roboto"/>
          <w:sz w:val="20"/>
          <w:szCs w:val="20"/>
        </w:rPr>
      </w:pPr>
      <w:r>
        <w:rPr>
          <w:rFonts w:ascii="Roboto" w:eastAsia="Roboto" w:hAnsi="Roboto" w:cs="Roboto"/>
          <w:b/>
          <w:bCs/>
          <w:sz w:val="20"/>
          <w:szCs w:val="20"/>
        </w:rPr>
        <w:t>Tabla 1.</w:t>
      </w:r>
      <w:r>
        <w:rPr>
          <w:rFonts w:ascii="Roboto" w:eastAsia="Roboto" w:hAnsi="Roboto" w:cs="Roboto"/>
          <w:sz w:val="20"/>
          <w:szCs w:val="20"/>
        </w:rPr>
        <w:t xml:space="preserve"> </w:t>
      </w:r>
      <w:r w:rsidRPr="0096480E">
        <w:rPr>
          <w:rFonts w:ascii="Roboto" w:eastAsia="Roboto" w:hAnsi="Roboto" w:cs="Roboto"/>
          <w:sz w:val="20"/>
          <w:szCs w:val="20"/>
        </w:rPr>
        <w:t>Perfil diagnóstico de ansiedad matemática al inicio del semestre</w:t>
      </w:r>
    </w:p>
    <w:p w14:paraId="50D71208" w14:textId="77777777" w:rsidR="0096480E" w:rsidRDefault="0096480E" w:rsidP="0096480E">
      <w:pPr>
        <w:keepNext/>
        <w:jc w:val="both"/>
        <w:rPr>
          <w:rFonts w:ascii="Roboto" w:eastAsia="Roboto" w:hAnsi="Roboto" w:cs="Roboto"/>
          <w:color w:val="000000"/>
          <w:sz w:val="20"/>
          <w:szCs w:val="20"/>
        </w:rPr>
      </w:pPr>
    </w:p>
    <w:tbl>
      <w:tblPr>
        <w:tblW w:w="5460" w:type="dxa"/>
        <w:tblCellMar>
          <w:left w:w="70" w:type="dxa"/>
          <w:right w:w="70" w:type="dxa"/>
        </w:tblCellMar>
        <w:tblLook w:val="04A0" w:firstRow="1" w:lastRow="0" w:firstColumn="1" w:lastColumn="0" w:noHBand="0" w:noVBand="1"/>
      </w:tblPr>
      <w:tblGrid>
        <w:gridCol w:w="1420"/>
        <w:gridCol w:w="1260"/>
        <w:gridCol w:w="1260"/>
        <w:gridCol w:w="1520"/>
      </w:tblGrid>
      <w:tr w:rsidR="0096480E" w14:paraId="251CCF27" w14:textId="77777777" w:rsidTr="0096480E">
        <w:trPr>
          <w:trHeight w:val="576"/>
        </w:trPr>
        <w:tc>
          <w:tcPr>
            <w:tcW w:w="1420" w:type="dxa"/>
            <w:tcBorders>
              <w:top w:val="single" w:sz="4" w:space="0" w:color="auto"/>
              <w:left w:val="nil"/>
              <w:bottom w:val="single" w:sz="4" w:space="0" w:color="auto"/>
              <w:right w:val="nil"/>
            </w:tcBorders>
            <w:noWrap/>
            <w:vAlign w:val="center"/>
            <w:hideMark/>
          </w:tcPr>
          <w:p w14:paraId="7F59CA0C" w14:textId="77777777" w:rsidR="0096480E" w:rsidRDefault="0096480E">
            <w:pPr>
              <w:jc w:val="center"/>
              <w:rPr>
                <w:rFonts w:ascii="Calibri" w:hAnsi="Calibri" w:cs="Calibri"/>
                <w:b/>
                <w:bCs/>
                <w:color w:val="000000"/>
                <w:sz w:val="22"/>
                <w:szCs w:val="22"/>
              </w:rPr>
            </w:pPr>
            <w:r>
              <w:rPr>
                <w:rFonts w:ascii="Calibri" w:hAnsi="Calibri" w:cs="Calibri"/>
                <w:b/>
                <w:bCs/>
                <w:color w:val="000000"/>
                <w:sz w:val="22"/>
                <w:szCs w:val="22"/>
              </w:rPr>
              <w:t>Grupos</w:t>
            </w:r>
          </w:p>
        </w:tc>
        <w:tc>
          <w:tcPr>
            <w:tcW w:w="1260" w:type="dxa"/>
            <w:tcBorders>
              <w:top w:val="single" w:sz="4" w:space="0" w:color="auto"/>
              <w:left w:val="nil"/>
              <w:bottom w:val="single" w:sz="4" w:space="0" w:color="auto"/>
              <w:right w:val="nil"/>
            </w:tcBorders>
            <w:vAlign w:val="center"/>
            <w:hideMark/>
          </w:tcPr>
          <w:p w14:paraId="32A93AB4" w14:textId="77777777" w:rsidR="0096480E" w:rsidRDefault="0096480E">
            <w:pPr>
              <w:jc w:val="center"/>
              <w:rPr>
                <w:rFonts w:ascii="Calibri" w:hAnsi="Calibri" w:cs="Calibri"/>
                <w:b/>
                <w:bCs/>
                <w:color w:val="000000"/>
                <w:sz w:val="22"/>
                <w:szCs w:val="22"/>
              </w:rPr>
            </w:pPr>
            <w:r>
              <w:rPr>
                <w:rFonts w:ascii="Calibri" w:hAnsi="Calibri" w:cs="Calibri"/>
                <w:b/>
                <w:bCs/>
                <w:color w:val="000000"/>
                <w:sz w:val="22"/>
                <w:szCs w:val="22"/>
              </w:rPr>
              <w:t>Falta de vinculación</w:t>
            </w:r>
          </w:p>
        </w:tc>
        <w:tc>
          <w:tcPr>
            <w:tcW w:w="1260" w:type="dxa"/>
            <w:tcBorders>
              <w:top w:val="single" w:sz="4" w:space="0" w:color="auto"/>
              <w:left w:val="nil"/>
              <w:bottom w:val="single" w:sz="4" w:space="0" w:color="auto"/>
              <w:right w:val="nil"/>
            </w:tcBorders>
            <w:vAlign w:val="center"/>
            <w:hideMark/>
          </w:tcPr>
          <w:p w14:paraId="213DC71C" w14:textId="77777777" w:rsidR="0096480E" w:rsidRDefault="0096480E">
            <w:pPr>
              <w:jc w:val="center"/>
              <w:rPr>
                <w:rFonts w:ascii="Calibri" w:hAnsi="Calibri" w:cs="Calibri"/>
                <w:b/>
                <w:bCs/>
                <w:color w:val="000000"/>
                <w:sz w:val="22"/>
                <w:szCs w:val="22"/>
              </w:rPr>
            </w:pPr>
            <w:r>
              <w:rPr>
                <w:rFonts w:ascii="Calibri" w:hAnsi="Calibri" w:cs="Calibri"/>
                <w:b/>
                <w:bCs/>
                <w:color w:val="000000"/>
                <w:sz w:val="22"/>
                <w:szCs w:val="22"/>
              </w:rPr>
              <w:t>Ansiedad Matemática</w:t>
            </w:r>
          </w:p>
        </w:tc>
        <w:tc>
          <w:tcPr>
            <w:tcW w:w="1520" w:type="dxa"/>
            <w:tcBorders>
              <w:top w:val="single" w:sz="4" w:space="0" w:color="auto"/>
              <w:left w:val="nil"/>
              <w:bottom w:val="single" w:sz="4" w:space="0" w:color="auto"/>
              <w:right w:val="nil"/>
            </w:tcBorders>
            <w:vAlign w:val="center"/>
            <w:hideMark/>
          </w:tcPr>
          <w:p w14:paraId="5A0C4E18" w14:textId="77777777" w:rsidR="0096480E" w:rsidRDefault="0096480E">
            <w:pPr>
              <w:jc w:val="center"/>
              <w:rPr>
                <w:rFonts w:ascii="Calibri" w:hAnsi="Calibri" w:cs="Calibri"/>
                <w:b/>
                <w:bCs/>
                <w:color w:val="000000"/>
                <w:sz w:val="22"/>
                <w:szCs w:val="22"/>
              </w:rPr>
            </w:pPr>
            <w:r>
              <w:rPr>
                <w:rFonts w:ascii="Calibri" w:hAnsi="Calibri" w:cs="Calibri"/>
                <w:b/>
                <w:bCs/>
                <w:color w:val="000000"/>
                <w:sz w:val="22"/>
                <w:szCs w:val="22"/>
              </w:rPr>
              <w:t>Evitación toma decisiones</w:t>
            </w:r>
          </w:p>
        </w:tc>
      </w:tr>
      <w:tr w:rsidR="0096480E" w14:paraId="5FA3A528" w14:textId="77777777" w:rsidTr="0096480E">
        <w:trPr>
          <w:trHeight w:val="288"/>
        </w:trPr>
        <w:tc>
          <w:tcPr>
            <w:tcW w:w="1420" w:type="dxa"/>
            <w:tcBorders>
              <w:top w:val="single" w:sz="4" w:space="0" w:color="auto"/>
              <w:left w:val="nil"/>
              <w:bottom w:val="nil"/>
              <w:right w:val="nil"/>
            </w:tcBorders>
            <w:noWrap/>
            <w:vAlign w:val="bottom"/>
            <w:hideMark/>
          </w:tcPr>
          <w:p w14:paraId="5D43DC3D" w14:textId="77777777" w:rsidR="0096480E" w:rsidRDefault="0096480E">
            <w:pPr>
              <w:rPr>
                <w:rFonts w:ascii="Calibri" w:hAnsi="Calibri" w:cs="Calibri"/>
                <w:color w:val="000000"/>
                <w:sz w:val="22"/>
                <w:szCs w:val="22"/>
              </w:rPr>
            </w:pPr>
            <w:r>
              <w:rPr>
                <w:rFonts w:ascii="Calibri" w:hAnsi="Calibri" w:cs="Calibri"/>
                <w:color w:val="000000"/>
                <w:sz w:val="22"/>
                <w:szCs w:val="22"/>
              </w:rPr>
              <w:t>MNEG_01</w:t>
            </w:r>
          </w:p>
        </w:tc>
        <w:tc>
          <w:tcPr>
            <w:tcW w:w="1260" w:type="dxa"/>
            <w:tcBorders>
              <w:top w:val="single" w:sz="4" w:space="0" w:color="auto"/>
              <w:left w:val="nil"/>
              <w:bottom w:val="nil"/>
              <w:right w:val="nil"/>
            </w:tcBorders>
            <w:noWrap/>
            <w:vAlign w:val="bottom"/>
            <w:hideMark/>
          </w:tcPr>
          <w:p w14:paraId="0F64FE88" w14:textId="77777777" w:rsidR="0096480E" w:rsidRDefault="0096480E">
            <w:pPr>
              <w:jc w:val="right"/>
              <w:rPr>
                <w:rFonts w:ascii="Calibri" w:hAnsi="Calibri" w:cs="Calibri"/>
                <w:color w:val="000000"/>
                <w:sz w:val="22"/>
                <w:szCs w:val="22"/>
              </w:rPr>
            </w:pPr>
            <w:r>
              <w:rPr>
                <w:rFonts w:ascii="Calibri" w:hAnsi="Calibri" w:cs="Calibri"/>
                <w:color w:val="000000"/>
                <w:sz w:val="22"/>
                <w:szCs w:val="22"/>
              </w:rPr>
              <w:t>2.27</w:t>
            </w:r>
          </w:p>
        </w:tc>
        <w:tc>
          <w:tcPr>
            <w:tcW w:w="1260" w:type="dxa"/>
            <w:tcBorders>
              <w:top w:val="single" w:sz="4" w:space="0" w:color="auto"/>
              <w:left w:val="nil"/>
              <w:bottom w:val="nil"/>
              <w:right w:val="nil"/>
            </w:tcBorders>
            <w:noWrap/>
            <w:vAlign w:val="bottom"/>
            <w:hideMark/>
          </w:tcPr>
          <w:p w14:paraId="3085703D" w14:textId="77777777" w:rsidR="0096480E" w:rsidRDefault="0096480E">
            <w:pPr>
              <w:jc w:val="right"/>
              <w:rPr>
                <w:rFonts w:ascii="Calibri" w:hAnsi="Calibri" w:cs="Calibri"/>
                <w:color w:val="000000"/>
                <w:sz w:val="22"/>
                <w:szCs w:val="22"/>
              </w:rPr>
            </w:pPr>
            <w:r>
              <w:rPr>
                <w:rFonts w:ascii="Calibri" w:hAnsi="Calibri" w:cs="Calibri"/>
                <w:color w:val="000000"/>
                <w:sz w:val="22"/>
                <w:szCs w:val="22"/>
              </w:rPr>
              <w:t>2.45</w:t>
            </w:r>
          </w:p>
        </w:tc>
        <w:tc>
          <w:tcPr>
            <w:tcW w:w="1520" w:type="dxa"/>
            <w:tcBorders>
              <w:top w:val="single" w:sz="4" w:space="0" w:color="auto"/>
              <w:left w:val="nil"/>
              <w:bottom w:val="nil"/>
              <w:right w:val="nil"/>
            </w:tcBorders>
            <w:noWrap/>
            <w:vAlign w:val="bottom"/>
            <w:hideMark/>
          </w:tcPr>
          <w:p w14:paraId="0A2F9CEB" w14:textId="77777777" w:rsidR="0096480E" w:rsidRDefault="0096480E">
            <w:pPr>
              <w:jc w:val="right"/>
              <w:rPr>
                <w:rFonts w:ascii="Calibri" w:hAnsi="Calibri" w:cs="Calibri"/>
                <w:color w:val="000000"/>
                <w:sz w:val="22"/>
                <w:szCs w:val="22"/>
              </w:rPr>
            </w:pPr>
            <w:r>
              <w:rPr>
                <w:rFonts w:ascii="Calibri" w:hAnsi="Calibri" w:cs="Calibri"/>
                <w:color w:val="000000"/>
                <w:sz w:val="22"/>
                <w:szCs w:val="22"/>
              </w:rPr>
              <w:t>2.80</w:t>
            </w:r>
          </w:p>
        </w:tc>
      </w:tr>
      <w:tr w:rsidR="0096480E" w14:paraId="2F5FE32E" w14:textId="77777777" w:rsidTr="0096480E">
        <w:trPr>
          <w:trHeight w:val="288"/>
        </w:trPr>
        <w:tc>
          <w:tcPr>
            <w:tcW w:w="1420" w:type="dxa"/>
            <w:tcBorders>
              <w:top w:val="nil"/>
              <w:left w:val="nil"/>
              <w:bottom w:val="nil"/>
              <w:right w:val="nil"/>
            </w:tcBorders>
            <w:noWrap/>
            <w:vAlign w:val="bottom"/>
            <w:hideMark/>
          </w:tcPr>
          <w:p w14:paraId="2403DBCE" w14:textId="77777777" w:rsidR="0096480E" w:rsidRDefault="0096480E">
            <w:pPr>
              <w:rPr>
                <w:rFonts w:ascii="Calibri" w:hAnsi="Calibri" w:cs="Calibri"/>
                <w:color w:val="000000"/>
                <w:sz w:val="22"/>
                <w:szCs w:val="22"/>
              </w:rPr>
            </w:pPr>
            <w:r>
              <w:rPr>
                <w:rFonts w:ascii="Calibri" w:hAnsi="Calibri" w:cs="Calibri"/>
                <w:color w:val="000000"/>
                <w:sz w:val="22"/>
                <w:szCs w:val="22"/>
              </w:rPr>
              <w:t>MNEG_02</w:t>
            </w:r>
          </w:p>
        </w:tc>
        <w:tc>
          <w:tcPr>
            <w:tcW w:w="1260" w:type="dxa"/>
            <w:tcBorders>
              <w:top w:val="nil"/>
              <w:left w:val="nil"/>
              <w:bottom w:val="nil"/>
              <w:right w:val="nil"/>
            </w:tcBorders>
            <w:noWrap/>
            <w:vAlign w:val="bottom"/>
            <w:hideMark/>
          </w:tcPr>
          <w:p w14:paraId="4314335F" w14:textId="77777777" w:rsidR="0096480E" w:rsidRDefault="0096480E">
            <w:pPr>
              <w:jc w:val="right"/>
              <w:rPr>
                <w:rFonts w:ascii="Calibri" w:hAnsi="Calibri" w:cs="Calibri"/>
                <w:color w:val="000000"/>
                <w:sz w:val="22"/>
                <w:szCs w:val="22"/>
              </w:rPr>
            </w:pPr>
            <w:r>
              <w:rPr>
                <w:rFonts w:ascii="Calibri" w:hAnsi="Calibri" w:cs="Calibri"/>
                <w:color w:val="000000"/>
                <w:sz w:val="22"/>
                <w:szCs w:val="22"/>
              </w:rPr>
              <w:t>2.36</w:t>
            </w:r>
          </w:p>
        </w:tc>
        <w:tc>
          <w:tcPr>
            <w:tcW w:w="1260" w:type="dxa"/>
            <w:tcBorders>
              <w:top w:val="nil"/>
              <w:left w:val="nil"/>
              <w:bottom w:val="nil"/>
              <w:right w:val="nil"/>
            </w:tcBorders>
            <w:noWrap/>
            <w:vAlign w:val="bottom"/>
            <w:hideMark/>
          </w:tcPr>
          <w:p w14:paraId="79038C90" w14:textId="77777777" w:rsidR="0096480E" w:rsidRDefault="0096480E">
            <w:pPr>
              <w:jc w:val="right"/>
              <w:rPr>
                <w:rFonts w:ascii="Calibri" w:hAnsi="Calibri" w:cs="Calibri"/>
                <w:color w:val="000000"/>
                <w:sz w:val="22"/>
                <w:szCs w:val="22"/>
              </w:rPr>
            </w:pPr>
            <w:r>
              <w:rPr>
                <w:rFonts w:ascii="Calibri" w:hAnsi="Calibri" w:cs="Calibri"/>
                <w:color w:val="000000"/>
                <w:sz w:val="22"/>
                <w:szCs w:val="22"/>
              </w:rPr>
              <w:t>3.13</w:t>
            </w:r>
          </w:p>
        </w:tc>
        <w:tc>
          <w:tcPr>
            <w:tcW w:w="1520" w:type="dxa"/>
            <w:tcBorders>
              <w:top w:val="nil"/>
              <w:left w:val="nil"/>
              <w:bottom w:val="nil"/>
              <w:right w:val="nil"/>
            </w:tcBorders>
            <w:noWrap/>
            <w:vAlign w:val="bottom"/>
            <w:hideMark/>
          </w:tcPr>
          <w:p w14:paraId="18347457" w14:textId="77777777" w:rsidR="0096480E" w:rsidRDefault="0096480E">
            <w:pPr>
              <w:jc w:val="right"/>
              <w:rPr>
                <w:rFonts w:ascii="Calibri" w:hAnsi="Calibri" w:cs="Calibri"/>
                <w:color w:val="000000"/>
                <w:sz w:val="22"/>
                <w:szCs w:val="22"/>
              </w:rPr>
            </w:pPr>
            <w:r>
              <w:rPr>
                <w:rFonts w:ascii="Calibri" w:hAnsi="Calibri" w:cs="Calibri"/>
                <w:color w:val="000000"/>
                <w:sz w:val="22"/>
                <w:szCs w:val="22"/>
              </w:rPr>
              <w:t>3.29</w:t>
            </w:r>
          </w:p>
        </w:tc>
      </w:tr>
      <w:tr w:rsidR="0096480E" w14:paraId="5EE012D3" w14:textId="77777777" w:rsidTr="0096480E">
        <w:trPr>
          <w:trHeight w:val="288"/>
        </w:trPr>
        <w:tc>
          <w:tcPr>
            <w:tcW w:w="1420" w:type="dxa"/>
            <w:tcBorders>
              <w:top w:val="nil"/>
              <w:left w:val="nil"/>
              <w:bottom w:val="nil"/>
              <w:right w:val="nil"/>
            </w:tcBorders>
            <w:noWrap/>
            <w:vAlign w:val="bottom"/>
            <w:hideMark/>
          </w:tcPr>
          <w:p w14:paraId="0C9B30AF" w14:textId="77777777" w:rsidR="0096480E" w:rsidRDefault="0096480E">
            <w:pPr>
              <w:rPr>
                <w:rFonts w:ascii="Calibri" w:hAnsi="Calibri" w:cs="Calibri"/>
                <w:color w:val="000000"/>
                <w:sz w:val="22"/>
                <w:szCs w:val="22"/>
              </w:rPr>
            </w:pPr>
            <w:r>
              <w:rPr>
                <w:rFonts w:ascii="Calibri" w:hAnsi="Calibri" w:cs="Calibri"/>
                <w:color w:val="000000"/>
                <w:sz w:val="22"/>
                <w:szCs w:val="22"/>
              </w:rPr>
              <w:t>MNEG_03</w:t>
            </w:r>
          </w:p>
        </w:tc>
        <w:tc>
          <w:tcPr>
            <w:tcW w:w="1260" w:type="dxa"/>
            <w:tcBorders>
              <w:top w:val="nil"/>
              <w:left w:val="nil"/>
              <w:bottom w:val="nil"/>
              <w:right w:val="nil"/>
            </w:tcBorders>
            <w:noWrap/>
            <w:vAlign w:val="bottom"/>
            <w:hideMark/>
          </w:tcPr>
          <w:p w14:paraId="38A75C4D" w14:textId="77777777" w:rsidR="0096480E" w:rsidRDefault="0096480E">
            <w:pPr>
              <w:jc w:val="right"/>
              <w:rPr>
                <w:rFonts w:ascii="Calibri" w:hAnsi="Calibri" w:cs="Calibri"/>
                <w:color w:val="000000"/>
                <w:sz w:val="22"/>
                <w:szCs w:val="22"/>
              </w:rPr>
            </w:pPr>
            <w:r>
              <w:rPr>
                <w:rFonts w:ascii="Calibri" w:hAnsi="Calibri" w:cs="Calibri"/>
                <w:color w:val="000000"/>
                <w:sz w:val="22"/>
                <w:szCs w:val="22"/>
              </w:rPr>
              <w:t>2.73</w:t>
            </w:r>
          </w:p>
        </w:tc>
        <w:tc>
          <w:tcPr>
            <w:tcW w:w="1260" w:type="dxa"/>
            <w:tcBorders>
              <w:top w:val="nil"/>
              <w:left w:val="nil"/>
              <w:bottom w:val="nil"/>
              <w:right w:val="nil"/>
            </w:tcBorders>
            <w:noWrap/>
            <w:vAlign w:val="bottom"/>
            <w:hideMark/>
          </w:tcPr>
          <w:p w14:paraId="078CCEB1" w14:textId="77777777" w:rsidR="0096480E" w:rsidRDefault="0096480E">
            <w:pPr>
              <w:jc w:val="right"/>
              <w:rPr>
                <w:rFonts w:ascii="Calibri" w:hAnsi="Calibri" w:cs="Calibri"/>
                <w:color w:val="000000"/>
                <w:sz w:val="22"/>
                <w:szCs w:val="22"/>
              </w:rPr>
            </w:pPr>
            <w:r>
              <w:rPr>
                <w:rFonts w:ascii="Calibri" w:hAnsi="Calibri" w:cs="Calibri"/>
                <w:color w:val="000000"/>
                <w:sz w:val="22"/>
                <w:szCs w:val="22"/>
              </w:rPr>
              <w:t>3.28</w:t>
            </w:r>
          </w:p>
        </w:tc>
        <w:tc>
          <w:tcPr>
            <w:tcW w:w="1520" w:type="dxa"/>
            <w:tcBorders>
              <w:top w:val="nil"/>
              <w:left w:val="nil"/>
              <w:bottom w:val="nil"/>
              <w:right w:val="nil"/>
            </w:tcBorders>
            <w:noWrap/>
            <w:vAlign w:val="bottom"/>
            <w:hideMark/>
          </w:tcPr>
          <w:p w14:paraId="3FE2122D" w14:textId="77777777" w:rsidR="0096480E" w:rsidRDefault="0096480E">
            <w:pPr>
              <w:jc w:val="right"/>
              <w:rPr>
                <w:rFonts w:ascii="Calibri" w:hAnsi="Calibri" w:cs="Calibri"/>
                <w:color w:val="000000"/>
                <w:sz w:val="22"/>
                <w:szCs w:val="22"/>
              </w:rPr>
            </w:pPr>
            <w:r>
              <w:rPr>
                <w:rFonts w:ascii="Calibri" w:hAnsi="Calibri" w:cs="Calibri"/>
                <w:color w:val="000000"/>
                <w:sz w:val="22"/>
                <w:szCs w:val="22"/>
              </w:rPr>
              <w:t>3.03</w:t>
            </w:r>
          </w:p>
        </w:tc>
      </w:tr>
      <w:tr w:rsidR="0096480E" w14:paraId="3EB6277E" w14:textId="77777777" w:rsidTr="0096480E">
        <w:trPr>
          <w:trHeight w:val="288"/>
        </w:trPr>
        <w:tc>
          <w:tcPr>
            <w:tcW w:w="1420" w:type="dxa"/>
            <w:tcBorders>
              <w:top w:val="nil"/>
              <w:left w:val="nil"/>
              <w:bottom w:val="nil"/>
              <w:right w:val="nil"/>
            </w:tcBorders>
            <w:noWrap/>
            <w:vAlign w:val="bottom"/>
            <w:hideMark/>
          </w:tcPr>
          <w:p w14:paraId="553F179F" w14:textId="77777777" w:rsidR="0096480E" w:rsidRDefault="0096480E">
            <w:pPr>
              <w:rPr>
                <w:rFonts w:ascii="Calibri" w:hAnsi="Calibri" w:cs="Calibri"/>
                <w:color w:val="000000"/>
                <w:sz w:val="22"/>
                <w:szCs w:val="22"/>
              </w:rPr>
            </w:pPr>
            <w:r>
              <w:rPr>
                <w:rFonts w:ascii="Calibri" w:hAnsi="Calibri" w:cs="Calibri"/>
                <w:color w:val="000000"/>
                <w:sz w:val="22"/>
                <w:szCs w:val="22"/>
              </w:rPr>
              <w:t>MNEG_04</w:t>
            </w:r>
          </w:p>
        </w:tc>
        <w:tc>
          <w:tcPr>
            <w:tcW w:w="1260" w:type="dxa"/>
            <w:tcBorders>
              <w:top w:val="nil"/>
              <w:left w:val="nil"/>
              <w:bottom w:val="nil"/>
              <w:right w:val="nil"/>
            </w:tcBorders>
            <w:noWrap/>
            <w:vAlign w:val="bottom"/>
            <w:hideMark/>
          </w:tcPr>
          <w:p w14:paraId="707A08F9" w14:textId="77777777" w:rsidR="0096480E" w:rsidRDefault="0096480E">
            <w:pPr>
              <w:jc w:val="right"/>
              <w:rPr>
                <w:rFonts w:ascii="Calibri" w:hAnsi="Calibri" w:cs="Calibri"/>
                <w:color w:val="000000"/>
                <w:sz w:val="22"/>
                <w:szCs w:val="22"/>
              </w:rPr>
            </w:pPr>
            <w:r>
              <w:rPr>
                <w:rFonts w:ascii="Calibri" w:hAnsi="Calibri" w:cs="Calibri"/>
                <w:color w:val="000000"/>
                <w:sz w:val="22"/>
                <w:szCs w:val="22"/>
              </w:rPr>
              <w:t>2.17</w:t>
            </w:r>
          </w:p>
        </w:tc>
        <w:tc>
          <w:tcPr>
            <w:tcW w:w="1260" w:type="dxa"/>
            <w:tcBorders>
              <w:top w:val="nil"/>
              <w:left w:val="nil"/>
              <w:bottom w:val="nil"/>
              <w:right w:val="nil"/>
            </w:tcBorders>
            <w:noWrap/>
            <w:vAlign w:val="bottom"/>
            <w:hideMark/>
          </w:tcPr>
          <w:p w14:paraId="14B72CF9" w14:textId="77777777" w:rsidR="0096480E" w:rsidRDefault="0096480E">
            <w:pPr>
              <w:jc w:val="right"/>
              <w:rPr>
                <w:rFonts w:ascii="Calibri" w:hAnsi="Calibri" w:cs="Calibri"/>
                <w:color w:val="000000"/>
                <w:sz w:val="22"/>
                <w:szCs w:val="22"/>
              </w:rPr>
            </w:pPr>
            <w:r>
              <w:rPr>
                <w:rFonts w:ascii="Calibri" w:hAnsi="Calibri" w:cs="Calibri"/>
                <w:color w:val="000000"/>
                <w:sz w:val="22"/>
                <w:szCs w:val="22"/>
              </w:rPr>
              <w:t>3.20</w:t>
            </w:r>
          </w:p>
        </w:tc>
        <w:tc>
          <w:tcPr>
            <w:tcW w:w="1520" w:type="dxa"/>
            <w:tcBorders>
              <w:top w:val="nil"/>
              <w:left w:val="nil"/>
              <w:bottom w:val="nil"/>
              <w:right w:val="nil"/>
            </w:tcBorders>
            <w:noWrap/>
            <w:vAlign w:val="bottom"/>
            <w:hideMark/>
          </w:tcPr>
          <w:p w14:paraId="52451151" w14:textId="77777777" w:rsidR="0096480E" w:rsidRDefault="0096480E">
            <w:pPr>
              <w:jc w:val="right"/>
              <w:rPr>
                <w:rFonts w:ascii="Calibri" w:hAnsi="Calibri" w:cs="Calibri"/>
                <w:color w:val="000000"/>
                <w:sz w:val="22"/>
                <w:szCs w:val="22"/>
              </w:rPr>
            </w:pPr>
            <w:r>
              <w:rPr>
                <w:rFonts w:ascii="Calibri" w:hAnsi="Calibri" w:cs="Calibri"/>
                <w:color w:val="000000"/>
                <w:sz w:val="22"/>
                <w:szCs w:val="22"/>
              </w:rPr>
              <w:t>3.01</w:t>
            </w:r>
          </w:p>
        </w:tc>
      </w:tr>
      <w:tr w:rsidR="0096480E" w14:paraId="3A7E3A5E" w14:textId="77777777" w:rsidTr="0096480E">
        <w:trPr>
          <w:trHeight w:val="288"/>
        </w:trPr>
        <w:tc>
          <w:tcPr>
            <w:tcW w:w="1420" w:type="dxa"/>
            <w:tcBorders>
              <w:top w:val="nil"/>
              <w:left w:val="nil"/>
              <w:bottom w:val="nil"/>
              <w:right w:val="nil"/>
            </w:tcBorders>
            <w:noWrap/>
            <w:vAlign w:val="bottom"/>
            <w:hideMark/>
          </w:tcPr>
          <w:p w14:paraId="6D15E928" w14:textId="77777777" w:rsidR="0096480E" w:rsidRDefault="0096480E">
            <w:pPr>
              <w:rPr>
                <w:rFonts w:ascii="Calibri" w:hAnsi="Calibri" w:cs="Calibri"/>
                <w:color w:val="000000"/>
                <w:sz w:val="22"/>
                <w:szCs w:val="22"/>
              </w:rPr>
            </w:pPr>
            <w:r>
              <w:rPr>
                <w:rFonts w:ascii="Calibri" w:hAnsi="Calibri" w:cs="Calibri"/>
                <w:color w:val="000000"/>
                <w:sz w:val="22"/>
                <w:szCs w:val="22"/>
              </w:rPr>
              <w:lastRenderedPageBreak/>
              <w:t>MNEG_05</w:t>
            </w:r>
          </w:p>
        </w:tc>
        <w:tc>
          <w:tcPr>
            <w:tcW w:w="1260" w:type="dxa"/>
            <w:tcBorders>
              <w:top w:val="nil"/>
              <w:left w:val="nil"/>
              <w:bottom w:val="nil"/>
              <w:right w:val="nil"/>
            </w:tcBorders>
            <w:noWrap/>
            <w:vAlign w:val="bottom"/>
            <w:hideMark/>
          </w:tcPr>
          <w:p w14:paraId="7C9EA24E" w14:textId="77777777" w:rsidR="0096480E" w:rsidRDefault="0096480E">
            <w:pPr>
              <w:jc w:val="right"/>
              <w:rPr>
                <w:rFonts w:ascii="Calibri" w:hAnsi="Calibri" w:cs="Calibri"/>
                <w:color w:val="000000"/>
                <w:sz w:val="22"/>
                <w:szCs w:val="22"/>
              </w:rPr>
            </w:pPr>
            <w:r>
              <w:rPr>
                <w:rFonts w:ascii="Calibri" w:hAnsi="Calibri" w:cs="Calibri"/>
                <w:color w:val="000000"/>
                <w:sz w:val="22"/>
                <w:szCs w:val="22"/>
              </w:rPr>
              <w:t>2.13</w:t>
            </w:r>
          </w:p>
        </w:tc>
        <w:tc>
          <w:tcPr>
            <w:tcW w:w="1260" w:type="dxa"/>
            <w:tcBorders>
              <w:top w:val="nil"/>
              <w:left w:val="nil"/>
              <w:bottom w:val="nil"/>
              <w:right w:val="nil"/>
            </w:tcBorders>
            <w:noWrap/>
            <w:vAlign w:val="bottom"/>
            <w:hideMark/>
          </w:tcPr>
          <w:p w14:paraId="6CC5976C" w14:textId="77777777" w:rsidR="0096480E" w:rsidRDefault="0096480E">
            <w:pPr>
              <w:jc w:val="right"/>
              <w:rPr>
                <w:rFonts w:ascii="Calibri" w:hAnsi="Calibri" w:cs="Calibri"/>
                <w:color w:val="000000"/>
                <w:sz w:val="22"/>
                <w:szCs w:val="22"/>
              </w:rPr>
            </w:pPr>
            <w:r>
              <w:rPr>
                <w:rFonts w:ascii="Calibri" w:hAnsi="Calibri" w:cs="Calibri"/>
                <w:color w:val="000000"/>
                <w:sz w:val="22"/>
                <w:szCs w:val="22"/>
              </w:rPr>
              <w:t>2.58</w:t>
            </w:r>
          </w:p>
        </w:tc>
        <w:tc>
          <w:tcPr>
            <w:tcW w:w="1520" w:type="dxa"/>
            <w:tcBorders>
              <w:top w:val="nil"/>
              <w:left w:val="nil"/>
              <w:bottom w:val="nil"/>
              <w:right w:val="nil"/>
            </w:tcBorders>
            <w:noWrap/>
            <w:vAlign w:val="bottom"/>
            <w:hideMark/>
          </w:tcPr>
          <w:p w14:paraId="734F0BA2" w14:textId="77777777" w:rsidR="0096480E" w:rsidRDefault="0096480E">
            <w:pPr>
              <w:jc w:val="right"/>
              <w:rPr>
                <w:rFonts w:ascii="Calibri" w:hAnsi="Calibri" w:cs="Calibri"/>
                <w:color w:val="000000"/>
                <w:sz w:val="22"/>
                <w:szCs w:val="22"/>
              </w:rPr>
            </w:pPr>
            <w:r>
              <w:rPr>
                <w:rFonts w:ascii="Calibri" w:hAnsi="Calibri" w:cs="Calibri"/>
                <w:color w:val="000000"/>
                <w:sz w:val="22"/>
                <w:szCs w:val="22"/>
              </w:rPr>
              <w:t>2.72</w:t>
            </w:r>
          </w:p>
        </w:tc>
      </w:tr>
      <w:tr w:rsidR="0096480E" w14:paraId="538929EE" w14:textId="77777777" w:rsidTr="0096480E">
        <w:trPr>
          <w:trHeight w:val="288"/>
        </w:trPr>
        <w:tc>
          <w:tcPr>
            <w:tcW w:w="1420" w:type="dxa"/>
            <w:tcBorders>
              <w:top w:val="nil"/>
              <w:left w:val="nil"/>
              <w:bottom w:val="single" w:sz="4" w:space="0" w:color="auto"/>
              <w:right w:val="nil"/>
            </w:tcBorders>
            <w:noWrap/>
            <w:vAlign w:val="bottom"/>
            <w:hideMark/>
          </w:tcPr>
          <w:p w14:paraId="1791ED03" w14:textId="77777777" w:rsidR="0096480E" w:rsidRDefault="0096480E">
            <w:pPr>
              <w:rPr>
                <w:rFonts w:ascii="Calibri" w:hAnsi="Calibri" w:cs="Calibri"/>
                <w:color w:val="000000"/>
                <w:sz w:val="22"/>
                <w:szCs w:val="22"/>
              </w:rPr>
            </w:pPr>
            <w:r>
              <w:rPr>
                <w:rFonts w:ascii="Calibri" w:hAnsi="Calibri" w:cs="Calibri"/>
                <w:color w:val="000000"/>
                <w:sz w:val="22"/>
                <w:szCs w:val="22"/>
              </w:rPr>
              <w:t>MNEG_06</w:t>
            </w:r>
          </w:p>
        </w:tc>
        <w:tc>
          <w:tcPr>
            <w:tcW w:w="1260" w:type="dxa"/>
            <w:tcBorders>
              <w:top w:val="nil"/>
              <w:left w:val="nil"/>
              <w:bottom w:val="single" w:sz="4" w:space="0" w:color="auto"/>
              <w:right w:val="nil"/>
            </w:tcBorders>
            <w:noWrap/>
            <w:vAlign w:val="bottom"/>
            <w:hideMark/>
          </w:tcPr>
          <w:p w14:paraId="543E3CCB" w14:textId="77777777" w:rsidR="0096480E" w:rsidRDefault="0096480E">
            <w:pPr>
              <w:jc w:val="right"/>
              <w:rPr>
                <w:rFonts w:ascii="Calibri" w:hAnsi="Calibri" w:cs="Calibri"/>
                <w:color w:val="000000"/>
                <w:sz w:val="22"/>
                <w:szCs w:val="22"/>
              </w:rPr>
            </w:pPr>
            <w:r>
              <w:rPr>
                <w:rFonts w:ascii="Calibri" w:hAnsi="Calibri" w:cs="Calibri"/>
                <w:color w:val="000000"/>
                <w:sz w:val="22"/>
                <w:szCs w:val="22"/>
              </w:rPr>
              <w:t>1.84</w:t>
            </w:r>
          </w:p>
        </w:tc>
        <w:tc>
          <w:tcPr>
            <w:tcW w:w="1260" w:type="dxa"/>
            <w:tcBorders>
              <w:top w:val="nil"/>
              <w:left w:val="nil"/>
              <w:bottom w:val="single" w:sz="4" w:space="0" w:color="auto"/>
              <w:right w:val="nil"/>
            </w:tcBorders>
            <w:noWrap/>
            <w:vAlign w:val="bottom"/>
            <w:hideMark/>
          </w:tcPr>
          <w:p w14:paraId="72AF1421" w14:textId="77777777" w:rsidR="0096480E" w:rsidRDefault="0096480E">
            <w:pPr>
              <w:jc w:val="right"/>
              <w:rPr>
                <w:rFonts w:ascii="Calibri" w:hAnsi="Calibri" w:cs="Calibri"/>
                <w:color w:val="000000"/>
                <w:sz w:val="22"/>
                <w:szCs w:val="22"/>
              </w:rPr>
            </w:pPr>
            <w:r>
              <w:rPr>
                <w:rFonts w:ascii="Calibri" w:hAnsi="Calibri" w:cs="Calibri"/>
                <w:color w:val="000000"/>
                <w:sz w:val="22"/>
                <w:szCs w:val="22"/>
              </w:rPr>
              <w:t>2.48</w:t>
            </w:r>
          </w:p>
        </w:tc>
        <w:tc>
          <w:tcPr>
            <w:tcW w:w="1520" w:type="dxa"/>
            <w:tcBorders>
              <w:top w:val="nil"/>
              <w:left w:val="nil"/>
              <w:bottom w:val="single" w:sz="4" w:space="0" w:color="auto"/>
              <w:right w:val="nil"/>
            </w:tcBorders>
            <w:noWrap/>
            <w:vAlign w:val="bottom"/>
            <w:hideMark/>
          </w:tcPr>
          <w:p w14:paraId="41A434C4" w14:textId="77777777" w:rsidR="0096480E" w:rsidRDefault="0096480E">
            <w:pPr>
              <w:jc w:val="right"/>
              <w:rPr>
                <w:rFonts w:ascii="Calibri" w:hAnsi="Calibri" w:cs="Calibri"/>
                <w:color w:val="000000"/>
                <w:sz w:val="22"/>
                <w:szCs w:val="22"/>
              </w:rPr>
            </w:pPr>
            <w:r>
              <w:rPr>
                <w:rFonts w:ascii="Calibri" w:hAnsi="Calibri" w:cs="Calibri"/>
                <w:color w:val="000000"/>
                <w:sz w:val="22"/>
                <w:szCs w:val="22"/>
              </w:rPr>
              <w:t>2.64</w:t>
            </w:r>
          </w:p>
        </w:tc>
      </w:tr>
      <w:tr w:rsidR="0096480E" w14:paraId="11CEE019" w14:textId="77777777" w:rsidTr="0096480E">
        <w:trPr>
          <w:trHeight w:val="288"/>
        </w:trPr>
        <w:tc>
          <w:tcPr>
            <w:tcW w:w="1420" w:type="dxa"/>
            <w:tcBorders>
              <w:top w:val="single" w:sz="4" w:space="0" w:color="auto"/>
              <w:left w:val="nil"/>
              <w:bottom w:val="single" w:sz="4" w:space="0" w:color="auto"/>
              <w:right w:val="nil"/>
            </w:tcBorders>
            <w:noWrap/>
            <w:vAlign w:val="bottom"/>
            <w:hideMark/>
          </w:tcPr>
          <w:p w14:paraId="501A6A6C" w14:textId="77777777" w:rsidR="0096480E" w:rsidRDefault="0096480E">
            <w:pPr>
              <w:rPr>
                <w:rFonts w:ascii="Calibri" w:hAnsi="Calibri" w:cs="Calibri"/>
                <w:b/>
                <w:bCs/>
                <w:color w:val="000000"/>
                <w:sz w:val="22"/>
                <w:szCs w:val="22"/>
              </w:rPr>
            </w:pPr>
            <w:r>
              <w:rPr>
                <w:rFonts w:ascii="Calibri" w:hAnsi="Calibri" w:cs="Calibri"/>
                <w:b/>
                <w:bCs/>
                <w:color w:val="000000"/>
                <w:sz w:val="22"/>
                <w:szCs w:val="22"/>
              </w:rPr>
              <w:t>Promedio</w:t>
            </w:r>
          </w:p>
        </w:tc>
        <w:tc>
          <w:tcPr>
            <w:tcW w:w="1260" w:type="dxa"/>
            <w:tcBorders>
              <w:top w:val="single" w:sz="4" w:space="0" w:color="auto"/>
              <w:left w:val="nil"/>
              <w:bottom w:val="single" w:sz="4" w:space="0" w:color="auto"/>
              <w:right w:val="nil"/>
            </w:tcBorders>
            <w:noWrap/>
            <w:vAlign w:val="bottom"/>
            <w:hideMark/>
          </w:tcPr>
          <w:p w14:paraId="20719EB5" w14:textId="77777777" w:rsidR="0096480E" w:rsidRDefault="0096480E">
            <w:pPr>
              <w:jc w:val="right"/>
              <w:rPr>
                <w:rFonts w:ascii="Calibri" w:hAnsi="Calibri" w:cs="Calibri"/>
                <w:b/>
                <w:bCs/>
                <w:color w:val="000000"/>
                <w:sz w:val="22"/>
                <w:szCs w:val="22"/>
              </w:rPr>
            </w:pPr>
            <w:r>
              <w:rPr>
                <w:rFonts w:ascii="Calibri" w:hAnsi="Calibri" w:cs="Calibri"/>
                <w:b/>
                <w:bCs/>
                <w:color w:val="000000"/>
                <w:sz w:val="22"/>
                <w:szCs w:val="22"/>
              </w:rPr>
              <w:t>2.30</w:t>
            </w:r>
          </w:p>
        </w:tc>
        <w:tc>
          <w:tcPr>
            <w:tcW w:w="1260" w:type="dxa"/>
            <w:tcBorders>
              <w:top w:val="single" w:sz="4" w:space="0" w:color="auto"/>
              <w:left w:val="nil"/>
              <w:bottom w:val="single" w:sz="4" w:space="0" w:color="auto"/>
              <w:right w:val="nil"/>
            </w:tcBorders>
            <w:noWrap/>
            <w:vAlign w:val="bottom"/>
            <w:hideMark/>
          </w:tcPr>
          <w:p w14:paraId="41E247B1" w14:textId="77777777" w:rsidR="0096480E" w:rsidRDefault="0096480E">
            <w:pPr>
              <w:jc w:val="right"/>
              <w:rPr>
                <w:rFonts w:ascii="Calibri" w:hAnsi="Calibri" w:cs="Calibri"/>
                <w:b/>
                <w:bCs/>
                <w:color w:val="000000"/>
                <w:sz w:val="22"/>
                <w:szCs w:val="22"/>
              </w:rPr>
            </w:pPr>
            <w:r>
              <w:rPr>
                <w:rFonts w:ascii="Calibri" w:hAnsi="Calibri" w:cs="Calibri"/>
                <w:b/>
                <w:bCs/>
                <w:color w:val="000000"/>
                <w:sz w:val="22"/>
                <w:szCs w:val="22"/>
              </w:rPr>
              <w:t>2.93</w:t>
            </w:r>
          </w:p>
        </w:tc>
        <w:tc>
          <w:tcPr>
            <w:tcW w:w="1520" w:type="dxa"/>
            <w:tcBorders>
              <w:top w:val="single" w:sz="4" w:space="0" w:color="auto"/>
              <w:left w:val="nil"/>
              <w:bottom w:val="single" w:sz="4" w:space="0" w:color="auto"/>
              <w:right w:val="nil"/>
            </w:tcBorders>
            <w:noWrap/>
            <w:vAlign w:val="bottom"/>
            <w:hideMark/>
          </w:tcPr>
          <w:p w14:paraId="20E52526" w14:textId="77777777" w:rsidR="0096480E" w:rsidRDefault="0096480E">
            <w:pPr>
              <w:jc w:val="right"/>
              <w:rPr>
                <w:rFonts w:ascii="Calibri" w:hAnsi="Calibri" w:cs="Calibri"/>
                <w:b/>
                <w:bCs/>
                <w:color w:val="000000"/>
                <w:sz w:val="22"/>
                <w:szCs w:val="22"/>
              </w:rPr>
            </w:pPr>
            <w:r>
              <w:rPr>
                <w:rFonts w:ascii="Calibri" w:hAnsi="Calibri" w:cs="Calibri"/>
                <w:b/>
                <w:bCs/>
                <w:color w:val="000000"/>
                <w:sz w:val="22"/>
                <w:szCs w:val="22"/>
              </w:rPr>
              <w:t>2.96</w:t>
            </w:r>
          </w:p>
        </w:tc>
      </w:tr>
    </w:tbl>
    <w:p w14:paraId="7D7512E7" w14:textId="77777777" w:rsidR="0096480E" w:rsidRDefault="0096480E">
      <w:pPr>
        <w:pBdr>
          <w:top w:val="nil"/>
          <w:left w:val="nil"/>
          <w:bottom w:val="nil"/>
          <w:right w:val="nil"/>
          <w:between w:val="nil"/>
        </w:pBdr>
        <w:jc w:val="both"/>
        <w:rPr>
          <w:rFonts w:ascii="Roboto" w:eastAsia="Roboto" w:hAnsi="Roboto" w:cs="Roboto"/>
          <w:color w:val="000000"/>
          <w:sz w:val="20"/>
          <w:szCs w:val="20"/>
        </w:rPr>
      </w:pPr>
    </w:p>
    <w:p w14:paraId="34B7291C" w14:textId="0B58657F" w:rsidR="0096480E" w:rsidRDefault="0096480E">
      <w:pPr>
        <w:pBdr>
          <w:top w:val="nil"/>
          <w:left w:val="nil"/>
          <w:bottom w:val="nil"/>
          <w:right w:val="nil"/>
          <w:between w:val="nil"/>
        </w:pBdr>
        <w:jc w:val="both"/>
        <w:rPr>
          <w:rFonts w:ascii="Roboto" w:eastAsia="Roboto" w:hAnsi="Roboto" w:cs="Roboto"/>
          <w:color w:val="000000"/>
          <w:sz w:val="20"/>
          <w:szCs w:val="20"/>
        </w:rPr>
      </w:pPr>
      <w:r w:rsidRPr="0096480E">
        <w:rPr>
          <w:rFonts w:ascii="Roboto" w:eastAsia="Roboto" w:hAnsi="Roboto" w:cs="Roboto"/>
          <w:color w:val="000000"/>
          <w:sz w:val="20"/>
          <w:szCs w:val="20"/>
        </w:rPr>
        <w:t>Los resultados muestran niveles moderados a altos de ansiedad matemática, acompañados de una baja percepción de utilidad y presencia de conductas de evitación. Este hallazgo confirma que los estudiantes inician el curso desde una condición de vulnerabilidad afectiva.</w:t>
      </w:r>
    </w:p>
    <w:p w14:paraId="04BC6D42" w14:textId="77777777" w:rsidR="0096480E" w:rsidRDefault="0096480E">
      <w:pPr>
        <w:pBdr>
          <w:top w:val="nil"/>
          <w:left w:val="nil"/>
          <w:bottom w:val="nil"/>
          <w:right w:val="nil"/>
          <w:between w:val="nil"/>
        </w:pBdr>
        <w:jc w:val="both"/>
        <w:rPr>
          <w:rFonts w:ascii="Roboto" w:eastAsia="Roboto" w:hAnsi="Roboto" w:cs="Roboto"/>
          <w:color w:val="000000"/>
          <w:sz w:val="20"/>
          <w:szCs w:val="20"/>
        </w:rPr>
      </w:pPr>
    </w:p>
    <w:p w14:paraId="7FA04D4E" w14:textId="4CDF1AE6" w:rsidR="00EB4572" w:rsidRDefault="00EB4572" w:rsidP="00EB4572">
      <w:pPr>
        <w:keepNext/>
        <w:jc w:val="both"/>
        <w:rPr>
          <w:rFonts w:ascii="Roboto" w:eastAsia="Roboto" w:hAnsi="Roboto" w:cs="Roboto"/>
          <w:sz w:val="20"/>
          <w:szCs w:val="20"/>
        </w:rPr>
      </w:pPr>
      <w:r>
        <w:rPr>
          <w:rFonts w:ascii="Roboto" w:eastAsia="Roboto" w:hAnsi="Roboto" w:cs="Roboto"/>
          <w:b/>
          <w:bCs/>
          <w:sz w:val="20"/>
          <w:szCs w:val="20"/>
        </w:rPr>
        <w:t xml:space="preserve">Tabla </w:t>
      </w:r>
      <w:r>
        <w:rPr>
          <w:rFonts w:ascii="Roboto" w:eastAsia="Roboto" w:hAnsi="Roboto" w:cs="Roboto"/>
          <w:b/>
          <w:bCs/>
          <w:sz w:val="20"/>
          <w:szCs w:val="20"/>
        </w:rPr>
        <w:t>2</w:t>
      </w:r>
      <w:r>
        <w:rPr>
          <w:rFonts w:ascii="Roboto" w:eastAsia="Roboto" w:hAnsi="Roboto" w:cs="Roboto"/>
          <w:b/>
          <w:bCs/>
          <w:sz w:val="20"/>
          <w:szCs w:val="20"/>
        </w:rPr>
        <w:t>.</w:t>
      </w:r>
      <w:r>
        <w:rPr>
          <w:rFonts w:ascii="Roboto" w:eastAsia="Roboto" w:hAnsi="Roboto" w:cs="Roboto"/>
          <w:sz w:val="20"/>
          <w:szCs w:val="20"/>
        </w:rPr>
        <w:t xml:space="preserve"> </w:t>
      </w:r>
      <w:r>
        <w:rPr>
          <w:rFonts w:ascii="Roboto" w:eastAsia="Roboto" w:hAnsi="Roboto" w:cs="Roboto"/>
          <w:sz w:val="20"/>
          <w:szCs w:val="20"/>
        </w:rPr>
        <w:t>Análisis de varianza entre grupos de intervención y grupos de control</w:t>
      </w:r>
    </w:p>
    <w:p w14:paraId="76AD4282" w14:textId="77777777" w:rsidR="00EB4572" w:rsidRDefault="00EB4572" w:rsidP="00EB4572">
      <w:pPr>
        <w:keepNext/>
        <w:jc w:val="both"/>
        <w:rPr>
          <w:rFonts w:ascii="Roboto" w:eastAsia="Roboto" w:hAnsi="Roboto" w:cs="Roboto"/>
          <w:sz w:val="20"/>
          <w:szCs w:val="20"/>
        </w:rPr>
      </w:pPr>
    </w:p>
    <w:tbl>
      <w:tblPr>
        <w:tblW w:w="5320" w:type="dxa"/>
        <w:tblCellMar>
          <w:left w:w="70" w:type="dxa"/>
          <w:right w:w="70" w:type="dxa"/>
        </w:tblCellMar>
        <w:tblLook w:val="04A0" w:firstRow="1" w:lastRow="0" w:firstColumn="1" w:lastColumn="0" w:noHBand="0" w:noVBand="1"/>
      </w:tblPr>
      <w:tblGrid>
        <w:gridCol w:w="968"/>
        <w:gridCol w:w="902"/>
        <w:gridCol w:w="733"/>
        <w:gridCol w:w="902"/>
        <w:gridCol w:w="558"/>
        <w:gridCol w:w="1067"/>
        <w:gridCol w:w="587"/>
      </w:tblGrid>
      <w:tr w:rsidR="00EB4572" w14:paraId="19E98EE9" w14:textId="77777777" w:rsidTr="00EB4572">
        <w:trPr>
          <w:trHeight w:val="720"/>
        </w:trPr>
        <w:tc>
          <w:tcPr>
            <w:tcW w:w="968" w:type="dxa"/>
            <w:tcBorders>
              <w:top w:val="single" w:sz="8" w:space="0" w:color="auto"/>
              <w:left w:val="nil"/>
              <w:bottom w:val="single" w:sz="4" w:space="0" w:color="auto"/>
              <w:right w:val="nil"/>
            </w:tcBorders>
            <w:vAlign w:val="center"/>
            <w:hideMark/>
          </w:tcPr>
          <w:p w14:paraId="6F8DD431" w14:textId="77777777" w:rsidR="00EB4572" w:rsidRDefault="00EB4572">
            <w:pPr>
              <w:jc w:val="center"/>
              <w:rPr>
                <w:rFonts w:ascii="Calibri" w:hAnsi="Calibri" w:cs="Calibri"/>
                <w:i/>
                <w:iCs/>
                <w:color w:val="000000"/>
                <w:sz w:val="18"/>
                <w:szCs w:val="18"/>
              </w:rPr>
            </w:pPr>
            <w:r>
              <w:rPr>
                <w:rFonts w:ascii="Calibri" w:hAnsi="Calibri" w:cs="Calibri"/>
                <w:i/>
                <w:iCs/>
                <w:color w:val="000000"/>
                <w:sz w:val="18"/>
                <w:szCs w:val="18"/>
              </w:rPr>
              <w:t>Origen de las variaciones</w:t>
            </w:r>
          </w:p>
        </w:tc>
        <w:tc>
          <w:tcPr>
            <w:tcW w:w="792" w:type="dxa"/>
            <w:tcBorders>
              <w:top w:val="single" w:sz="8" w:space="0" w:color="auto"/>
              <w:left w:val="nil"/>
              <w:bottom w:val="single" w:sz="4" w:space="0" w:color="auto"/>
              <w:right w:val="nil"/>
            </w:tcBorders>
            <w:vAlign w:val="center"/>
            <w:hideMark/>
          </w:tcPr>
          <w:p w14:paraId="2F1257F5" w14:textId="77777777" w:rsidR="00EB4572" w:rsidRDefault="00EB4572">
            <w:pPr>
              <w:jc w:val="center"/>
              <w:rPr>
                <w:rFonts w:ascii="Calibri" w:hAnsi="Calibri" w:cs="Calibri"/>
                <w:i/>
                <w:iCs/>
                <w:color w:val="000000"/>
                <w:sz w:val="18"/>
                <w:szCs w:val="18"/>
              </w:rPr>
            </w:pPr>
            <w:r>
              <w:rPr>
                <w:rFonts w:ascii="Calibri" w:hAnsi="Calibri" w:cs="Calibri"/>
                <w:i/>
                <w:iCs/>
                <w:color w:val="000000"/>
                <w:sz w:val="18"/>
                <w:szCs w:val="18"/>
              </w:rPr>
              <w:t>Suma de cuadrados</w:t>
            </w:r>
          </w:p>
        </w:tc>
        <w:tc>
          <w:tcPr>
            <w:tcW w:w="673" w:type="dxa"/>
            <w:tcBorders>
              <w:top w:val="single" w:sz="8" w:space="0" w:color="auto"/>
              <w:left w:val="nil"/>
              <w:bottom w:val="single" w:sz="4" w:space="0" w:color="auto"/>
              <w:right w:val="nil"/>
            </w:tcBorders>
            <w:vAlign w:val="center"/>
            <w:hideMark/>
          </w:tcPr>
          <w:p w14:paraId="6DC52B17" w14:textId="77777777" w:rsidR="00EB4572" w:rsidRDefault="00EB4572">
            <w:pPr>
              <w:jc w:val="center"/>
              <w:rPr>
                <w:rFonts w:ascii="Calibri" w:hAnsi="Calibri" w:cs="Calibri"/>
                <w:i/>
                <w:iCs/>
                <w:color w:val="000000"/>
                <w:sz w:val="18"/>
                <w:szCs w:val="18"/>
              </w:rPr>
            </w:pPr>
            <w:r>
              <w:rPr>
                <w:rFonts w:ascii="Calibri" w:hAnsi="Calibri" w:cs="Calibri"/>
                <w:i/>
                <w:iCs/>
                <w:color w:val="000000"/>
                <w:sz w:val="18"/>
                <w:szCs w:val="18"/>
              </w:rPr>
              <w:t>Grados de libertad</w:t>
            </w:r>
          </w:p>
        </w:tc>
        <w:tc>
          <w:tcPr>
            <w:tcW w:w="792" w:type="dxa"/>
            <w:tcBorders>
              <w:top w:val="single" w:sz="8" w:space="0" w:color="auto"/>
              <w:left w:val="nil"/>
              <w:bottom w:val="single" w:sz="4" w:space="0" w:color="auto"/>
              <w:right w:val="nil"/>
            </w:tcBorders>
            <w:vAlign w:val="center"/>
            <w:hideMark/>
          </w:tcPr>
          <w:p w14:paraId="4013106F" w14:textId="77777777" w:rsidR="00EB4572" w:rsidRDefault="00EB4572">
            <w:pPr>
              <w:jc w:val="center"/>
              <w:rPr>
                <w:rFonts w:ascii="Calibri" w:hAnsi="Calibri" w:cs="Calibri"/>
                <w:i/>
                <w:iCs/>
                <w:color w:val="000000"/>
                <w:sz w:val="18"/>
                <w:szCs w:val="18"/>
              </w:rPr>
            </w:pPr>
            <w:r>
              <w:rPr>
                <w:rFonts w:ascii="Calibri" w:hAnsi="Calibri" w:cs="Calibri"/>
                <w:i/>
                <w:iCs/>
                <w:color w:val="000000"/>
                <w:sz w:val="18"/>
                <w:szCs w:val="18"/>
              </w:rPr>
              <w:t>Promedio de los cuadrados</w:t>
            </w:r>
          </w:p>
        </w:tc>
        <w:tc>
          <w:tcPr>
            <w:tcW w:w="558" w:type="dxa"/>
            <w:tcBorders>
              <w:top w:val="single" w:sz="8" w:space="0" w:color="auto"/>
              <w:left w:val="nil"/>
              <w:bottom w:val="single" w:sz="4" w:space="0" w:color="auto"/>
              <w:right w:val="nil"/>
            </w:tcBorders>
            <w:shd w:val="clear" w:color="000000" w:fill="FFFF00"/>
            <w:vAlign w:val="center"/>
            <w:hideMark/>
          </w:tcPr>
          <w:p w14:paraId="366A4E90" w14:textId="77777777" w:rsidR="00EB4572" w:rsidRDefault="00EB4572">
            <w:pPr>
              <w:jc w:val="center"/>
              <w:rPr>
                <w:rFonts w:ascii="Calibri" w:hAnsi="Calibri" w:cs="Calibri"/>
                <w:i/>
                <w:iCs/>
                <w:color w:val="000000"/>
                <w:sz w:val="18"/>
                <w:szCs w:val="18"/>
              </w:rPr>
            </w:pPr>
            <w:r>
              <w:rPr>
                <w:rFonts w:ascii="Calibri" w:hAnsi="Calibri" w:cs="Calibri"/>
                <w:i/>
                <w:iCs/>
                <w:color w:val="000000"/>
                <w:sz w:val="18"/>
                <w:szCs w:val="18"/>
              </w:rPr>
              <w:t>F</w:t>
            </w:r>
          </w:p>
        </w:tc>
        <w:tc>
          <w:tcPr>
            <w:tcW w:w="957" w:type="dxa"/>
            <w:tcBorders>
              <w:top w:val="single" w:sz="8" w:space="0" w:color="auto"/>
              <w:left w:val="nil"/>
              <w:bottom w:val="single" w:sz="4" w:space="0" w:color="auto"/>
              <w:right w:val="nil"/>
            </w:tcBorders>
            <w:shd w:val="clear" w:color="000000" w:fill="FFFF00"/>
            <w:vAlign w:val="center"/>
            <w:hideMark/>
          </w:tcPr>
          <w:p w14:paraId="2754B4CB" w14:textId="77777777" w:rsidR="00EB4572" w:rsidRDefault="00EB4572">
            <w:pPr>
              <w:jc w:val="center"/>
              <w:rPr>
                <w:rFonts w:ascii="Calibri" w:hAnsi="Calibri" w:cs="Calibri"/>
                <w:i/>
                <w:iCs/>
                <w:color w:val="000000"/>
                <w:sz w:val="18"/>
                <w:szCs w:val="18"/>
              </w:rPr>
            </w:pPr>
            <w:r>
              <w:rPr>
                <w:rFonts w:ascii="Calibri" w:hAnsi="Calibri" w:cs="Calibri"/>
                <w:i/>
                <w:iCs/>
                <w:color w:val="000000"/>
                <w:sz w:val="18"/>
                <w:szCs w:val="18"/>
              </w:rPr>
              <w:t>Probabilidad</w:t>
            </w:r>
          </w:p>
        </w:tc>
        <w:tc>
          <w:tcPr>
            <w:tcW w:w="580" w:type="dxa"/>
            <w:tcBorders>
              <w:top w:val="single" w:sz="8" w:space="0" w:color="auto"/>
              <w:left w:val="nil"/>
              <w:bottom w:val="single" w:sz="4" w:space="0" w:color="auto"/>
              <w:right w:val="nil"/>
            </w:tcBorders>
            <w:shd w:val="clear" w:color="000000" w:fill="FFFF00"/>
            <w:vAlign w:val="center"/>
            <w:hideMark/>
          </w:tcPr>
          <w:p w14:paraId="77A89859" w14:textId="77777777" w:rsidR="00EB4572" w:rsidRDefault="00EB4572">
            <w:pPr>
              <w:jc w:val="center"/>
              <w:rPr>
                <w:rFonts w:ascii="Calibri" w:hAnsi="Calibri" w:cs="Calibri"/>
                <w:i/>
                <w:iCs/>
                <w:color w:val="000000"/>
                <w:sz w:val="18"/>
                <w:szCs w:val="18"/>
              </w:rPr>
            </w:pPr>
            <w:r>
              <w:rPr>
                <w:rFonts w:ascii="Calibri" w:hAnsi="Calibri" w:cs="Calibri"/>
                <w:i/>
                <w:iCs/>
                <w:color w:val="000000"/>
                <w:sz w:val="18"/>
                <w:szCs w:val="18"/>
              </w:rPr>
              <w:t>Valor crítico para F</w:t>
            </w:r>
          </w:p>
        </w:tc>
      </w:tr>
      <w:tr w:rsidR="00EB4572" w14:paraId="68A83D50" w14:textId="77777777" w:rsidTr="00EB4572">
        <w:trPr>
          <w:trHeight w:val="240"/>
        </w:trPr>
        <w:tc>
          <w:tcPr>
            <w:tcW w:w="968" w:type="dxa"/>
            <w:tcBorders>
              <w:top w:val="nil"/>
              <w:left w:val="nil"/>
              <w:bottom w:val="nil"/>
              <w:right w:val="nil"/>
            </w:tcBorders>
            <w:noWrap/>
            <w:vAlign w:val="bottom"/>
            <w:hideMark/>
          </w:tcPr>
          <w:p w14:paraId="301C4ECC" w14:textId="77777777" w:rsidR="00EB4572" w:rsidRDefault="00EB4572">
            <w:pPr>
              <w:rPr>
                <w:rFonts w:ascii="Calibri" w:hAnsi="Calibri" w:cs="Calibri"/>
                <w:color w:val="000000"/>
                <w:sz w:val="18"/>
                <w:szCs w:val="18"/>
              </w:rPr>
            </w:pPr>
            <w:r>
              <w:rPr>
                <w:rFonts w:ascii="Calibri" w:hAnsi="Calibri" w:cs="Calibri"/>
                <w:color w:val="000000"/>
                <w:sz w:val="18"/>
                <w:szCs w:val="18"/>
              </w:rPr>
              <w:t>Entre grupos</w:t>
            </w:r>
          </w:p>
        </w:tc>
        <w:tc>
          <w:tcPr>
            <w:tcW w:w="792" w:type="dxa"/>
            <w:tcBorders>
              <w:top w:val="nil"/>
              <w:left w:val="nil"/>
              <w:bottom w:val="nil"/>
              <w:right w:val="nil"/>
            </w:tcBorders>
            <w:noWrap/>
            <w:vAlign w:val="bottom"/>
            <w:hideMark/>
          </w:tcPr>
          <w:p w14:paraId="4907ACE5" w14:textId="77777777" w:rsidR="00EB4572" w:rsidRDefault="00EB4572">
            <w:pPr>
              <w:jc w:val="right"/>
              <w:rPr>
                <w:rFonts w:ascii="Calibri" w:hAnsi="Calibri" w:cs="Calibri"/>
                <w:color w:val="000000"/>
                <w:sz w:val="18"/>
                <w:szCs w:val="18"/>
              </w:rPr>
            </w:pPr>
            <w:r>
              <w:rPr>
                <w:rFonts w:ascii="Calibri" w:hAnsi="Calibri" w:cs="Calibri"/>
                <w:color w:val="000000"/>
                <w:sz w:val="18"/>
                <w:szCs w:val="18"/>
              </w:rPr>
              <w:t>0.979</w:t>
            </w:r>
          </w:p>
        </w:tc>
        <w:tc>
          <w:tcPr>
            <w:tcW w:w="673" w:type="dxa"/>
            <w:tcBorders>
              <w:top w:val="nil"/>
              <w:left w:val="nil"/>
              <w:bottom w:val="nil"/>
              <w:right w:val="nil"/>
            </w:tcBorders>
            <w:noWrap/>
            <w:vAlign w:val="bottom"/>
            <w:hideMark/>
          </w:tcPr>
          <w:p w14:paraId="46809D4A" w14:textId="77777777" w:rsidR="00EB4572" w:rsidRDefault="00EB4572">
            <w:pPr>
              <w:jc w:val="right"/>
              <w:rPr>
                <w:rFonts w:ascii="Calibri" w:hAnsi="Calibri" w:cs="Calibri"/>
                <w:color w:val="000000"/>
                <w:sz w:val="18"/>
                <w:szCs w:val="18"/>
              </w:rPr>
            </w:pPr>
            <w:r>
              <w:rPr>
                <w:rFonts w:ascii="Calibri" w:hAnsi="Calibri" w:cs="Calibri"/>
                <w:color w:val="000000"/>
                <w:sz w:val="18"/>
                <w:szCs w:val="18"/>
              </w:rPr>
              <w:t>1.000</w:t>
            </w:r>
          </w:p>
        </w:tc>
        <w:tc>
          <w:tcPr>
            <w:tcW w:w="792" w:type="dxa"/>
            <w:tcBorders>
              <w:top w:val="nil"/>
              <w:left w:val="nil"/>
              <w:bottom w:val="nil"/>
              <w:right w:val="nil"/>
            </w:tcBorders>
            <w:noWrap/>
            <w:vAlign w:val="bottom"/>
            <w:hideMark/>
          </w:tcPr>
          <w:p w14:paraId="4F1F0064" w14:textId="77777777" w:rsidR="00EB4572" w:rsidRDefault="00EB4572">
            <w:pPr>
              <w:jc w:val="right"/>
              <w:rPr>
                <w:rFonts w:ascii="Calibri" w:hAnsi="Calibri" w:cs="Calibri"/>
                <w:color w:val="000000"/>
                <w:sz w:val="18"/>
                <w:szCs w:val="18"/>
              </w:rPr>
            </w:pPr>
            <w:r>
              <w:rPr>
                <w:rFonts w:ascii="Calibri" w:hAnsi="Calibri" w:cs="Calibri"/>
                <w:color w:val="000000"/>
                <w:sz w:val="18"/>
                <w:szCs w:val="18"/>
              </w:rPr>
              <w:t>0.979</w:t>
            </w:r>
          </w:p>
        </w:tc>
        <w:tc>
          <w:tcPr>
            <w:tcW w:w="558" w:type="dxa"/>
            <w:tcBorders>
              <w:top w:val="nil"/>
              <w:left w:val="nil"/>
              <w:bottom w:val="nil"/>
              <w:right w:val="nil"/>
            </w:tcBorders>
            <w:shd w:val="clear" w:color="000000" w:fill="FFFF00"/>
            <w:noWrap/>
            <w:vAlign w:val="bottom"/>
            <w:hideMark/>
          </w:tcPr>
          <w:p w14:paraId="735ED45E" w14:textId="77777777" w:rsidR="00EB4572" w:rsidRDefault="00EB4572">
            <w:pPr>
              <w:jc w:val="right"/>
              <w:rPr>
                <w:rFonts w:ascii="Calibri" w:hAnsi="Calibri" w:cs="Calibri"/>
                <w:color w:val="000000"/>
                <w:sz w:val="18"/>
                <w:szCs w:val="18"/>
              </w:rPr>
            </w:pPr>
            <w:r>
              <w:rPr>
                <w:rFonts w:ascii="Calibri" w:hAnsi="Calibri" w:cs="Calibri"/>
                <w:color w:val="000000"/>
                <w:sz w:val="18"/>
                <w:szCs w:val="18"/>
              </w:rPr>
              <w:t>1.246</w:t>
            </w:r>
          </w:p>
        </w:tc>
        <w:tc>
          <w:tcPr>
            <w:tcW w:w="957" w:type="dxa"/>
            <w:tcBorders>
              <w:top w:val="nil"/>
              <w:left w:val="nil"/>
              <w:bottom w:val="nil"/>
              <w:right w:val="nil"/>
            </w:tcBorders>
            <w:shd w:val="clear" w:color="000000" w:fill="FFFF00"/>
            <w:noWrap/>
            <w:vAlign w:val="bottom"/>
            <w:hideMark/>
          </w:tcPr>
          <w:p w14:paraId="18060466" w14:textId="77777777" w:rsidR="00EB4572" w:rsidRDefault="00EB4572">
            <w:pPr>
              <w:jc w:val="right"/>
              <w:rPr>
                <w:rFonts w:ascii="Calibri" w:hAnsi="Calibri" w:cs="Calibri"/>
                <w:color w:val="000000"/>
                <w:sz w:val="18"/>
                <w:szCs w:val="18"/>
              </w:rPr>
            </w:pPr>
            <w:r>
              <w:rPr>
                <w:rFonts w:ascii="Calibri" w:hAnsi="Calibri" w:cs="Calibri"/>
                <w:color w:val="000000"/>
                <w:sz w:val="18"/>
                <w:szCs w:val="18"/>
              </w:rPr>
              <w:t>0.267</w:t>
            </w:r>
          </w:p>
        </w:tc>
        <w:tc>
          <w:tcPr>
            <w:tcW w:w="580" w:type="dxa"/>
            <w:tcBorders>
              <w:top w:val="nil"/>
              <w:left w:val="nil"/>
              <w:bottom w:val="nil"/>
              <w:right w:val="nil"/>
            </w:tcBorders>
            <w:shd w:val="clear" w:color="000000" w:fill="FFFF00"/>
            <w:noWrap/>
            <w:vAlign w:val="bottom"/>
            <w:hideMark/>
          </w:tcPr>
          <w:p w14:paraId="39E38669" w14:textId="77777777" w:rsidR="00EB4572" w:rsidRDefault="00EB4572">
            <w:pPr>
              <w:jc w:val="right"/>
              <w:rPr>
                <w:rFonts w:ascii="Calibri" w:hAnsi="Calibri" w:cs="Calibri"/>
                <w:color w:val="000000"/>
                <w:sz w:val="18"/>
                <w:szCs w:val="18"/>
              </w:rPr>
            </w:pPr>
            <w:r>
              <w:rPr>
                <w:rFonts w:ascii="Calibri" w:hAnsi="Calibri" w:cs="Calibri"/>
                <w:color w:val="000000"/>
                <w:sz w:val="18"/>
                <w:szCs w:val="18"/>
              </w:rPr>
              <w:t>3.937</w:t>
            </w:r>
          </w:p>
        </w:tc>
      </w:tr>
      <w:tr w:rsidR="00EB4572" w14:paraId="678A41FA" w14:textId="77777777" w:rsidTr="00EB4572">
        <w:trPr>
          <w:trHeight w:val="480"/>
        </w:trPr>
        <w:tc>
          <w:tcPr>
            <w:tcW w:w="968" w:type="dxa"/>
            <w:tcBorders>
              <w:top w:val="nil"/>
              <w:left w:val="nil"/>
              <w:bottom w:val="nil"/>
              <w:right w:val="nil"/>
            </w:tcBorders>
            <w:vAlign w:val="bottom"/>
            <w:hideMark/>
          </w:tcPr>
          <w:p w14:paraId="194517BB" w14:textId="77777777" w:rsidR="00EB4572" w:rsidRDefault="00EB4572">
            <w:pPr>
              <w:rPr>
                <w:rFonts w:ascii="Calibri" w:hAnsi="Calibri" w:cs="Calibri"/>
                <w:color w:val="000000"/>
                <w:sz w:val="18"/>
                <w:szCs w:val="18"/>
              </w:rPr>
            </w:pPr>
            <w:r>
              <w:rPr>
                <w:rFonts w:ascii="Calibri" w:hAnsi="Calibri" w:cs="Calibri"/>
                <w:color w:val="000000"/>
                <w:sz w:val="18"/>
                <w:szCs w:val="18"/>
              </w:rPr>
              <w:t>Dentro de los grupos</w:t>
            </w:r>
          </w:p>
        </w:tc>
        <w:tc>
          <w:tcPr>
            <w:tcW w:w="792" w:type="dxa"/>
            <w:tcBorders>
              <w:top w:val="nil"/>
              <w:left w:val="nil"/>
              <w:bottom w:val="nil"/>
              <w:right w:val="nil"/>
            </w:tcBorders>
            <w:noWrap/>
            <w:vAlign w:val="bottom"/>
            <w:hideMark/>
          </w:tcPr>
          <w:p w14:paraId="0AAC2978" w14:textId="77777777" w:rsidR="00EB4572" w:rsidRDefault="00EB4572">
            <w:pPr>
              <w:jc w:val="right"/>
              <w:rPr>
                <w:rFonts w:ascii="Calibri" w:hAnsi="Calibri" w:cs="Calibri"/>
                <w:color w:val="000000"/>
                <w:sz w:val="18"/>
                <w:szCs w:val="18"/>
              </w:rPr>
            </w:pPr>
            <w:r>
              <w:rPr>
                <w:rFonts w:ascii="Calibri" w:hAnsi="Calibri" w:cs="Calibri"/>
                <w:color w:val="000000"/>
                <w:sz w:val="18"/>
                <w:szCs w:val="18"/>
              </w:rPr>
              <w:t>77.823</w:t>
            </w:r>
          </w:p>
        </w:tc>
        <w:tc>
          <w:tcPr>
            <w:tcW w:w="673" w:type="dxa"/>
            <w:tcBorders>
              <w:top w:val="nil"/>
              <w:left w:val="nil"/>
              <w:bottom w:val="nil"/>
              <w:right w:val="nil"/>
            </w:tcBorders>
            <w:noWrap/>
            <w:vAlign w:val="bottom"/>
            <w:hideMark/>
          </w:tcPr>
          <w:p w14:paraId="09BF8D7B" w14:textId="77777777" w:rsidR="00EB4572" w:rsidRDefault="00EB4572">
            <w:pPr>
              <w:jc w:val="right"/>
              <w:rPr>
                <w:rFonts w:ascii="Calibri" w:hAnsi="Calibri" w:cs="Calibri"/>
                <w:color w:val="000000"/>
                <w:sz w:val="18"/>
                <w:szCs w:val="18"/>
              </w:rPr>
            </w:pPr>
            <w:r>
              <w:rPr>
                <w:rFonts w:ascii="Calibri" w:hAnsi="Calibri" w:cs="Calibri"/>
                <w:color w:val="000000"/>
                <w:sz w:val="18"/>
                <w:szCs w:val="18"/>
              </w:rPr>
              <w:t>99.000</w:t>
            </w:r>
          </w:p>
        </w:tc>
        <w:tc>
          <w:tcPr>
            <w:tcW w:w="792" w:type="dxa"/>
            <w:tcBorders>
              <w:top w:val="nil"/>
              <w:left w:val="nil"/>
              <w:bottom w:val="nil"/>
              <w:right w:val="nil"/>
            </w:tcBorders>
            <w:noWrap/>
            <w:vAlign w:val="bottom"/>
            <w:hideMark/>
          </w:tcPr>
          <w:p w14:paraId="14A35398" w14:textId="77777777" w:rsidR="00EB4572" w:rsidRDefault="00EB4572">
            <w:pPr>
              <w:jc w:val="right"/>
              <w:rPr>
                <w:rFonts w:ascii="Calibri" w:hAnsi="Calibri" w:cs="Calibri"/>
                <w:color w:val="000000"/>
                <w:sz w:val="18"/>
                <w:szCs w:val="18"/>
              </w:rPr>
            </w:pPr>
            <w:r>
              <w:rPr>
                <w:rFonts w:ascii="Calibri" w:hAnsi="Calibri" w:cs="Calibri"/>
                <w:color w:val="000000"/>
                <w:sz w:val="18"/>
                <w:szCs w:val="18"/>
              </w:rPr>
              <w:t>0.786</w:t>
            </w:r>
          </w:p>
        </w:tc>
        <w:tc>
          <w:tcPr>
            <w:tcW w:w="558" w:type="dxa"/>
            <w:tcBorders>
              <w:top w:val="nil"/>
              <w:left w:val="nil"/>
              <w:bottom w:val="nil"/>
              <w:right w:val="nil"/>
            </w:tcBorders>
            <w:noWrap/>
            <w:vAlign w:val="bottom"/>
            <w:hideMark/>
          </w:tcPr>
          <w:p w14:paraId="58CAB2A1" w14:textId="77777777" w:rsidR="00EB4572" w:rsidRDefault="00EB4572">
            <w:pPr>
              <w:jc w:val="right"/>
              <w:rPr>
                <w:rFonts w:ascii="Calibri" w:hAnsi="Calibri" w:cs="Calibri"/>
                <w:color w:val="000000"/>
                <w:sz w:val="18"/>
                <w:szCs w:val="18"/>
              </w:rPr>
            </w:pPr>
          </w:p>
        </w:tc>
        <w:tc>
          <w:tcPr>
            <w:tcW w:w="957" w:type="dxa"/>
            <w:tcBorders>
              <w:top w:val="nil"/>
              <w:left w:val="nil"/>
              <w:bottom w:val="nil"/>
              <w:right w:val="nil"/>
            </w:tcBorders>
            <w:noWrap/>
            <w:vAlign w:val="bottom"/>
            <w:hideMark/>
          </w:tcPr>
          <w:p w14:paraId="73339E1B" w14:textId="77777777" w:rsidR="00EB4572" w:rsidRDefault="00EB4572">
            <w:pPr>
              <w:rPr>
                <w:sz w:val="20"/>
                <w:szCs w:val="20"/>
              </w:rPr>
            </w:pPr>
          </w:p>
        </w:tc>
        <w:tc>
          <w:tcPr>
            <w:tcW w:w="580" w:type="dxa"/>
            <w:tcBorders>
              <w:top w:val="nil"/>
              <w:left w:val="nil"/>
              <w:bottom w:val="nil"/>
              <w:right w:val="nil"/>
            </w:tcBorders>
            <w:noWrap/>
            <w:vAlign w:val="bottom"/>
            <w:hideMark/>
          </w:tcPr>
          <w:p w14:paraId="1E4566ED" w14:textId="77777777" w:rsidR="00EB4572" w:rsidRDefault="00EB4572">
            <w:pPr>
              <w:rPr>
                <w:sz w:val="20"/>
                <w:szCs w:val="20"/>
              </w:rPr>
            </w:pPr>
          </w:p>
        </w:tc>
      </w:tr>
      <w:tr w:rsidR="00EB4572" w14:paraId="0873BFAF" w14:textId="77777777" w:rsidTr="00EB4572">
        <w:trPr>
          <w:trHeight w:val="240"/>
        </w:trPr>
        <w:tc>
          <w:tcPr>
            <w:tcW w:w="968" w:type="dxa"/>
            <w:tcBorders>
              <w:top w:val="nil"/>
              <w:left w:val="nil"/>
              <w:bottom w:val="nil"/>
              <w:right w:val="nil"/>
            </w:tcBorders>
            <w:noWrap/>
            <w:vAlign w:val="bottom"/>
            <w:hideMark/>
          </w:tcPr>
          <w:p w14:paraId="3E11F048" w14:textId="77777777" w:rsidR="00EB4572" w:rsidRDefault="00EB4572">
            <w:pPr>
              <w:rPr>
                <w:sz w:val="20"/>
                <w:szCs w:val="20"/>
              </w:rPr>
            </w:pPr>
          </w:p>
        </w:tc>
        <w:tc>
          <w:tcPr>
            <w:tcW w:w="792" w:type="dxa"/>
            <w:tcBorders>
              <w:top w:val="nil"/>
              <w:left w:val="nil"/>
              <w:bottom w:val="nil"/>
              <w:right w:val="nil"/>
            </w:tcBorders>
            <w:noWrap/>
            <w:vAlign w:val="bottom"/>
            <w:hideMark/>
          </w:tcPr>
          <w:p w14:paraId="513BD98A" w14:textId="77777777" w:rsidR="00EB4572" w:rsidRDefault="00EB4572">
            <w:pPr>
              <w:rPr>
                <w:sz w:val="20"/>
                <w:szCs w:val="20"/>
              </w:rPr>
            </w:pPr>
          </w:p>
        </w:tc>
        <w:tc>
          <w:tcPr>
            <w:tcW w:w="673" w:type="dxa"/>
            <w:tcBorders>
              <w:top w:val="nil"/>
              <w:left w:val="nil"/>
              <w:bottom w:val="nil"/>
              <w:right w:val="nil"/>
            </w:tcBorders>
            <w:noWrap/>
            <w:vAlign w:val="bottom"/>
            <w:hideMark/>
          </w:tcPr>
          <w:p w14:paraId="001565BE" w14:textId="77777777" w:rsidR="00EB4572" w:rsidRDefault="00EB4572">
            <w:pPr>
              <w:rPr>
                <w:sz w:val="20"/>
                <w:szCs w:val="20"/>
              </w:rPr>
            </w:pPr>
          </w:p>
        </w:tc>
        <w:tc>
          <w:tcPr>
            <w:tcW w:w="792" w:type="dxa"/>
            <w:tcBorders>
              <w:top w:val="nil"/>
              <w:left w:val="nil"/>
              <w:bottom w:val="nil"/>
              <w:right w:val="nil"/>
            </w:tcBorders>
            <w:noWrap/>
            <w:vAlign w:val="bottom"/>
            <w:hideMark/>
          </w:tcPr>
          <w:p w14:paraId="4FECDEFF" w14:textId="77777777" w:rsidR="00EB4572" w:rsidRDefault="00EB4572">
            <w:pPr>
              <w:rPr>
                <w:sz w:val="20"/>
                <w:szCs w:val="20"/>
              </w:rPr>
            </w:pPr>
          </w:p>
        </w:tc>
        <w:tc>
          <w:tcPr>
            <w:tcW w:w="558" w:type="dxa"/>
            <w:tcBorders>
              <w:top w:val="nil"/>
              <w:left w:val="nil"/>
              <w:bottom w:val="nil"/>
              <w:right w:val="nil"/>
            </w:tcBorders>
            <w:noWrap/>
            <w:vAlign w:val="bottom"/>
            <w:hideMark/>
          </w:tcPr>
          <w:p w14:paraId="4D33C696" w14:textId="77777777" w:rsidR="00EB4572" w:rsidRDefault="00EB4572">
            <w:pPr>
              <w:rPr>
                <w:sz w:val="20"/>
                <w:szCs w:val="20"/>
              </w:rPr>
            </w:pPr>
          </w:p>
        </w:tc>
        <w:tc>
          <w:tcPr>
            <w:tcW w:w="957" w:type="dxa"/>
            <w:tcBorders>
              <w:top w:val="nil"/>
              <w:left w:val="nil"/>
              <w:bottom w:val="nil"/>
              <w:right w:val="nil"/>
            </w:tcBorders>
            <w:noWrap/>
            <w:vAlign w:val="bottom"/>
            <w:hideMark/>
          </w:tcPr>
          <w:p w14:paraId="565649D3" w14:textId="77777777" w:rsidR="00EB4572" w:rsidRDefault="00EB4572">
            <w:pPr>
              <w:rPr>
                <w:sz w:val="20"/>
                <w:szCs w:val="20"/>
              </w:rPr>
            </w:pPr>
          </w:p>
        </w:tc>
        <w:tc>
          <w:tcPr>
            <w:tcW w:w="580" w:type="dxa"/>
            <w:tcBorders>
              <w:top w:val="nil"/>
              <w:left w:val="nil"/>
              <w:bottom w:val="nil"/>
              <w:right w:val="nil"/>
            </w:tcBorders>
            <w:noWrap/>
            <w:vAlign w:val="bottom"/>
            <w:hideMark/>
          </w:tcPr>
          <w:p w14:paraId="475AFB9E" w14:textId="77777777" w:rsidR="00EB4572" w:rsidRDefault="00EB4572">
            <w:pPr>
              <w:rPr>
                <w:sz w:val="20"/>
                <w:szCs w:val="20"/>
              </w:rPr>
            </w:pPr>
          </w:p>
        </w:tc>
      </w:tr>
      <w:tr w:rsidR="00EB4572" w14:paraId="1C81F351" w14:textId="77777777" w:rsidTr="00EB4572">
        <w:trPr>
          <w:trHeight w:val="252"/>
        </w:trPr>
        <w:tc>
          <w:tcPr>
            <w:tcW w:w="968" w:type="dxa"/>
            <w:tcBorders>
              <w:top w:val="nil"/>
              <w:left w:val="nil"/>
              <w:bottom w:val="single" w:sz="8" w:space="0" w:color="auto"/>
              <w:right w:val="nil"/>
            </w:tcBorders>
            <w:noWrap/>
            <w:vAlign w:val="bottom"/>
            <w:hideMark/>
          </w:tcPr>
          <w:p w14:paraId="5B8D4389" w14:textId="77777777" w:rsidR="00EB4572" w:rsidRDefault="00EB4572">
            <w:pPr>
              <w:rPr>
                <w:rFonts w:ascii="Calibri" w:hAnsi="Calibri" w:cs="Calibri"/>
                <w:color w:val="000000"/>
                <w:sz w:val="18"/>
                <w:szCs w:val="18"/>
              </w:rPr>
            </w:pPr>
            <w:r>
              <w:rPr>
                <w:rFonts w:ascii="Calibri" w:hAnsi="Calibri" w:cs="Calibri"/>
                <w:color w:val="000000"/>
                <w:sz w:val="18"/>
                <w:szCs w:val="18"/>
              </w:rPr>
              <w:t>Total</w:t>
            </w:r>
          </w:p>
        </w:tc>
        <w:tc>
          <w:tcPr>
            <w:tcW w:w="792" w:type="dxa"/>
            <w:tcBorders>
              <w:top w:val="nil"/>
              <w:left w:val="nil"/>
              <w:bottom w:val="single" w:sz="8" w:space="0" w:color="auto"/>
              <w:right w:val="nil"/>
            </w:tcBorders>
            <w:noWrap/>
            <w:vAlign w:val="bottom"/>
            <w:hideMark/>
          </w:tcPr>
          <w:p w14:paraId="5564C9FE" w14:textId="77777777" w:rsidR="00EB4572" w:rsidRDefault="00EB4572">
            <w:pPr>
              <w:jc w:val="right"/>
              <w:rPr>
                <w:rFonts w:ascii="Calibri" w:hAnsi="Calibri" w:cs="Calibri"/>
                <w:color w:val="000000"/>
                <w:sz w:val="18"/>
                <w:szCs w:val="18"/>
              </w:rPr>
            </w:pPr>
            <w:r>
              <w:rPr>
                <w:rFonts w:ascii="Calibri" w:hAnsi="Calibri" w:cs="Calibri"/>
                <w:color w:val="000000"/>
                <w:sz w:val="18"/>
                <w:szCs w:val="18"/>
              </w:rPr>
              <w:t>78.803</w:t>
            </w:r>
          </w:p>
        </w:tc>
        <w:tc>
          <w:tcPr>
            <w:tcW w:w="673" w:type="dxa"/>
            <w:tcBorders>
              <w:top w:val="nil"/>
              <w:left w:val="nil"/>
              <w:bottom w:val="single" w:sz="8" w:space="0" w:color="auto"/>
              <w:right w:val="nil"/>
            </w:tcBorders>
            <w:noWrap/>
            <w:vAlign w:val="bottom"/>
            <w:hideMark/>
          </w:tcPr>
          <w:p w14:paraId="16A5EC58" w14:textId="77777777" w:rsidR="00EB4572" w:rsidRDefault="00EB4572">
            <w:pPr>
              <w:jc w:val="right"/>
              <w:rPr>
                <w:rFonts w:ascii="Calibri" w:hAnsi="Calibri" w:cs="Calibri"/>
                <w:color w:val="000000"/>
                <w:sz w:val="18"/>
                <w:szCs w:val="18"/>
              </w:rPr>
            </w:pPr>
            <w:r>
              <w:rPr>
                <w:rFonts w:ascii="Calibri" w:hAnsi="Calibri" w:cs="Calibri"/>
                <w:color w:val="000000"/>
                <w:sz w:val="18"/>
                <w:szCs w:val="18"/>
              </w:rPr>
              <w:t>100.000</w:t>
            </w:r>
          </w:p>
        </w:tc>
        <w:tc>
          <w:tcPr>
            <w:tcW w:w="792" w:type="dxa"/>
            <w:tcBorders>
              <w:top w:val="nil"/>
              <w:left w:val="nil"/>
              <w:bottom w:val="single" w:sz="8" w:space="0" w:color="auto"/>
              <w:right w:val="nil"/>
            </w:tcBorders>
            <w:noWrap/>
            <w:vAlign w:val="bottom"/>
            <w:hideMark/>
          </w:tcPr>
          <w:p w14:paraId="7668A1FD" w14:textId="77777777" w:rsidR="00EB4572" w:rsidRDefault="00EB4572">
            <w:pPr>
              <w:rPr>
                <w:rFonts w:ascii="Calibri" w:hAnsi="Calibri" w:cs="Calibri"/>
                <w:color w:val="000000"/>
                <w:sz w:val="18"/>
                <w:szCs w:val="18"/>
              </w:rPr>
            </w:pPr>
            <w:r>
              <w:rPr>
                <w:rFonts w:ascii="Calibri" w:hAnsi="Calibri" w:cs="Calibri"/>
                <w:color w:val="000000"/>
                <w:sz w:val="18"/>
                <w:szCs w:val="18"/>
              </w:rPr>
              <w:t> </w:t>
            </w:r>
          </w:p>
        </w:tc>
        <w:tc>
          <w:tcPr>
            <w:tcW w:w="558" w:type="dxa"/>
            <w:tcBorders>
              <w:top w:val="nil"/>
              <w:left w:val="nil"/>
              <w:bottom w:val="single" w:sz="8" w:space="0" w:color="auto"/>
              <w:right w:val="nil"/>
            </w:tcBorders>
            <w:noWrap/>
            <w:vAlign w:val="bottom"/>
            <w:hideMark/>
          </w:tcPr>
          <w:p w14:paraId="271B65B1" w14:textId="77777777" w:rsidR="00EB4572" w:rsidRDefault="00EB4572">
            <w:pPr>
              <w:rPr>
                <w:rFonts w:ascii="Calibri" w:hAnsi="Calibri" w:cs="Calibri"/>
                <w:color w:val="000000"/>
                <w:sz w:val="18"/>
                <w:szCs w:val="18"/>
              </w:rPr>
            </w:pPr>
            <w:r>
              <w:rPr>
                <w:rFonts w:ascii="Calibri" w:hAnsi="Calibri" w:cs="Calibri"/>
                <w:color w:val="000000"/>
                <w:sz w:val="18"/>
                <w:szCs w:val="18"/>
              </w:rPr>
              <w:t> </w:t>
            </w:r>
          </w:p>
        </w:tc>
        <w:tc>
          <w:tcPr>
            <w:tcW w:w="957" w:type="dxa"/>
            <w:tcBorders>
              <w:top w:val="nil"/>
              <w:left w:val="nil"/>
              <w:bottom w:val="single" w:sz="8" w:space="0" w:color="auto"/>
              <w:right w:val="nil"/>
            </w:tcBorders>
            <w:noWrap/>
            <w:vAlign w:val="bottom"/>
            <w:hideMark/>
          </w:tcPr>
          <w:p w14:paraId="6118F7AA" w14:textId="77777777" w:rsidR="00EB4572" w:rsidRDefault="00EB4572">
            <w:pPr>
              <w:rPr>
                <w:rFonts w:ascii="Calibri" w:hAnsi="Calibri" w:cs="Calibri"/>
                <w:color w:val="000000"/>
                <w:sz w:val="18"/>
                <w:szCs w:val="18"/>
              </w:rPr>
            </w:pPr>
            <w:r>
              <w:rPr>
                <w:rFonts w:ascii="Calibri" w:hAnsi="Calibri" w:cs="Calibri"/>
                <w:color w:val="000000"/>
                <w:sz w:val="18"/>
                <w:szCs w:val="18"/>
              </w:rPr>
              <w:t> </w:t>
            </w:r>
          </w:p>
        </w:tc>
        <w:tc>
          <w:tcPr>
            <w:tcW w:w="580" w:type="dxa"/>
            <w:tcBorders>
              <w:top w:val="nil"/>
              <w:left w:val="nil"/>
              <w:bottom w:val="single" w:sz="8" w:space="0" w:color="auto"/>
              <w:right w:val="nil"/>
            </w:tcBorders>
            <w:noWrap/>
            <w:vAlign w:val="bottom"/>
            <w:hideMark/>
          </w:tcPr>
          <w:p w14:paraId="15E20FB9" w14:textId="77777777" w:rsidR="00EB4572" w:rsidRDefault="00EB4572">
            <w:pPr>
              <w:rPr>
                <w:rFonts w:ascii="Calibri" w:hAnsi="Calibri" w:cs="Calibri"/>
                <w:color w:val="000000"/>
                <w:sz w:val="18"/>
                <w:szCs w:val="18"/>
              </w:rPr>
            </w:pPr>
            <w:r>
              <w:rPr>
                <w:rFonts w:ascii="Calibri" w:hAnsi="Calibri" w:cs="Calibri"/>
                <w:color w:val="000000"/>
                <w:sz w:val="18"/>
                <w:szCs w:val="18"/>
              </w:rPr>
              <w:t> </w:t>
            </w:r>
          </w:p>
        </w:tc>
      </w:tr>
    </w:tbl>
    <w:p w14:paraId="1F2DE06E" w14:textId="77777777" w:rsidR="00EB4572" w:rsidRDefault="00EB4572" w:rsidP="00EB4572">
      <w:pPr>
        <w:keepNext/>
        <w:jc w:val="both"/>
        <w:rPr>
          <w:rFonts w:ascii="Roboto" w:eastAsia="Roboto" w:hAnsi="Roboto" w:cs="Roboto"/>
          <w:sz w:val="20"/>
          <w:szCs w:val="20"/>
        </w:rPr>
      </w:pPr>
    </w:p>
    <w:p w14:paraId="2B5D7723" w14:textId="39014EAF" w:rsidR="00EB4572" w:rsidRDefault="00EB4572" w:rsidP="00EB4572">
      <w:pPr>
        <w:keepNext/>
        <w:jc w:val="both"/>
        <w:rPr>
          <w:rFonts w:ascii="Roboto" w:eastAsia="Roboto" w:hAnsi="Roboto" w:cs="Roboto"/>
          <w:sz w:val="20"/>
          <w:szCs w:val="20"/>
        </w:rPr>
      </w:pPr>
      <w:r w:rsidRPr="00EB4572">
        <w:rPr>
          <w:rFonts w:ascii="Roboto" w:eastAsia="Roboto" w:hAnsi="Roboto" w:cs="Roboto"/>
          <w:sz w:val="20"/>
          <w:szCs w:val="20"/>
        </w:rPr>
        <w:t>Se comparó el índice global de los estudiantes de los grupos de control entre el inicio del semestre y después del examen de medio término. Para ello, se aplicó una prueba ANOVA de un factor con un nivel de significancia del 5%. El estadístico F obtenido fue de 1.25, inferior al valor crítico de 3.94, por lo que no se rechaza la hipótesis nula. En consecuencia, no se identifican diferencias estadísticamente significativas en el índice global promedio entre ambos momentos del semestre.</w:t>
      </w:r>
    </w:p>
    <w:p w14:paraId="7B4ACCD0" w14:textId="77777777" w:rsidR="00EB4572" w:rsidRDefault="00EB4572">
      <w:pPr>
        <w:pBdr>
          <w:top w:val="nil"/>
          <w:left w:val="nil"/>
          <w:bottom w:val="nil"/>
          <w:right w:val="nil"/>
          <w:between w:val="nil"/>
        </w:pBdr>
        <w:jc w:val="both"/>
        <w:rPr>
          <w:rFonts w:ascii="Roboto" w:eastAsia="Roboto" w:hAnsi="Roboto" w:cs="Roboto"/>
          <w:color w:val="000000"/>
          <w:sz w:val="20"/>
          <w:szCs w:val="20"/>
        </w:rPr>
      </w:pPr>
    </w:p>
    <w:p w14:paraId="3BB509A1" w14:textId="25C602E3" w:rsidR="00C02E27" w:rsidRDefault="00C02E27" w:rsidP="00C02E27">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DISCUSIÓN</w:t>
      </w:r>
    </w:p>
    <w:p w14:paraId="0E91224A" w14:textId="0FB42016" w:rsidR="00C02E27" w:rsidRPr="00C02E27" w:rsidRDefault="00C02E27" w:rsidP="00C02E27">
      <w:pPr>
        <w:pBdr>
          <w:top w:val="nil"/>
          <w:left w:val="nil"/>
          <w:bottom w:val="nil"/>
          <w:right w:val="nil"/>
          <w:between w:val="nil"/>
        </w:pBdr>
        <w:jc w:val="both"/>
        <w:rPr>
          <w:rFonts w:ascii="Roboto" w:eastAsia="Roboto" w:hAnsi="Roboto" w:cs="Roboto"/>
          <w:color w:val="000000"/>
          <w:sz w:val="20"/>
          <w:szCs w:val="20"/>
        </w:rPr>
      </w:pPr>
      <w:r w:rsidRPr="00C02E27">
        <w:rPr>
          <w:rFonts w:ascii="Roboto" w:eastAsia="Roboto" w:hAnsi="Roboto" w:cs="Roboto"/>
          <w:color w:val="000000"/>
          <w:sz w:val="20"/>
          <w:szCs w:val="20"/>
        </w:rPr>
        <w:t>Los hallazgos confirman que la ansiedad matemática constituye una barrera estructural para el aprendizaje en cursos cuantitativos, lo cual es consistente con la literatura sobre autoeficacia y desempeño académico. La ausencia de impacto significativo en las calificaciones sugiere que las intervenciones breves no logran</w:t>
      </w:r>
      <w:r w:rsidR="00970E02">
        <w:rPr>
          <w:rFonts w:ascii="Roboto" w:eastAsia="Roboto" w:hAnsi="Roboto" w:cs="Roboto"/>
          <w:color w:val="000000"/>
          <w:sz w:val="20"/>
          <w:szCs w:val="20"/>
        </w:rPr>
        <w:t xml:space="preserve"> </w:t>
      </w:r>
      <w:r w:rsidRPr="00C02E27">
        <w:rPr>
          <w:rFonts w:ascii="Roboto" w:eastAsia="Roboto" w:hAnsi="Roboto" w:cs="Roboto"/>
          <w:color w:val="000000"/>
          <w:sz w:val="20"/>
          <w:szCs w:val="20"/>
        </w:rPr>
        <w:t>modificar</w:t>
      </w:r>
      <w:r w:rsidR="00970E02">
        <w:rPr>
          <w:rFonts w:ascii="Roboto" w:eastAsia="Roboto" w:hAnsi="Roboto" w:cs="Roboto"/>
          <w:color w:val="000000"/>
          <w:sz w:val="20"/>
          <w:szCs w:val="20"/>
        </w:rPr>
        <w:t xml:space="preserve"> </w:t>
      </w:r>
      <w:r w:rsidRPr="00C02E27">
        <w:rPr>
          <w:rFonts w:ascii="Roboto" w:eastAsia="Roboto" w:hAnsi="Roboto" w:cs="Roboto"/>
          <w:color w:val="000000"/>
          <w:sz w:val="20"/>
          <w:szCs w:val="20"/>
        </w:rPr>
        <w:t>patrones</w:t>
      </w:r>
      <w:r w:rsidR="00970E02">
        <w:rPr>
          <w:rFonts w:ascii="Roboto" w:eastAsia="Roboto" w:hAnsi="Roboto" w:cs="Roboto"/>
          <w:color w:val="000000"/>
          <w:sz w:val="20"/>
          <w:szCs w:val="20"/>
        </w:rPr>
        <w:t xml:space="preserve"> </w:t>
      </w:r>
      <w:r w:rsidRPr="00C02E27">
        <w:rPr>
          <w:rFonts w:ascii="Roboto" w:eastAsia="Roboto" w:hAnsi="Roboto" w:cs="Roboto"/>
          <w:color w:val="000000"/>
          <w:sz w:val="20"/>
          <w:szCs w:val="20"/>
        </w:rPr>
        <w:t>cognitivo-afectivos profundamente arraigados.</w:t>
      </w:r>
    </w:p>
    <w:p w14:paraId="73045A3B" w14:textId="078A3816" w:rsidR="007A2CBF" w:rsidRDefault="00C02E27" w:rsidP="00C02E27">
      <w:pPr>
        <w:pBdr>
          <w:top w:val="nil"/>
          <w:left w:val="nil"/>
          <w:bottom w:val="nil"/>
          <w:right w:val="nil"/>
          <w:between w:val="nil"/>
        </w:pBdr>
        <w:jc w:val="both"/>
        <w:rPr>
          <w:rFonts w:ascii="Roboto" w:eastAsia="Roboto" w:hAnsi="Roboto" w:cs="Roboto"/>
          <w:color w:val="000000"/>
          <w:sz w:val="20"/>
          <w:szCs w:val="20"/>
        </w:rPr>
      </w:pPr>
      <w:r w:rsidRPr="00C02E27">
        <w:rPr>
          <w:rFonts w:ascii="Roboto" w:eastAsia="Roboto" w:hAnsi="Roboto" w:cs="Roboto"/>
          <w:color w:val="000000"/>
          <w:sz w:val="20"/>
          <w:szCs w:val="20"/>
        </w:rPr>
        <w:t>Asimismo, los resultados indican que el desarrollo del pensamiento complejo no puede abordarse exclusivamente desde el diseño cognitivo de actividades, sino que requiere intervenciones integrales que incluyan componentes emocionales, motivacionales y de acompañamiento continuo</w:t>
      </w:r>
      <w:r w:rsidR="007A2CBF">
        <w:rPr>
          <w:rFonts w:ascii="Roboto" w:eastAsia="Roboto" w:hAnsi="Roboto" w:cs="Roboto"/>
          <w:color w:val="000000"/>
          <w:sz w:val="20"/>
          <w:szCs w:val="20"/>
        </w:rPr>
        <w:t>.</w:t>
      </w:r>
    </w:p>
    <w:p w14:paraId="6FD40310" w14:textId="5B5CE734" w:rsidR="00C02E27" w:rsidRPr="00C02E27" w:rsidRDefault="00C02E27" w:rsidP="00C02E27">
      <w:pPr>
        <w:pBdr>
          <w:top w:val="nil"/>
          <w:left w:val="nil"/>
          <w:bottom w:val="nil"/>
          <w:right w:val="nil"/>
          <w:between w:val="nil"/>
        </w:pBdr>
        <w:jc w:val="both"/>
        <w:rPr>
          <w:rFonts w:ascii="Roboto" w:eastAsia="Roboto" w:hAnsi="Roboto" w:cs="Roboto"/>
          <w:color w:val="000000"/>
          <w:sz w:val="20"/>
          <w:szCs w:val="20"/>
        </w:rPr>
      </w:pPr>
      <w:r w:rsidRPr="00C02E27">
        <w:rPr>
          <w:rFonts w:ascii="Roboto" w:eastAsia="Roboto" w:hAnsi="Roboto" w:cs="Roboto"/>
          <w:color w:val="000000"/>
          <w:sz w:val="20"/>
          <w:szCs w:val="20"/>
        </w:rPr>
        <w:t>Desde una perspectiva institucional, estos hallazgos implican la necesidad de rediseñar los cursos cuantitativos como espacios de reconstrucción de la relación del estudiante con las matemáticas, más allá de la transmisión de contenidos.</w:t>
      </w:r>
    </w:p>
    <w:p w14:paraId="63EFEF78" w14:textId="77777777" w:rsidR="00C02E27" w:rsidRDefault="00C02E27">
      <w:pPr>
        <w:pBdr>
          <w:top w:val="nil"/>
          <w:left w:val="nil"/>
          <w:bottom w:val="nil"/>
          <w:right w:val="nil"/>
          <w:between w:val="nil"/>
        </w:pBdr>
        <w:jc w:val="both"/>
        <w:rPr>
          <w:rFonts w:ascii="Roboto" w:eastAsia="Roboto" w:hAnsi="Roboto" w:cs="Roboto"/>
          <w:color w:val="000000"/>
          <w:sz w:val="20"/>
          <w:szCs w:val="20"/>
        </w:rPr>
      </w:pPr>
    </w:p>
    <w:p w14:paraId="0CF73BAB" w14:textId="7BEFC390" w:rsidR="007A2CBF" w:rsidRDefault="007A2CBF" w:rsidP="007A2CBF">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CONCLUSIONES</w:t>
      </w:r>
    </w:p>
    <w:p w14:paraId="1394A08B" w14:textId="77777777" w:rsidR="007A2CBF" w:rsidRPr="007A2CBF" w:rsidRDefault="007A2CBF" w:rsidP="007A2CBF">
      <w:pPr>
        <w:pBdr>
          <w:top w:val="nil"/>
          <w:left w:val="nil"/>
          <w:bottom w:val="nil"/>
          <w:right w:val="nil"/>
          <w:between w:val="nil"/>
        </w:pBdr>
        <w:jc w:val="both"/>
        <w:rPr>
          <w:rFonts w:ascii="Roboto" w:eastAsia="Roboto" w:hAnsi="Roboto" w:cs="Roboto"/>
          <w:color w:val="000000"/>
          <w:sz w:val="20"/>
          <w:szCs w:val="20"/>
        </w:rPr>
      </w:pPr>
      <w:r w:rsidRPr="007A2CBF">
        <w:rPr>
          <w:rFonts w:ascii="Roboto" w:eastAsia="Roboto" w:hAnsi="Roboto" w:cs="Roboto"/>
          <w:color w:val="000000"/>
          <w:sz w:val="20"/>
          <w:szCs w:val="20"/>
        </w:rPr>
        <w:t xml:space="preserve">El estudio demuestra que: (a) los estudiantes presentan altos niveles de ansiedad matemática desde el inicio del </w:t>
      </w:r>
      <w:r w:rsidRPr="007A2CBF">
        <w:rPr>
          <w:rFonts w:ascii="Roboto" w:eastAsia="Roboto" w:hAnsi="Roboto" w:cs="Roboto"/>
          <w:color w:val="000000"/>
          <w:sz w:val="20"/>
          <w:szCs w:val="20"/>
        </w:rPr>
        <w:t>curso; (b) dicha ansiedad se asocia con baja percepción de utilidad y conductas de evitación; (c) una intervención breve basada en pensamiento complejo no impacta el desempeño académico en el corto plazo; y (d) es necesario diseñar intervenciones más profundas y sostenidas.</w:t>
      </w:r>
    </w:p>
    <w:p w14:paraId="47DFBB9A" w14:textId="77777777" w:rsidR="007A2CBF" w:rsidRPr="007A2CBF" w:rsidRDefault="007A2CBF" w:rsidP="007A2CBF">
      <w:pPr>
        <w:pBdr>
          <w:top w:val="nil"/>
          <w:left w:val="nil"/>
          <w:bottom w:val="nil"/>
          <w:right w:val="nil"/>
          <w:between w:val="nil"/>
        </w:pBdr>
        <w:jc w:val="both"/>
        <w:rPr>
          <w:rFonts w:ascii="Roboto" w:eastAsia="Roboto" w:hAnsi="Roboto" w:cs="Roboto"/>
          <w:color w:val="000000"/>
          <w:sz w:val="20"/>
          <w:szCs w:val="20"/>
        </w:rPr>
      </w:pPr>
      <w:r w:rsidRPr="007A2CBF">
        <w:rPr>
          <w:rFonts w:ascii="Roboto" w:eastAsia="Roboto" w:hAnsi="Roboto" w:cs="Roboto"/>
          <w:color w:val="000000"/>
          <w:sz w:val="20"/>
          <w:szCs w:val="20"/>
        </w:rPr>
        <w:t>En términos prácticos, se recomienda integrar estrategias longitudinales que combinen desarrollo de confianza, pensamiento crítico y acompañamiento académico. Como limitación, el estudio se centra en efectos de corto plazo y en un solo contexto institucional. Futuras investigaciones deberán explorar intervenciones de mayor duración y su impacto en variables afectivas y cognitivas de manera integrada.</w:t>
      </w:r>
    </w:p>
    <w:p w14:paraId="62A3B287" w14:textId="77777777" w:rsidR="007A2CBF" w:rsidRDefault="007A2CBF">
      <w:pPr>
        <w:pBdr>
          <w:top w:val="nil"/>
          <w:left w:val="nil"/>
          <w:bottom w:val="nil"/>
          <w:right w:val="nil"/>
          <w:between w:val="nil"/>
        </w:pBdr>
        <w:jc w:val="both"/>
        <w:rPr>
          <w:rFonts w:ascii="Roboto" w:eastAsia="Roboto" w:hAnsi="Roboto" w:cs="Roboto"/>
          <w:color w:val="000000"/>
          <w:sz w:val="20"/>
          <w:szCs w:val="20"/>
        </w:rPr>
      </w:pPr>
    </w:p>
    <w:p w14:paraId="65AEDC16" w14:textId="77777777" w:rsidR="005C6234" w:rsidRDefault="005C6234">
      <w:pPr>
        <w:keepNext/>
        <w:jc w:val="both"/>
        <w:rPr>
          <w:rFonts w:ascii="Roboto" w:eastAsia="Roboto" w:hAnsi="Roboto" w:cs="Roboto"/>
          <w:b/>
          <w:bCs/>
          <w:sz w:val="20"/>
          <w:szCs w:val="20"/>
        </w:rPr>
      </w:pPr>
    </w:p>
    <w:p w14:paraId="28070215" w14:textId="77777777" w:rsidR="005C6234" w:rsidRDefault="005C6234">
      <w:pPr>
        <w:tabs>
          <w:tab w:val="left" w:pos="284"/>
        </w:tabs>
        <w:ind w:left="284" w:hanging="284"/>
        <w:jc w:val="both"/>
        <w:rPr>
          <w:rFonts w:ascii="Roboto" w:eastAsia="Roboto" w:hAnsi="Roboto" w:cs="Roboto"/>
          <w:sz w:val="20"/>
          <w:szCs w:val="20"/>
        </w:rPr>
      </w:pPr>
    </w:p>
    <w:p w14:paraId="2FE7B0B4" w14:textId="77777777" w:rsidR="005C6234" w:rsidRDefault="00000000">
      <w:pPr>
        <w:jc w:val="center"/>
        <w:rPr>
          <w:rFonts w:ascii="Roboto" w:eastAsia="Roboto" w:hAnsi="Roboto" w:cs="Roboto"/>
          <w:b/>
          <w:bCs/>
          <w:sz w:val="20"/>
          <w:szCs w:val="20"/>
        </w:rPr>
      </w:pPr>
      <w:r>
        <w:rPr>
          <w:rFonts w:ascii="Roboto" w:eastAsia="Roboto" w:hAnsi="Roboto" w:cs="Roboto"/>
          <w:b/>
          <w:bCs/>
          <w:noProof/>
          <w:sz w:val="20"/>
          <w:szCs w:val="20"/>
        </w:rPr>
        <w:drawing>
          <wp:inline distT="0" distB="0" distL="0" distR="0" wp14:anchorId="4BA13709" wp14:editId="02C9403F">
            <wp:extent cx="3133725" cy="1303519"/>
            <wp:effectExtent l="0" t="0" r="0" b="0"/>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t="15508" b="22128"/>
                    <a:stretch>
                      <a:fillRect/>
                    </a:stretch>
                  </pic:blipFill>
                  <pic:spPr>
                    <a:xfrm>
                      <a:off x="0" y="0"/>
                      <a:ext cx="3133725" cy="1303519"/>
                    </a:xfrm>
                    <a:prstGeom prst="rect">
                      <a:avLst/>
                    </a:prstGeom>
                    <a:ln/>
                  </pic:spPr>
                </pic:pic>
              </a:graphicData>
            </a:graphic>
          </wp:inline>
        </w:drawing>
      </w:r>
    </w:p>
    <w:p w14:paraId="6672B165" w14:textId="77777777" w:rsidR="005C6234" w:rsidRDefault="00000000">
      <w:pPr>
        <w:jc w:val="both"/>
        <w:rPr>
          <w:rFonts w:ascii="Roboto" w:eastAsia="Roboto" w:hAnsi="Roboto" w:cs="Roboto"/>
          <w:sz w:val="20"/>
          <w:szCs w:val="20"/>
        </w:rPr>
      </w:pPr>
      <w:r>
        <w:rPr>
          <w:rFonts w:ascii="Roboto" w:eastAsia="Roboto" w:hAnsi="Roboto" w:cs="Roboto"/>
          <w:b/>
          <w:bCs/>
          <w:sz w:val="20"/>
          <w:szCs w:val="20"/>
        </w:rPr>
        <w:t>Figura 1</w:t>
      </w:r>
      <w:r>
        <w:rPr>
          <w:rFonts w:ascii="Roboto" w:eastAsia="Roboto" w:hAnsi="Roboto" w:cs="Roboto"/>
          <w:sz w:val="20"/>
          <w:szCs w:val="20"/>
        </w:rPr>
        <w:t>. Título de imagen.</w:t>
      </w:r>
    </w:p>
    <w:p w14:paraId="590C5EE2" w14:textId="77777777" w:rsidR="005C6234" w:rsidRDefault="005C6234">
      <w:pPr>
        <w:pBdr>
          <w:top w:val="nil"/>
          <w:left w:val="nil"/>
          <w:bottom w:val="nil"/>
          <w:right w:val="nil"/>
          <w:between w:val="nil"/>
        </w:pBdr>
        <w:jc w:val="both"/>
        <w:rPr>
          <w:rFonts w:ascii="Roboto" w:eastAsia="Roboto" w:hAnsi="Roboto" w:cs="Roboto"/>
          <w:color w:val="000000"/>
          <w:sz w:val="20"/>
          <w:szCs w:val="20"/>
        </w:rPr>
      </w:pPr>
    </w:p>
    <w:p w14:paraId="53EA350B" w14:textId="77777777" w:rsidR="005C6234" w:rsidRDefault="005C6234">
      <w:pPr>
        <w:jc w:val="both"/>
        <w:rPr>
          <w:rFonts w:ascii="Roboto" w:eastAsia="Roboto" w:hAnsi="Roboto" w:cs="Roboto"/>
          <w:sz w:val="20"/>
          <w:szCs w:val="20"/>
        </w:rPr>
      </w:pPr>
    </w:p>
    <w:p w14:paraId="5B01D2E4" w14:textId="6B87F40A" w:rsidR="005C6234" w:rsidRDefault="00000000">
      <w:pPr>
        <w:jc w:val="both"/>
        <w:rPr>
          <w:rFonts w:ascii="Roboto" w:eastAsia="Roboto" w:hAnsi="Roboto" w:cs="Roboto"/>
          <w:b/>
          <w:bCs/>
          <w:sz w:val="20"/>
          <w:szCs w:val="20"/>
        </w:rPr>
      </w:pPr>
      <w:r>
        <w:rPr>
          <w:rFonts w:ascii="Roboto" w:eastAsia="Roboto" w:hAnsi="Roboto" w:cs="Roboto"/>
          <w:b/>
          <w:bCs/>
          <w:sz w:val="20"/>
          <w:szCs w:val="20"/>
        </w:rPr>
        <w:t>AGRADECIMIENTOS</w:t>
      </w:r>
    </w:p>
    <w:p w14:paraId="7004643E" w14:textId="7920CCC8" w:rsidR="005C6234" w:rsidRDefault="00970E02">
      <w:pPr>
        <w:jc w:val="both"/>
        <w:rPr>
          <w:rFonts w:ascii="Roboto" w:eastAsia="Roboto" w:hAnsi="Roboto" w:cs="Roboto"/>
          <w:sz w:val="20"/>
          <w:szCs w:val="20"/>
        </w:rPr>
      </w:pPr>
      <w:r w:rsidRPr="00970E02">
        <w:rPr>
          <w:rFonts w:ascii="Roboto" w:eastAsia="Roboto" w:hAnsi="Roboto" w:cs="Roboto"/>
          <w:sz w:val="20"/>
          <w:szCs w:val="20"/>
        </w:rPr>
        <w:t>Los autores agradecen el apoyo institucional de la Universidad Anáhuac Puebla para el desarrollo de este estudio</w:t>
      </w:r>
      <w:r>
        <w:rPr>
          <w:rFonts w:ascii="Roboto" w:eastAsia="Roboto" w:hAnsi="Roboto" w:cs="Roboto"/>
          <w:sz w:val="20"/>
          <w:szCs w:val="20"/>
        </w:rPr>
        <w:t>, así como a la Academia de Matemáticas de la Escuela de Economía y Negocios de la Universidad Anáhuac Puebla por el apoyo en la aplicación de cuestionarios diagnósticos y de evaluación</w:t>
      </w:r>
      <w:r w:rsidR="00000000">
        <w:rPr>
          <w:rFonts w:ascii="Roboto" w:eastAsia="Roboto" w:hAnsi="Roboto" w:cs="Roboto"/>
          <w:sz w:val="20"/>
          <w:szCs w:val="20"/>
        </w:rPr>
        <w:t>.</w:t>
      </w:r>
    </w:p>
    <w:p w14:paraId="7386A28B" w14:textId="77777777" w:rsidR="005C6234" w:rsidRDefault="005C6234">
      <w:pPr>
        <w:jc w:val="both"/>
        <w:rPr>
          <w:rFonts w:ascii="Roboto" w:eastAsia="Roboto" w:hAnsi="Roboto" w:cs="Roboto"/>
          <w:sz w:val="20"/>
          <w:szCs w:val="20"/>
        </w:rPr>
      </w:pPr>
    </w:p>
    <w:p w14:paraId="0F16B0CD" w14:textId="77777777" w:rsidR="005C6234" w:rsidRDefault="00000000">
      <w:pPr>
        <w:jc w:val="both"/>
        <w:rPr>
          <w:rFonts w:ascii="Roboto" w:eastAsia="Roboto" w:hAnsi="Roboto" w:cs="Roboto"/>
          <w:b/>
          <w:bCs/>
          <w:sz w:val="20"/>
          <w:szCs w:val="20"/>
        </w:rPr>
      </w:pPr>
      <w:r>
        <w:rPr>
          <w:rFonts w:ascii="Roboto" w:eastAsia="Roboto" w:hAnsi="Roboto" w:cs="Roboto"/>
          <w:b/>
          <w:bCs/>
          <w:sz w:val="20"/>
          <w:szCs w:val="20"/>
        </w:rPr>
        <w:t>REFERENCIAS (Formato APA)</w:t>
      </w:r>
    </w:p>
    <w:p w14:paraId="043A43B4" w14:textId="77777777" w:rsidR="00970E02" w:rsidRDefault="00970E02" w:rsidP="00970E02">
      <w:pPr>
        <w:jc w:val="both"/>
        <w:rPr>
          <w:rFonts w:ascii="Roboto" w:eastAsia="Roboto" w:hAnsi="Roboto" w:cs="Roboto"/>
          <w:sz w:val="20"/>
          <w:szCs w:val="20"/>
          <w:lang w:val="en-US"/>
        </w:rPr>
      </w:pPr>
      <w:r w:rsidRPr="00970E02">
        <w:rPr>
          <w:rFonts w:ascii="Roboto" w:eastAsia="Roboto" w:hAnsi="Roboto" w:cs="Roboto"/>
          <w:sz w:val="20"/>
          <w:szCs w:val="20"/>
          <w:lang w:val="en-US"/>
        </w:rPr>
        <w:t xml:space="preserve">Bandura, A. (1997). </w:t>
      </w:r>
      <w:r w:rsidRPr="00970E02">
        <w:rPr>
          <w:rFonts w:ascii="Roboto" w:eastAsia="Roboto" w:hAnsi="Roboto" w:cs="Roboto"/>
          <w:i/>
          <w:iCs/>
          <w:sz w:val="20"/>
          <w:szCs w:val="20"/>
          <w:lang w:val="en-US"/>
        </w:rPr>
        <w:t>Self-efficacy: The exercise of control</w:t>
      </w:r>
      <w:r w:rsidRPr="00970E02">
        <w:rPr>
          <w:rFonts w:ascii="Roboto" w:eastAsia="Roboto" w:hAnsi="Roboto" w:cs="Roboto"/>
          <w:sz w:val="20"/>
          <w:szCs w:val="20"/>
          <w:lang w:val="en-US"/>
        </w:rPr>
        <w:t>. Freeman.</w:t>
      </w:r>
      <w:r w:rsidRPr="00970E02">
        <w:rPr>
          <w:rFonts w:ascii="Roboto" w:eastAsia="Roboto" w:hAnsi="Roboto" w:cs="Roboto"/>
          <w:sz w:val="20"/>
          <w:szCs w:val="20"/>
          <w:lang w:val="en-US"/>
        </w:rPr>
        <w:br/>
        <w:t>Zakariya, Y. F. (2022). Mathematics self-efficacy and achievement:</w:t>
      </w:r>
      <w:r>
        <w:rPr>
          <w:rFonts w:ascii="Roboto" w:eastAsia="Roboto" w:hAnsi="Roboto" w:cs="Roboto"/>
          <w:sz w:val="20"/>
          <w:szCs w:val="20"/>
          <w:lang w:val="en-US"/>
        </w:rPr>
        <w:t xml:space="preserve"> </w:t>
      </w:r>
      <w:r w:rsidRPr="00970E02">
        <w:rPr>
          <w:rFonts w:ascii="Roboto" w:eastAsia="Roboto" w:hAnsi="Roboto" w:cs="Roboto"/>
          <w:sz w:val="20"/>
          <w:szCs w:val="20"/>
          <w:lang w:val="en-US"/>
        </w:rPr>
        <w:t>A meta-analysis.</w:t>
      </w:r>
    </w:p>
    <w:p w14:paraId="0CA23BAA" w14:textId="70B8FFCD" w:rsidR="00970E02" w:rsidRPr="00970E02" w:rsidRDefault="00970E02" w:rsidP="00970E02">
      <w:pPr>
        <w:jc w:val="both"/>
        <w:rPr>
          <w:rFonts w:ascii="Roboto" w:eastAsia="Roboto" w:hAnsi="Roboto" w:cs="Roboto"/>
          <w:sz w:val="20"/>
          <w:szCs w:val="20"/>
          <w:lang w:val="en-US"/>
        </w:rPr>
      </w:pPr>
      <w:r w:rsidRPr="00970E02">
        <w:rPr>
          <w:rFonts w:ascii="Roboto" w:eastAsia="Roboto" w:hAnsi="Roboto" w:cs="Roboto"/>
          <w:sz w:val="20"/>
          <w:szCs w:val="20"/>
          <w:lang w:val="en-US"/>
        </w:rPr>
        <w:t>Sayah Sayari, R., et al. (2024). Structure of mathematics self-efficacy in higher education.</w:t>
      </w:r>
    </w:p>
    <w:p w14:paraId="7CAE213F" w14:textId="77777777" w:rsidR="005C6234" w:rsidRPr="00C02E27" w:rsidRDefault="005C6234">
      <w:pPr>
        <w:jc w:val="both"/>
        <w:rPr>
          <w:rFonts w:ascii="Roboto" w:eastAsia="Roboto" w:hAnsi="Roboto" w:cs="Roboto"/>
          <w:sz w:val="20"/>
          <w:szCs w:val="20"/>
          <w:lang w:val="en-US"/>
        </w:rPr>
      </w:pPr>
    </w:p>
    <w:p w14:paraId="3F3E6F5D" w14:textId="77777777" w:rsidR="005C6234" w:rsidRPr="00C02E27" w:rsidRDefault="005C6234">
      <w:pPr>
        <w:jc w:val="both"/>
        <w:rPr>
          <w:rFonts w:ascii="Roboto" w:eastAsia="Roboto" w:hAnsi="Roboto" w:cs="Roboto"/>
          <w:sz w:val="20"/>
          <w:szCs w:val="20"/>
          <w:lang w:val="en-US"/>
        </w:rPr>
      </w:pPr>
    </w:p>
    <w:p w14:paraId="594317D4" w14:textId="77777777" w:rsidR="005C6234" w:rsidRPr="00C02E27" w:rsidRDefault="005C6234">
      <w:pPr>
        <w:jc w:val="both"/>
        <w:rPr>
          <w:rFonts w:ascii="Roboto" w:eastAsia="Roboto" w:hAnsi="Roboto" w:cs="Roboto"/>
          <w:sz w:val="20"/>
          <w:szCs w:val="20"/>
          <w:lang w:val="en-US"/>
        </w:rPr>
        <w:sectPr w:rsidR="005C6234" w:rsidRPr="00C02E27">
          <w:type w:val="continuous"/>
          <w:pgSz w:w="11906" w:h="16838"/>
          <w:pgMar w:top="1134" w:right="851" w:bottom="1134" w:left="851" w:header="357" w:footer="720" w:gutter="0"/>
          <w:cols w:num="2" w:space="720" w:equalWidth="0">
            <w:col w:w="4934" w:space="335"/>
            <w:col w:w="4934" w:space="0"/>
          </w:cols>
        </w:sectPr>
      </w:pPr>
    </w:p>
    <w:p w14:paraId="7DF60012" w14:textId="77777777" w:rsidR="005C6234" w:rsidRDefault="00000000">
      <w:pPr>
        <w:spacing w:before="240"/>
        <w:jc w:val="center"/>
        <w:rPr>
          <w:rFonts w:ascii="Roboto" w:eastAsia="Roboto" w:hAnsi="Roboto" w:cs="Roboto"/>
          <w:b/>
          <w:bCs/>
          <w:color w:val="FF0000"/>
          <w:sz w:val="20"/>
          <w:szCs w:val="20"/>
        </w:rPr>
      </w:pPr>
      <w:r w:rsidRPr="00C02E27">
        <w:rPr>
          <w:rFonts w:ascii="Roboto" w:eastAsia="Roboto" w:hAnsi="Roboto" w:cs="Roboto"/>
          <w:b/>
          <w:bCs/>
          <w:color w:val="FF0000"/>
          <w:sz w:val="20"/>
          <w:szCs w:val="20"/>
          <w:lang w:val="en-US"/>
        </w:rPr>
        <w:lastRenderedPageBreak/>
        <w:t xml:space="preserve">NO ELIMINAR ESTA HOJA DEL ARCHIVO. </w:t>
      </w:r>
      <w:r>
        <w:rPr>
          <w:rFonts w:ascii="Roboto" w:eastAsia="Roboto" w:hAnsi="Roboto" w:cs="Roboto"/>
          <w:b/>
          <w:bCs/>
          <w:color w:val="FF0000"/>
          <w:sz w:val="20"/>
          <w:szCs w:val="20"/>
        </w:rPr>
        <w:t>ENVÍE EL ARCHIVO COMPLETO</w:t>
      </w:r>
    </w:p>
    <w:p w14:paraId="616DAD7F" w14:textId="77777777" w:rsidR="005C6234" w:rsidRDefault="00000000">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t>Declaración de originalidad y autorización de publicación</w:t>
      </w:r>
    </w:p>
    <w:p w14:paraId="47A5BDD3" w14:textId="77777777" w:rsidR="005C6234" w:rsidRDefault="00000000">
      <w:pPr>
        <w:spacing w:before="240"/>
        <w:jc w:val="center"/>
        <w:rPr>
          <w:rFonts w:ascii="Roboto" w:eastAsia="Roboto" w:hAnsi="Roboto" w:cs="Roboto"/>
          <w:b/>
          <w:bCs/>
          <w:sz w:val="20"/>
          <w:szCs w:val="20"/>
        </w:rPr>
      </w:pPr>
      <w:r>
        <w:rPr>
          <w:rFonts w:ascii="Roboto" w:eastAsia="Roboto" w:hAnsi="Roboto" w:cs="Roboto"/>
          <w:b/>
          <w:bCs/>
          <w:sz w:val="20"/>
          <w:szCs w:val="20"/>
        </w:rPr>
        <w:t xml:space="preserve">III Encuentro de Investigadores de la Red Internacional de Universidades </w:t>
      </w:r>
      <w:proofErr w:type="spellStart"/>
      <w:r>
        <w:rPr>
          <w:rFonts w:ascii="Roboto" w:eastAsia="Roboto" w:hAnsi="Roboto" w:cs="Roboto"/>
          <w:b/>
          <w:bCs/>
          <w:sz w:val="20"/>
          <w:szCs w:val="20"/>
        </w:rPr>
        <w:t>Regnum</w:t>
      </w:r>
      <w:proofErr w:type="spellEnd"/>
      <w:r>
        <w:rPr>
          <w:rFonts w:ascii="Roboto" w:eastAsia="Roboto" w:hAnsi="Roboto" w:cs="Roboto"/>
          <w:b/>
          <w:bCs/>
          <w:sz w:val="20"/>
          <w:szCs w:val="20"/>
        </w:rPr>
        <w:t xml:space="preserve"> Christi (RIU)</w:t>
      </w:r>
    </w:p>
    <w:p w14:paraId="3C701594" w14:textId="77777777" w:rsidR="005C6234"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 xml:space="preserve">Memorias del III Encuentro de Investigadores de la Red Internacional de Universidades </w:t>
      </w:r>
      <w:proofErr w:type="spellStart"/>
      <w:r>
        <w:rPr>
          <w:rFonts w:ascii="Roboto" w:eastAsia="Roboto" w:hAnsi="Roboto" w:cs="Roboto"/>
          <w:b/>
          <w:bCs/>
          <w:sz w:val="20"/>
          <w:szCs w:val="20"/>
        </w:rPr>
        <w:t>Regnum</w:t>
      </w:r>
      <w:proofErr w:type="spellEnd"/>
      <w:r>
        <w:rPr>
          <w:rFonts w:ascii="Roboto" w:eastAsia="Roboto" w:hAnsi="Roboto" w:cs="Roboto"/>
          <w:b/>
          <w:bCs/>
          <w:sz w:val="20"/>
          <w:szCs w:val="20"/>
        </w:rPr>
        <w:t xml:space="preserve"> Christi (RIU)</w:t>
      </w:r>
      <w:r>
        <w:rPr>
          <w:rFonts w:ascii="Roboto" w:eastAsia="Roboto" w:hAnsi="Roboto" w:cs="Roboto"/>
          <w:sz w:val="20"/>
          <w:szCs w:val="20"/>
        </w:rPr>
        <w:t>, los autores declaran y aceptan lo siguiente:</w:t>
      </w:r>
    </w:p>
    <w:p w14:paraId="32F8A502" w14:textId="77777777" w:rsidR="005C6234"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07DF1A31" w14:textId="77777777" w:rsidR="005C6234"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14FC82D3" w14:textId="77777777" w:rsidR="005C6234"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363394E5" w14:textId="77777777" w:rsidR="005C6234"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73E3F087" w14:textId="77777777" w:rsidR="005C6234"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0A8F54FF" w14:textId="77777777" w:rsidR="005C6234"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37BC681E" w14:textId="77777777" w:rsidR="005C6234"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51F32A8D" w14:textId="77777777" w:rsidR="005C6234"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78B45363" w14:textId="77777777" w:rsidR="005C6234"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38EFF9F2" w14:textId="77777777" w:rsidR="005C6234" w:rsidRDefault="00000000">
      <w:pPr>
        <w:numPr>
          <w:ilvl w:val="0"/>
          <w:numId w:val="1"/>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w:t>
      </w:r>
      <w:proofErr w:type="spellStart"/>
      <w:r>
        <w:rPr>
          <w:rFonts w:ascii="Roboto" w:eastAsia="Roboto" w:hAnsi="Roboto" w:cs="Roboto"/>
          <w:sz w:val="20"/>
          <w:szCs w:val="20"/>
        </w:rPr>
        <w:t>Regnum</w:t>
      </w:r>
      <w:proofErr w:type="spellEnd"/>
      <w:r>
        <w:rPr>
          <w:rFonts w:ascii="Roboto" w:eastAsia="Roboto" w:hAnsi="Roboto" w:cs="Roboto"/>
          <w:sz w:val="20"/>
          <w:szCs w:val="20"/>
        </w:rPr>
        <w:t xml:space="preserve"> Christi.</w:t>
      </w:r>
    </w:p>
    <w:p w14:paraId="695491DA" w14:textId="77777777" w:rsidR="005C6234"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6C6C4956" w14:textId="77777777" w:rsidR="005C6234"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11464CB9" w14:textId="77777777" w:rsidR="005C6234"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50FA1F03" w14:textId="77777777" w:rsidR="005C6234"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26848CB5" w14:textId="77777777" w:rsidR="005C6234" w:rsidRDefault="00000000">
      <w:pPr>
        <w:numPr>
          <w:ilvl w:val="0"/>
          <w:numId w:val="2"/>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4616D4B2" w14:textId="77777777" w:rsidR="005C6234"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74EA7B71" w14:textId="77777777" w:rsidR="005C6234"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628E8287" w14:textId="77777777" w:rsidR="005C6234"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10326537" w14:textId="77777777" w:rsidR="005C6234"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542699BC" w14:textId="6E16FB5B" w:rsidR="005C6234" w:rsidRPr="000C674B" w:rsidRDefault="00000000" w:rsidP="000C674B">
      <w:pPr>
        <w:spacing w:before="240" w:after="240"/>
        <w:rPr>
          <w:rFonts w:ascii="Roboto" w:eastAsia="Roboto" w:hAnsi="Roboto" w:cs="Roboto"/>
          <w:b/>
          <w:bCs/>
          <w:color w:val="000000"/>
          <w:sz w:val="18"/>
          <w:szCs w:val="18"/>
        </w:rPr>
      </w:pPr>
      <w:proofErr w:type="gramStart"/>
      <w:r>
        <w:rPr>
          <w:rFonts w:ascii="Roboto" w:eastAsia="Roboto" w:hAnsi="Roboto" w:cs="Roboto"/>
          <w:sz w:val="20"/>
          <w:szCs w:val="20"/>
        </w:rPr>
        <w:t xml:space="preserve">(  </w:t>
      </w:r>
      <w:r w:rsidR="000C674B">
        <w:rPr>
          <w:rFonts w:ascii="Roboto" w:eastAsia="Roboto" w:hAnsi="Roboto" w:cs="Roboto"/>
          <w:sz w:val="20"/>
          <w:szCs w:val="20"/>
        </w:rPr>
        <w:t>X</w:t>
      </w:r>
      <w:r>
        <w:rPr>
          <w:rFonts w:ascii="Roboto" w:eastAsia="Roboto" w:hAnsi="Roboto" w:cs="Roboto"/>
          <w:sz w:val="20"/>
          <w:szCs w:val="20"/>
        </w:rPr>
        <w:t xml:space="preserve">  )</w:t>
      </w:r>
      <w:proofErr w:type="gramEnd"/>
      <w:r>
        <w:rPr>
          <w:rFonts w:ascii="Roboto" w:eastAsia="Roboto" w:hAnsi="Roboto" w:cs="Roboto"/>
          <w:sz w:val="20"/>
          <w:szCs w:val="20"/>
        </w:rPr>
        <w:t xml:space="preserve">  Declaro que he leído y acepto los términos de esta declaración y autorización de publicación</w:t>
      </w:r>
      <w:r w:rsidR="000C674B">
        <w:rPr>
          <w:rFonts w:ascii="Roboto" w:eastAsia="Roboto" w:hAnsi="Roboto" w:cs="Roboto"/>
          <w:sz w:val="20"/>
          <w:szCs w:val="20"/>
        </w:rPr>
        <w:t xml:space="preserve">                     </w:t>
      </w:r>
      <w:r w:rsidRPr="000C674B">
        <w:rPr>
          <w:rFonts w:ascii="Roboto" w:eastAsia="Roboto" w:hAnsi="Roboto" w:cs="Roboto"/>
          <w:b/>
          <w:bCs/>
          <w:sz w:val="18"/>
          <w:szCs w:val="18"/>
        </w:rPr>
        <w:t>Autor</w:t>
      </w:r>
      <w:r w:rsidR="000C674B">
        <w:rPr>
          <w:rFonts w:ascii="Roboto" w:eastAsia="Roboto" w:hAnsi="Roboto" w:cs="Roboto"/>
          <w:b/>
          <w:bCs/>
          <w:sz w:val="18"/>
          <w:szCs w:val="18"/>
        </w:rPr>
        <w:t xml:space="preserve"> </w:t>
      </w:r>
      <w:r w:rsidRPr="000C674B">
        <w:rPr>
          <w:rFonts w:ascii="Roboto" w:eastAsia="Roboto" w:hAnsi="Roboto" w:cs="Roboto"/>
          <w:b/>
          <w:bCs/>
          <w:sz w:val="18"/>
          <w:szCs w:val="18"/>
        </w:rPr>
        <w:t>responsable:</w:t>
      </w:r>
      <w:r w:rsidR="000C674B" w:rsidRPr="000C674B">
        <w:rPr>
          <w:rFonts w:ascii="Roboto" w:eastAsia="Roboto" w:hAnsi="Roboto" w:cs="Roboto"/>
          <w:b/>
          <w:bCs/>
          <w:sz w:val="18"/>
          <w:szCs w:val="18"/>
        </w:rPr>
        <w:t xml:space="preserve"> Karla Patricia Bayly Castañeda</w:t>
      </w:r>
      <w:r w:rsidRPr="000C674B">
        <w:rPr>
          <w:rFonts w:ascii="Roboto" w:eastAsia="Roboto" w:hAnsi="Roboto" w:cs="Roboto"/>
          <w:sz w:val="18"/>
          <w:szCs w:val="18"/>
        </w:rPr>
        <w:t xml:space="preserve"> </w:t>
      </w:r>
      <w:r w:rsidRPr="000C674B">
        <w:rPr>
          <w:rFonts w:ascii="Roboto" w:eastAsia="Roboto" w:hAnsi="Roboto" w:cs="Roboto"/>
          <w:b/>
          <w:bCs/>
          <w:sz w:val="18"/>
          <w:szCs w:val="18"/>
        </w:rPr>
        <w:t>Institución:</w:t>
      </w:r>
      <w:r w:rsidR="000C674B" w:rsidRPr="000C674B">
        <w:rPr>
          <w:rFonts w:ascii="Roboto" w:eastAsia="Roboto" w:hAnsi="Roboto" w:cs="Roboto"/>
          <w:b/>
          <w:bCs/>
          <w:sz w:val="18"/>
          <w:szCs w:val="18"/>
        </w:rPr>
        <w:t xml:space="preserve"> Universidad Anáhuac Puebla</w:t>
      </w:r>
      <w:r w:rsidRPr="000C674B">
        <w:rPr>
          <w:rFonts w:ascii="Roboto" w:eastAsia="Roboto" w:hAnsi="Roboto" w:cs="Roboto"/>
          <w:b/>
          <w:bCs/>
          <w:sz w:val="18"/>
          <w:szCs w:val="18"/>
        </w:rPr>
        <w:br/>
        <w:t>Título del trabajo con autores:</w:t>
      </w:r>
      <w:r w:rsidR="000C674B" w:rsidRPr="000C674B">
        <w:rPr>
          <w:rFonts w:ascii="Roboto" w:eastAsia="Roboto" w:hAnsi="Roboto" w:cs="Roboto"/>
          <w:b/>
          <w:bCs/>
          <w:sz w:val="18"/>
          <w:szCs w:val="18"/>
        </w:rPr>
        <w:t xml:space="preserve"> </w:t>
      </w:r>
      <w:r w:rsidR="000C674B" w:rsidRPr="000C674B">
        <w:rPr>
          <w:rFonts w:ascii="Roboto" w:eastAsia="Roboto" w:hAnsi="Roboto" w:cs="Roboto"/>
          <w:b/>
          <w:bCs/>
          <w:color w:val="000000"/>
          <w:sz w:val="18"/>
          <w:szCs w:val="18"/>
        </w:rPr>
        <w:t>Desarrollo de pensamiento complejo en Matemáticas para Negocios: evidencia inicial desde la ansiedad matemática y el desempeño académico</w:t>
      </w:r>
    </w:p>
    <w:sectPr w:rsidR="005C6234" w:rsidRPr="000C674B">
      <w:pgSz w:w="11906" w:h="16838"/>
      <w:pgMar w:top="1134" w:right="851" w:bottom="1134" w:left="851" w:header="357" w:footer="720" w:gutter="0"/>
      <w:cols w:space="720" w:equalWidth="0">
        <w:col w:w="10203"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F887EE" w14:textId="77777777" w:rsidR="00C80311" w:rsidRDefault="00C80311">
      <w:r>
        <w:separator/>
      </w:r>
    </w:p>
  </w:endnote>
  <w:endnote w:type="continuationSeparator" w:id="0">
    <w:p w14:paraId="76EEF9B1" w14:textId="77777777" w:rsidR="00C80311" w:rsidRDefault="00C803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26A90DFE-80AB-41A8-A33B-DCBFDA47C5DC}"/>
    <w:embedBold r:id="rId2" w:fontKey="{9E5AA624-9B80-4BC9-AA2A-EB35DE279B17}"/>
    <w:embedItalic r:id="rId3" w:fontKey="{65409666-D21E-4896-A9A3-D086B43BE874}"/>
  </w:font>
  <w:font w:name="Georgia">
    <w:panose1 w:val="02040502050405020303"/>
    <w:charset w:val="00"/>
    <w:family w:val="roman"/>
    <w:pitch w:val="variable"/>
    <w:sig w:usb0="00000287" w:usb1="00000000" w:usb2="00000000" w:usb3="00000000" w:csb0="0000009F" w:csb1="00000000"/>
    <w:embedItalic r:id="rId4" w:fontKey="{F605B2C6-A4C5-477F-A2CD-C71B02C35FC6}"/>
  </w:font>
  <w:font w:name="Roboto">
    <w:charset w:val="00"/>
    <w:family w:val="auto"/>
    <w:pitch w:val="variable"/>
    <w:sig w:usb0="E0000AFF" w:usb1="5000217F" w:usb2="00000021" w:usb3="00000000" w:csb0="0000019F" w:csb1="00000000"/>
    <w:embedRegular r:id="rId5" w:fontKey="{EFF9C35B-E156-4260-877E-70EA14481034}"/>
    <w:embedBold r:id="rId6" w:fontKey="{889ECD26-014F-49DA-A280-FFF4BE351630}"/>
    <w:embedItalic r:id="rId7" w:fontKey="{B62A70E6-B8B9-4148-84DC-891F92CBC757}"/>
  </w:font>
  <w:font w:name="Calibri Light">
    <w:panose1 w:val="020F0302020204030204"/>
    <w:charset w:val="00"/>
    <w:family w:val="swiss"/>
    <w:pitch w:val="variable"/>
    <w:sig w:usb0="E4002EFF" w:usb1="C200247B" w:usb2="00000009" w:usb3="00000000" w:csb0="000001FF" w:csb1="00000000"/>
    <w:embedRegular r:id="rId8" w:fontKey="{4AB2E9F1-33BF-45ED-A8C6-1CC249F46B33}"/>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1F703B" w14:textId="77777777" w:rsidR="00C80311" w:rsidRDefault="00C80311">
      <w:r>
        <w:separator/>
      </w:r>
    </w:p>
  </w:footnote>
  <w:footnote w:type="continuationSeparator" w:id="0">
    <w:p w14:paraId="1224BD08" w14:textId="77777777" w:rsidR="00C80311" w:rsidRDefault="00C8031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28B517" w14:textId="77777777" w:rsidR="005C6234" w:rsidRDefault="005C6234">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5C6234" w14:paraId="19F01C8D" w14:textId="77777777">
      <w:trPr>
        <w:trHeight w:val="345"/>
        <w:jc w:val="center"/>
      </w:trPr>
      <w:tc>
        <w:tcPr>
          <w:tcW w:w="6306" w:type="dxa"/>
          <w:vAlign w:val="center"/>
        </w:tcPr>
        <w:p w14:paraId="7DB8144F" w14:textId="77777777" w:rsidR="005C6234" w:rsidRDefault="005C6234">
          <w:pPr>
            <w:jc w:val="center"/>
            <w:rPr>
              <w:i/>
              <w:iCs/>
              <w:sz w:val="18"/>
              <w:szCs w:val="18"/>
            </w:rPr>
          </w:pPr>
        </w:p>
      </w:tc>
    </w:tr>
  </w:tbl>
  <w:p w14:paraId="2B841ED2" w14:textId="77777777" w:rsidR="005C6234" w:rsidRDefault="005C6234">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C345B18"/>
    <w:multiLevelType w:val="multilevel"/>
    <w:tmpl w:val="F2BCCC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510F756F"/>
    <w:multiLevelType w:val="multilevel"/>
    <w:tmpl w:val="6A9684B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855585025">
    <w:abstractNumId w:val="1"/>
  </w:num>
  <w:num w:numId="2" w16cid:durableId="5113404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6234"/>
    <w:rsid w:val="000C674B"/>
    <w:rsid w:val="005C6234"/>
    <w:rsid w:val="007A2CBF"/>
    <w:rsid w:val="0096480E"/>
    <w:rsid w:val="00970E02"/>
    <w:rsid w:val="00C02E27"/>
    <w:rsid w:val="00C80311"/>
    <w:rsid w:val="00D5635F"/>
    <w:rsid w:val="00EB4572"/>
    <w:rsid w:val="00FC152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D3182B"/>
  <w15:docId w15:val="{15137B00-BC49-4896-95CD-9443DD922F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3</Pages>
  <Words>1795</Words>
  <Characters>9874</Characters>
  <Application>Microsoft Office Word</Application>
  <DocSecurity>0</DocSecurity>
  <Lines>82</Lines>
  <Paragraphs>23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Karla Patricia Bayly Castañeda</cp:lastModifiedBy>
  <cp:revision>4</cp:revision>
  <dcterms:created xsi:type="dcterms:W3CDTF">2026-04-01T00:34:00Z</dcterms:created>
  <dcterms:modified xsi:type="dcterms:W3CDTF">2026-04-01T01:07:00Z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917687bd-55b5-4a80-b263-c10fea2c9ec4_Enabled">
    <vt:lpwstr>true</vt:lpwstr>
  </property>
  <property fmtid="{D5CDD505-2E9C-101B-9397-08002B2CF9AE}" pid="3" name="MSIP_Label_917687bd-55b5-4a80-b263-c10fea2c9ec4_SetDate">
    <vt:lpwstr>2026-04-01T00:34:14Z</vt:lpwstr>
  </property>
  <property fmtid="{D5CDD505-2E9C-101B-9397-08002B2CF9AE}" pid="4" name="MSIP_Label_917687bd-55b5-4a80-b263-c10fea2c9ec4_Method">
    <vt:lpwstr>Standard</vt:lpwstr>
  </property>
  <property fmtid="{D5CDD505-2E9C-101B-9397-08002B2CF9AE}" pid="5" name="MSIP_Label_917687bd-55b5-4a80-b263-c10fea2c9ec4_Name">
    <vt:lpwstr>UAP-Etiqueta-Uso-Interno1</vt:lpwstr>
  </property>
  <property fmtid="{D5CDD505-2E9C-101B-9397-08002B2CF9AE}" pid="6" name="MSIP_Label_917687bd-55b5-4a80-b263-c10fea2c9ec4_SiteId">
    <vt:lpwstr>0d8d6b97-e05d-460c-b6b5-19b7d020f47a</vt:lpwstr>
  </property>
  <property fmtid="{D5CDD505-2E9C-101B-9397-08002B2CF9AE}" pid="7" name="MSIP_Label_917687bd-55b5-4a80-b263-c10fea2c9ec4_ActionId">
    <vt:lpwstr>c9366706-0b38-4b47-b215-63a8a13c2e53</vt:lpwstr>
  </property>
  <property fmtid="{D5CDD505-2E9C-101B-9397-08002B2CF9AE}" pid="8" name="MSIP_Label_917687bd-55b5-4a80-b263-c10fea2c9ec4_ContentBits">
    <vt:lpwstr>0</vt:lpwstr>
  </property>
  <property fmtid="{D5CDD505-2E9C-101B-9397-08002B2CF9AE}" pid="9" name="MSIP_Label_917687bd-55b5-4a80-b263-c10fea2c9ec4_Tag">
    <vt:lpwstr>10, 3, 0, 1</vt:lpwstr>
  </property>
</Properties>
</file>