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67276" w14:textId="72BFB1A0" w:rsidR="00854F43" w:rsidRDefault="007F22AB">
      <w:pPr>
        <w:pBdr>
          <w:top w:val="nil"/>
          <w:left w:val="nil"/>
          <w:bottom w:val="nil"/>
          <w:right w:val="nil"/>
          <w:between w:val="nil"/>
        </w:pBdr>
        <w:spacing w:before="120" w:after="120"/>
        <w:jc w:val="center"/>
        <w:rPr>
          <w:rFonts w:ascii="Roboto" w:eastAsia="Roboto" w:hAnsi="Roboto" w:cs="Roboto"/>
          <w:b/>
          <w:bCs/>
          <w:color w:val="000000"/>
        </w:rPr>
      </w:pPr>
      <w:r w:rsidRPr="007F22AB">
        <w:rPr>
          <w:rFonts w:ascii="Roboto" w:eastAsia="Roboto" w:hAnsi="Roboto" w:cs="Roboto"/>
          <w:b/>
          <w:bCs/>
          <w:color w:val="000000"/>
        </w:rPr>
        <w:t>Tendencias del intercambio comercial México y la República Popular China de frente a la rivalidad geoeconómica entre Washington y Beijing (2020-2025).</w:t>
      </w:r>
    </w:p>
    <w:p w14:paraId="48C2115A" w14:textId="7D6837C0" w:rsidR="00854F43" w:rsidRDefault="007F22AB">
      <w:pPr>
        <w:pBdr>
          <w:top w:val="nil"/>
          <w:left w:val="nil"/>
          <w:bottom w:val="nil"/>
          <w:right w:val="nil"/>
          <w:between w:val="nil"/>
        </w:pBdr>
        <w:spacing w:before="120" w:after="120"/>
        <w:jc w:val="center"/>
        <w:rPr>
          <w:rFonts w:ascii="Roboto" w:eastAsia="Roboto" w:hAnsi="Roboto" w:cs="Roboto"/>
          <w:b/>
          <w:bCs/>
          <w:color w:val="000000"/>
          <w:sz w:val="20"/>
          <w:szCs w:val="20"/>
        </w:rPr>
      </w:pPr>
      <w:r>
        <w:rPr>
          <w:rFonts w:ascii="Roboto" w:eastAsia="Roboto" w:hAnsi="Roboto" w:cs="Roboto"/>
          <w:b/>
          <w:bCs/>
          <w:color w:val="000000"/>
          <w:sz w:val="20"/>
          <w:szCs w:val="20"/>
        </w:rPr>
        <w:t>Reyes Solís Juan Roberto.</w:t>
      </w:r>
    </w:p>
    <w:p w14:paraId="222A9CEB" w14:textId="6CA8355D" w:rsidR="007F22AB" w:rsidRPr="007F22AB" w:rsidRDefault="00A276AE" w:rsidP="007F22AB">
      <w:pPr>
        <w:pBdr>
          <w:top w:val="nil"/>
          <w:left w:val="nil"/>
          <w:bottom w:val="nil"/>
          <w:right w:val="nil"/>
          <w:between w:val="nil"/>
        </w:pBdr>
        <w:jc w:val="center"/>
        <w:rPr>
          <w:rFonts w:ascii="Roboto" w:eastAsia="Roboto" w:hAnsi="Roboto" w:cs="Roboto"/>
          <w:b/>
          <w:bCs/>
          <w:color w:val="000000"/>
          <w:sz w:val="18"/>
          <w:szCs w:val="18"/>
        </w:rPr>
      </w:pPr>
      <w:r w:rsidRPr="007F22AB">
        <w:rPr>
          <w:rFonts w:ascii="Roboto" w:eastAsia="Roboto" w:hAnsi="Roboto" w:cs="Roboto"/>
          <w:b/>
          <w:bCs/>
          <w:color w:val="000000"/>
          <w:sz w:val="18"/>
          <w:szCs w:val="18"/>
        </w:rPr>
        <w:t>ORCID</w:t>
      </w:r>
      <w:r w:rsidR="007F22AB" w:rsidRPr="007F22AB">
        <w:rPr>
          <w:rFonts w:ascii="Roboto" w:eastAsia="Roboto" w:hAnsi="Roboto" w:cs="Roboto"/>
          <w:b/>
          <w:bCs/>
          <w:color w:val="000000"/>
          <w:sz w:val="18"/>
          <w:szCs w:val="18"/>
        </w:rPr>
        <w:t>:</w:t>
      </w:r>
      <w:r w:rsidR="007F22AB">
        <w:rPr>
          <w:rFonts w:ascii="Roboto" w:eastAsia="Roboto" w:hAnsi="Roboto" w:cs="Roboto"/>
          <w:color w:val="000000"/>
          <w:sz w:val="18"/>
          <w:szCs w:val="18"/>
        </w:rPr>
        <w:t xml:space="preserve"> </w:t>
      </w:r>
      <w:r w:rsidR="007F22AB" w:rsidRPr="007F22AB">
        <w:rPr>
          <w:rFonts w:ascii="Roboto" w:eastAsia="Roboto" w:hAnsi="Roboto" w:cs="Roboto"/>
          <w:b/>
          <w:bCs/>
          <w:color w:val="000000"/>
          <w:sz w:val="18"/>
          <w:szCs w:val="18"/>
        </w:rPr>
        <w:t>0009-0001-4049-9702</w:t>
      </w:r>
    </w:p>
    <w:p w14:paraId="13AF8412" w14:textId="64871AEF" w:rsidR="00854F43" w:rsidRDefault="007F22AB" w:rsidP="007F22AB">
      <w:pPr>
        <w:rPr>
          <w:rFonts w:ascii="Roboto" w:eastAsia="Roboto" w:hAnsi="Roboto" w:cs="Roboto"/>
          <w:sz w:val="18"/>
          <w:szCs w:val="18"/>
        </w:rPr>
      </w:pPr>
      <w:r>
        <w:rPr>
          <w:rFonts w:ascii="Roboto" w:eastAsia="Roboto" w:hAnsi="Roboto" w:cs="Roboto"/>
          <w:color w:val="000000"/>
          <w:sz w:val="18"/>
          <w:szCs w:val="18"/>
          <w:vertAlign w:val="superscript"/>
        </w:rPr>
        <w:t xml:space="preserve"> </w:t>
      </w:r>
      <w:r>
        <w:rPr>
          <w:rFonts w:ascii="Roboto" w:eastAsia="Roboto" w:hAnsi="Roboto" w:cs="Roboto"/>
          <w:sz w:val="18"/>
          <w:szCs w:val="18"/>
        </w:rPr>
        <w:t xml:space="preserve">                                                                                    Juanroberto.reyes@anahuac.mx</w:t>
      </w:r>
    </w:p>
    <w:p w14:paraId="4F6A5D76" w14:textId="77777777" w:rsidR="00854F43" w:rsidRDefault="00AD2115">
      <w:pPr>
        <w:spacing w:before="60"/>
        <w:jc w:val="center"/>
        <w:rPr>
          <w:rFonts w:ascii="Roboto" w:eastAsia="Roboto" w:hAnsi="Roboto" w:cs="Roboto"/>
          <w:sz w:val="18"/>
          <w:szCs w:val="18"/>
        </w:rPr>
        <w:sectPr w:rsidR="00854F43">
          <w:headerReference w:type="default" r:id="rId8"/>
          <w:pgSz w:w="11906" w:h="16838"/>
          <w:pgMar w:top="851" w:right="851" w:bottom="828" w:left="851" w:header="357" w:footer="720" w:gutter="0"/>
          <w:pgNumType w:start="1"/>
          <w:cols w:space="720"/>
        </w:sectPr>
      </w:pPr>
      <w:r>
        <w:pict w14:anchorId="6341797A">
          <v:rect id="_x0000_i1025" style="width:0;height:1.5pt" o:hralign="center" o:hrstd="t" o:hr="t" fillcolor="#a0a0a0" stroked="f"/>
        </w:pict>
      </w:r>
    </w:p>
    <w:p w14:paraId="33AF5E86" w14:textId="69CA0A7A" w:rsidR="00712E0D" w:rsidRDefault="00712E0D">
      <w:pPr>
        <w:pBdr>
          <w:top w:val="nil"/>
          <w:left w:val="nil"/>
          <w:bottom w:val="nil"/>
          <w:right w:val="nil"/>
          <w:between w:val="nil"/>
        </w:pBdr>
        <w:spacing w:before="60"/>
        <w:jc w:val="both"/>
        <w:rPr>
          <w:rFonts w:ascii="Roboto" w:eastAsia="Roboto" w:hAnsi="Roboto" w:cs="Roboto"/>
          <w:b/>
          <w:bCs/>
          <w:color w:val="000000"/>
          <w:sz w:val="20"/>
          <w:szCs w:val="20"/>
        </w:rPr>
      </w:pPr>
      <w:r>
        <w:rPr>
          <w:rFonts w:ascii="Roboto" w:eastAsia="Roboto" w:hAnsi="Roboto" w:cs="Roboto"/>
          <w:b/>
          <w:bCs/>
          <w:color w:val="000000"/>
          <w:sz w:val="20"/>
          <w:szCs w:val="20"/>
        </w:rPr>
        <w:t>RESUMEN.</w:t>
      </w:r>
    </w:p>
    <w:p w14:paraId="72968701" w14:textId="0221F554" w:rsidR="00854F43" w:rsidRPr="00121D4C" w:rsidRDefault="00121D4C">
      <w:pPr>
        <w:pBdr>
          <w:top w:val="nil"/>
          <w:left w:val="nil"/>
          <w:bottom w:val="nil"/>
          <w:right w:val="nil"/>
          <w:between w:val="nil"/>
        </w:pBdr>
        <w:jc w:val="both"/>
        <w:rPr>
          <w:rFonts w:ascii="Roboto" w:eastAsia="Roboto" w:hAnsi="Roboto" w:cs="Roboto"/>
          <w:color w:val="000000"/>
          <w:sz w:val="20"/>
          <w:szCs w:val="20"/>
        </w:rPr>
      </w:pPr>
      <w:r w:rsidRPr="00121D4C">
        <w:rPr>
          <w:rFonts w:ascii="Roboto" w:eastAsia="Roboto" w:hAnsi="Roboto" w:cs="Roboto"/>
          <w:color w:val="000000"/>
          <w:sz w:val="20"/>
          <w:szCs w:val="20"/>
        </w:rPr>
        <w:t>En los años recientes, el intercambio comercial entre México y la República Popular China ha experimentado un fuerte crecimiento. Sin embargo, los vínculos comerciales con la nación oriental han impulsado un amplio superávit en favor de los productores de ese país. Asimismo, la dinámica económica bilateral en el periodo 2020-2025 refleja una relación de intercambio cada vez más asimétrica. A pesar del perfil estratégico que para México tiene el comercio internacional, es también un escenario en donde se refleja la geopolítica global, en particular, la rivalidad entre Washington y Beijing. En este tenor y de frente a la próxima renegociación del Tratado de Comercio de América del norte, las circunstancias podrían llevar a presiones sobre México para limitar la presencia económica de China. Por la trascendencia de estas dinámicas, el presente trabajo expone las tendencias que han tenido las relaciones económicas entre ambas naciones y en donde el comercio internacional se transforma en un medio de competencia geopolítica entre los EE. UU. y la República Popular China.</w:t>
      </w:r>
    </w:p>
    <w:p w14:paraId="13C61AF1" w14:textId="5DBF77F4" w:rsidR="00854F43" w:rsidRDefault="00C23FC6">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OBJETIVO.</w:t>
      </w:r>
    </w:p>
    <w:p w14:paraId="682A799C" w14:textId="53330AF9" w:rsidR="00854F43" w:rsidRPr="00A31E94" w:rsidRDefault="00A31E94">
      <w:pPr>
        <w:pBdr>
          <w:top w:val="nil"/>
          <w:left w:val="nil"/>
          <w:bottom w:val="nil"/>
          <w:right w:val="nil"/>
          <w:between w:val="nil"/>
        </w:pBdr>
        <w:jc w:val="both"/>
        <w:rPr>
          <w:rFonts w:ascii="Roboto" w:eastAsia="Roboto" w:hAnsi="Roboto" w:cs="Roboto"/>
          <w:color w:val="000000"/>
          <w:sz w:val="20"/>
          <w:szCs w:val="20"/>
        </w:rPr>
      </w:pPr>
      <w:r w:rsidRPr="00A31E94">
        <w:rPr>
          <w:rFonts w:ascii="Roboto" w:eastAsia="Roboto" w:hAnsi="Roboto" w:cs="Roboto"/>
          <w:color w:val="000000"/>
          <w:sz w:val="20"/>
          <w:szCs w:val="20"/>
        </w:rPr>
        <w:t>Mostrar</w:t>
      </w:r>
      <w:r w:rsidR="00962C34" w:rsidRPr="00A31E94">
        <w:rPr>
          <w:rFonts w:ascii="Roboto" w:eastAsia="Roboto" w:hAnsi="Roboto" w:cs="Roboto"/>
          <w:color w:val="000000"/>
          <w:sz w:val="20"/>
          <w:szCs w:val="20"/>
        </w:rPr>
        <w:t xml:space="preserve"> las tendencias del intercambio</w:t>
      </w:r>
      <w:r>
        <w:rPr>
          <w:rFonts w:ascii="Roboto" w:eastAsia="Roboto" w:hAnsi="Roboto" w:cs="Roboto"/>
          <w:color w:val="000000"/>
          <w:sz w:val="20"/>
          <w:szCs w:val="20"/>
        </w:rPr>
        <w:t xml:space="preserve"> comercial</w:t>
      </w:r>
      <w:r w:rsidR="00962C34" w:rsidRPr="00A31E94">
        <w:rPr>
          <w:rFonts w:ascii="Roboto" w:eastAsia="Roboto" w:hAnsi="Roboto" w:cs="Roboto"/>
          <w:color w:val="000000"/>
          <w:sz w:val="20"/>
          <w:szCs w:val="20"/>
        </w:rPr>
        <w:t xml:space="preserve"> entre México y la República Popular China en el periodo de 2020 a 2025 para identificar los patrones de </w:t>
      </w:r>
      <w:r w:rsidR="00E85057">
        <w:rPr>
          <w:rFonts w:ascii="Roboto" w:eastAsia="Roboto" w:hAnsi="Roboto" w:cs="Roboto"/>
          <w:color w:val="000000"/>
          <w:sz w:val="20"/>
          <w:szCs w:val="20"/>
        </w:rPr>
        <w:t>exportaciones e importaciones</w:t>
      </w:r>
      <w:r w:rsidR="00962C34" w:rsidRPr="00A31E94">
        <w:rPr>
          <w:rFonts w:ascii="Roboto" w:eastAsia="Roboto" w:hAnsi="Roboto" w:cs="Roboto"/>
          <w:color w:val="000000"/>
          <w:sz w:val="20"/>
          <w:szCs w:val="20"/>
        </w:rPr>
        <w:t xml:space="preserve"> con el país asiático</w:t>
      </w:r>
      <w:r w:rsidR="00552EC0">
        <w:rPr>
          <w:rFonts w:ascii="Roboto" w:eastAsia="Roboto" w:hAnsi="Roboto" w:cs="Roboto"/>
          <w:color w:val="000000"/>
          <w:sz w:val="20"/>
          <w:szCs w:val="20"/>
        </w:rPr>
        <w:t xml:space="preserve"> y la vinculación que tiene este proceso </w:t>
      </w:r>
      <w:r w:rsidR="003A098E">
        <w:rPr>
          <w:rFonts w:ascii="Roboto" w:eastAsia="Roboto" w:hAnsi="Roboto" w:cs="Roboto"/>
          <w:color w:val="000000"/>
          <w:sz w:val="20"/>
          <w:szCs w:val="20"/>
        </w:rPr>
        <w:t xml:space="preserve">con la rivalidad geopolítica entre los EE UU y el país oriental, por ende, </w:t>
      </w:r>
      <w:r w:rsidR="006D01D9">
        <w:rPr>
          <w:rFonts w:ascii="Roboto" w:eastAsia="Roboto" w:hAnsi="Roboto" w:cs="Roboto"/>
          <w:color w:val="000000"/>
          <w:sz w:val="20"/>
          <w:szCs w:val="20"/>
        </w:rPr>
        <w:t xml:space="preserve">exponer </w:t>
      </w:r>
      <w:r w:rsidR="003A098E">
        <w:rPr>
          <w:rFonts w:ascii="Roboto" w:eastAsia="Roboto" w:hAnsi="Roboto" w:cs="Roboto"/>
          <w:color w:val="000000"/>
          <w:sz w:val="20"/>
          <w:szCs w:val="20"/>
        </w:rPr>
        <w:t xml:space="preserve">su </w:t>
      </w:r>
      <w:r w:rsidR="006D01D9">
        <w:rPr>
          <w:rFonts w:ascii="Roboto" w:eastAsia="Roboto" w:hAnsi="Roboto" w:cs="Roboto"/>
          <w:color w:val="000000"/>
          <w:sz w:val="20"/>
          <w:szCs w:val="20"/>
        </w:rPr>
        <w:t xml:space="preserve">posible </w:t>
      </w:r>
      <w:r w:rsidR="003A098E">
        <w:rPr>
          <w:rFonts w:ascii="Roboto" w:eastAsia="Roboto" w:hAnsi="Roboto" w:cs="Roboto"/>
          <w:color w:val="000000"/>
          <w:sz w:val="20"/>
          <w:szCs w:val="20"/>
        </w:rPr>
        <w:t xml:space="preserve">impacto </w:t>
      </w:r>
      <w:r w:rsidR="006D01D9">
        <w:rPr>
          <w:rFonts w:ascii="Roboto" w:eastAsia="Roboto" w:hAnsi="Roboto" w:cs="Roboto"/>
          <w:color w:val="000000"/>
          <w:sz w:val="20"/>
          <w:szCs w:val="20"/>
        </w:rPr>
        <w:t xml:space="preserve">y alcances </w:t>
      </w:r>
      <w:r w:rsidR="003A098E">
        <w:rPr>
          <w:rFonts w:ascii="Roboto" w:eastAsia="Roboto" w:hAnsi="Roboto" w:cs="Roboto"/>
          <w:color w:val="000000"/>
          <w:sz w:val="20"/>
          <w:szCs w:val="20"/>
        </w:rPr>
        <w:t xml:space="preserve">en </w:t>
      </w:r>
      <w:r w:rsidR="00064710">
        <w:rPr>
          <w:rFonts w:ascii="Roboto" w:eastAsia="Roboto" w:hAnsi="Roboto" w:cs="Roboto"/>
          <w:color w:val="000000"/>
          <w:sz w:val="20"/>
          <w:szCs w:val="20"/>
        </w:rPr>
        <w:t>las próximas negociaciones del TMEC</w:t>
      </w:r>
      <w:r w:rsidR="00962C34" w:rsidRPr="00A31E94">
        <w:rPr>
          <w:rFonts w:ascii="Roboto" w:eastAsia="Roboto" w:hAnsi="Roboto" w:cs="Roboto"/>
          <w:color w:val="000000"/>
          <w:sz w:val="20"/>
          <w:szCs w:val="20"/>
        </w:rPr>
        <w:t>.</w:t>
      </w:r>
    </w:p>
    <w:p w14:paraId="40884816" w14:textId="1DDE6542" w:rsidR="00854F43" w:rsidRDefault="00C61A7E">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CONTEXTO.</w:t>
      </w:r>
    </w:p>
    <w:p w14:paraId="42D37E75" w14:textId="24F4C082" w:rsidR="008C1D0D" w:rsidRPr="008C1D0D" w:rsidRDefault="008C1D0D" w:rsidP="008C1D0D">
      <w:pPr>
        <w:pBdr>
          <w:top w:val="nil"/>
          <w:left w:val="nil"/>
          <w:bottom w:val="nil"/>
          <w:right w:val="nil"/>
          <w:between w:val="nil"/>
        </w:pBdr>
        <w:jc w:val="both"/>
        <w:rPr>
          <w:rFonts w:ascii="Roboto" w:eastAsia="Roboto" w:hAnsi="Roboto" w:cs="Roboto"/>
          <w:color w:val="000000"/>
          <w:sz w:val="20"/>
          <w:szCs w:val="20"/>
        </w:rPr>
      </w:pPr>
      <w:r w:rsidRPr="008C1D0D">
        <w:rPr>
          <w:rFonts w:ascii="Roboto" w:eastAsia="Roboto" w:hAnsi="Roboto" w:cs="Roboto"/>
          <w:color w:val="000000"/>
          <w:sz w:val="20"/>
          <w:szCs w:val="20"/>
        </w:rPr>
        <w:t>En el desarrollo del comercio internacional contemporáneo, la interacción económica entre compradores y vendedores de todos los países se ha venido desarrollando cada vez más con gran intensidad, dinámica que a la par ha estado asociada a los patrones que la geopolítica impulsa desde el centro de las grandes potencias. En este tenor, la interdependencia económica, desarrollo de acuerdos comerciales e integración entre mercados ha venido marcando la pauta de dichas relaciones. Asimismo, y con un proteccionismo emergente liderado por el gobierno de los EE. UU., se han definido políticas que llevan al comercio mundial a erigirse como un recurso de presión económica y definición geopolítica</w:t>
      </w:r>
      <w:r w:rsidR="008E4ABD">
        <w:rPr>
          <w:rFonts w:ascii="Roboto" w:eastAsia="Roboto" w:hAnsi="Roboto" w:cs="Roboto"/>
          <w:color w:val="000000"/>
          <w:sz w:val="20"/>
          <w:szCs w:val="20"/>
        </w:rPr>
        <w:t xml:space="preserve"> </w:t>
      </w:r>
      <w:r w:rsidR="008E4ABD" w:rsidRPr="003A1062">
        <w:rPr>
          <w:rFonts w:ascii="Roboto" w:hAnsi="Roboto"/>
          <w:sz w:val="20"/>
          <w:szCs w:val="20"/>
        </w:rPr>
        <w:t>(Dussel, 2025)</w:t>
      </w:r>
      <w:r w:rsidRPr="003A1062">
        <w:rPr>
          <w:rFonts w:ascii="Roboto" w:eastAsia="Roboto" w:hAnsi="Roboto" w:cs="Roboto"/>
          <w:color w:val="000000"/>
          <w:sz w:val="20"/>
          <w:szCs w:val="20"/>
        </w:rPr>
        <w:t>.</w:t>
      </w:r>
      <w:r w:rsidRPr="008C1D0D">
        <w:rPr>
          <w:rFonts w:ascii="Roboto" w:eastAsia="Roboto" w:hAnsi="Roboto" w:cs="Roboto"/>
          <w:color w:val="000000"/>
          <w:sz w:val="20"/>
          <w:szCs w:val="20"/>
        </w:rPr>
        <w:t xml:space="preserve"> Lo que se observa en el escenario económico internacional, es que como nunca antes, el intercambio entre naciones no sólo se suma a la transformación del sistema mundial, sino a la reestructuración de las esferas de influencia de grandes potencias, entre ellas la disputa por la hegemonía global.</w:t>
      </w:r>
    </w:p>
    <w:p w14:paraId="46A71490" w14:textId="77777777" w:rsidR="008C1D0D" w:rsidRPr="008C1D0D" w:rsidRDefault="008C1D0D" w:rsidP="008C1D0D">
      <w:pPr>
        <w:pBdr>
          <w:top w:val="nil"/>
          <w:left w:val="nil"/>
          <w:bottom w:val="nil"/>
          <w:right w:val="nil"/>
          <w:between w:val="nil"/>
        </w:pBdr>
        <w:jc w:val="both"/>
        <w:rPr>
          <w:rFonts w:ascii="Roboto" w:eastAsia="Roboto" w:hAnsi="Roboto" w:cs="Roboto"/>
          <w:color w:val="000000"/>
          <w:sz w:val="20"/>
          <w:szCs w:val="20"/>
        </w:rPr>
      </w:pPr>
      <w:r w:rsidRPr="008C1D0D">
        <w:rPr>
          <w:rFonts w:ascii="Roboto" w:eastAsia="Roboto" w:hAnsi="Roboto" w:cs="Roboto"/>
          <w:color w:val="000000"/>
          <w:sz w:val="20"/>
          <w:szCs w:val="20"/>
        </w:rPr>
        <w:t xml:space="preserve">En estas circunstancias, uno de los factores con más notoriedad, es la rivalidad entre los EE. UU. y la República Popular China. Con sistemas políticos y económicos tan divergentes y contrastantes, ambas naciones han experimentado en sus relaciones comerciales, una serie de desencuentros, en particular por el desempeño comercial del país asiático. La nación oriental ha venido acumulando a lo largo de los años un abultado superávit que expone abiertamente las capacidades de competitividad de sus productores en el mercado estadounidense. Las razones de este desequilibrio son múltiples, no obstante, pesan mucho las decisiones económicas tomadas décadas atrás por parte de los líderes políticos de ambas partes. De frente a estas circunstancias, los gobiernos en los EE. UU. han estado envueltos en disputas que tienen como escenario principal a su propio espacio económico. </w:t>
      </w:r>
    </w:p>
    <w:p w14:paraId="12CCABC9" w14:textId="77777777" w:rsidR="008C1D0D" w:rsidRPr="008C1D0D" w:rsidRDefault="008C1D0D" w:rsidP="008C1D0D">
      <w:pPr>
        <w:pBdr>
          <w:top w:val="nil"/>
          <w:left w:val="nil"/>
          <w:bottom w:val="nil"/>
          <w:right w:val="nil"/>
          <w:between w:val="nil"/>
        </w:pBdr>
        <w:jc w:val="both"/>
        <w:rPr>
          <w:rFonts w:ascii="Roboto" w:eastAsia="Roboto" w:hAnsi="Roboto" w:cs="Roboto"/>
          <w:color w:val="000000"/>
          <w:sz w:val="20"/>
          <w:szCs w:val="20"/>
        </w:rPr>
      </w:pPr>
      <w:r w:rsidRPr="008C1D0D">
        <w:rPr>
          <w:rFonts w:ascii="Roboto" w:eastAsia="Roboto" w:hAnsi="Roboto" w:cs="Roboto"/>
          <w:color w:val="000000"/>
          <w:sz w:val="20"/>
          <w:szCs w:val="20"/>
        </w:rPr>
        <w:t xml:space="preserve">Por un lado, el creciente desarrollo, innovación y ventajas comparativas de los productores asiáticos ha irrumpido con fuerza en la geografía del mercado estadounidense en donde desde alimentos, materias primas, productos del sector tecnológico y más, han ganado presencia -precisamente- debido a preferencias de consumo, formación y consolidación de cadenas productivas y de comercialización. Eso incluye también a las inversiones de origen chino en el territorio estadounidense y la fuerza creciente que tiene la diáspora china en la demanda de productos provenientes de oriente lejano. </w:t>
      </w:r>
    </w:p>
    <w:p w14:paraId="50E6FED5" w14:textId="77777777" w:rsidR="008C1D0D" w:rsidRPr="008C1D0D" w:rsidRDefault="008C1D0D" w:rsidP="008C1D0D">
      <w:pPr>
        <w:pBdr>
          <w:top w:val="nil"/>
          <w:left w:val="nil"/>
          <w:bottom w:val="nil"/>
          <w:right w:val="nil"/>
          <w:between w:val="nil"/>
        </w:pBdr>
        <w:jc w:val="both"/>
        <w:rPr>
          <w:rFonts w:ascii="Roboto" w:eastAsia="Roboto" w:hAnsi="Roboto" w:cs="Roboto"/>
          <w:color w:val="000000"/>
          <w:sz w:val="20"/>
          <w:szCs w:val="20"/>
        </w:rPr>
      </w:pPr>
      <w:r w:rsidRPr="008C1D0D">
        <w:rPr>
          <w:rFonts w:ascii="Roboto" w:eastAsia="Roboto" w:hAnsi="Roboto" w:cs="Roboto"/>
          <w:color w:val="000000"/>
          <w:sz w:val="20"/>
          <w:szCs w:val="20"/>
        </w:rPr>
        <w:t>Dadas las constantes confrontaciones en materia comercial, el gobierno norteamericano ha llevado a la implementación de aranceles y barreras no arancelarias que tienen como propósito disuadir a los productores del país asiático para participar en las actividades de comercialización en ese mercado. Por ende, en diferentes ocasiones y sin mayor reserva, las políticas de comercio del gobierno de Washington han apuntado a recuperar posición de mercado y a afianzar su condición de potencia hegemónica. La disputa con Beijing ha oscilado entre aranceles, relocalización de cadenas de suministro y tensiones en el sector tecnológico, todo ello con un firme propósito, el cual es limitar la participación de China en la esfera económica y comercial del marco geopolítico regional en América del norte.</w:t>
      </w:r>
    </w:p>
    <w:p w14:paraId="48CB0FCA" w14:textId="77777777" w:rsidR="008C1D0D" w:rsidRPr="008C1D0D" w:rsidRDefault="008C1D0D" w:rsidP="008C1D0D">
      <w:pPr>
        <w:pBdr>
          <w:top w:val="nil"/>
          <w:left w:val="nil"/>
          <w:bottom w:val="nil"/>
          <w:right w:val="nil"/>
          <w:between w:val="nil"/>
        </w:pBdr>
        <w:jc w:val="both"/>
        <w:rPr>
          <w:rFonts w:ascii="Roboto" w:eastAsia="Roboto" w:hAnsi="Roboto" w:cs="Roboto"/>
          <w:color w:val="000000"/>
          <w:sz w:val="20"/>
          <w:szCs w:val="20"/>
        </w:rPr>
      </w:pPr>
      <w:r w:rsidRPr="008C1D0D">
        <w:rPr>
          <w:rFonts w:ascii="Roboto" w:eastAsia="Roboto" w:hAnsi="Roboto" w:cs="Roboto"/>
          <w:color w:val="000000"/>
          <w:sz w:val="20"/>
          <w:szCs w:val="20"/>
        </w:rPr>
        <w:t xml:space="preserve">Para México, la alta dependencia comercial que se mantiene con los EE UU no sólo define las necesidades de negociación que se requiere afianzar en temas económicos generales, sino que cuando la competencia geopolítica llega a este contexto, se ha hecho patente que hay diversas presiones dirigidas hacia las actividades comerciales que se llevan a cabo con el país asiático. De entrada y ante la presión para disminuir la </w:t>
      </w:r>
      <w:r w:rsidRPr="008C1D0D">
        <w:rPr>
          <w:rFonts w:ascii="Roboto" w:eastAsia="Roboto" w:hAnsi="Roboto" w:cs="Roboto"/>
          <w:color w:val="000000"/>
          <w:sz w:val="20"/>
          <w:szCs w:val="20"/>
        </w:rPr>
        <w:lastRenderedPageBreak/>
        <w:t>dependencia de suministros provenientes de oriente lejano se ha considerado cumplir a plenitud con las reglas de origen, además de que derivado de esto, los productores mexicanos han requerido reestructurar las cadenas de manufactura y suministro en las regiones del país. En este contexto, la posición comercial de México se encuentra en entredicho al tener que ajustar sus patrones comerciales a modo de la orientación geopolítica que mantienen los EE UU.</w:t>
      </w:r>
    </w:p>
    <w:p w14:paraId="31298D21" w14:textId="5997E491" w:rsidR="008C1D0D" w:rsidRPr="009C2FC2" w:rsidRDefault="008C1D0D" w:rsidP="009C2FC2">
      <w:pPr>
        <w:jc w:val="both"/>
      </w:pPr>
      <w:r w:rsidRPr="008C1D0D">
        <w:rPr>
          <w:rFonts w:ascii="Roboto" w:eastAsia="Roboto" w:hAnsi="Roboto" w:cs="Roboto"/>
          <w:color w:val="000000"/>
          <w:sz w:val="20"/>
          <w:szCs w:val="20"/>
        </w:rPr>
        <w:t xml:space="preserve"> En contraste, la relación comercial entre México y China ha tenido igualmente, una tendencia de crecimiento sostenido. Diferentes sectores productivos han requerido constantemente de bienes intermedios y finales que se elaboran en esa nación. Las capacidades de manufactura de los productores chinos han llevado a que cada vez más, las industrias en México demanden </w:t>
      </w:r>
      <w:r w:rsidRPr="009C2FC2">
        <w:rPr>
          <w:rFonts w:ascii="Roboto" w:eastAsia="Roboto" w:hAnsi="Roboto" w:cs="Roboto"/>
          <w:color w:val="000000"/>
          <w:sz w:val="20"/>
          <w:szCs w:val="20"/>
        </w:rPr>
        <w:t>los productos que se elaboran en oriente lejano</w:t>
      </w:r>
      <w:r w:rsidR="0036152C" w:rsidRPr="009C2FC2">
        <w:rPr>
          <w:rFonts w:ascii="Roboto" w:eastAsia="Roboto" w:hAnsi="Roboto" w:cs="Roboto"/>
          <w:color w:val="000000"/>
          <w:sz w:val="20"/>
          <w:szCs w:val="20"/>
        </w:rPr>
        <w:t xml:space="preserve"> </w:t>
      </w:r>
      <w:r w:rsidR="0036152C" w:rsidRPr="009C2FC2">
        <w:rPr>
          <w:rFonts w:ascii="Roboto" w:hAnsi="Roboto"/>
          <w:sz w:val="20"/>
          <w:szCs w:val="20"/>
        </w:rPr>
        <w:t>(Zermeño, 2024)</w:t>
      </w:r>
      <w:r w:rsidRPr="009C2FC2">
        <w:rPr>
          <w:rFonts w:ascii="Roboto" w:eastAsia="Roboto" w:hAnsi="Roboto" w:cs="Roboto"/>
          <w:color w:val="000000"/>
          <w:sz w:val="20"/>
          <w:szCs w:val="20"/>
        </w:rPr>
        <w:t>.</w:t>
      </w:r>
      <w:r w:rsidRPr="008C1D0D">
        <w:rPr>
          <w:rFonts w:ascii="Roboto" w:eastAsia="Roboto" w:hAnsi="Roboto" w:cs="Roboto"/>
          <w:color w:val="000000"/>
          <w:sz w:val="20"/>
          <w:szCs w:val="20"/>
        </w:rPr>
        <w:t xml:space="preserve"> </w:t>
      </w:r>
    </w:p>
    <w:p w14:paraId="2217EF2D" w14:textId="77777777" w:rsidR="008C1D0D" w:rsidRPr="008C1D0D" w:rsidRDefault="008C1D0D" w:rsidP="008C1D0D">
      <w:pPr>
        <w:pBdr>
          <w:top w:val="nil"/>
          <w:left w:val="nil"/>
          <w:bottom w:val="nil"/>
          <w:right w:val="nil"/>
          <w:between w:val="nil"/>
        </w:pBdr>
        <w:jc w:val="both"/>
        <w:rPr>
          <w:rFonts w:ascii="Roboto" w:eastAsia="Roboto" w:hAnsi="Roboto" w:cs="Roboto"/>
          <w:color w:val="000000"/>
          <w:sz w:val="20"/>
          <w:szCs w:val="20"/>
        </w:rPr>
      </w:pPr>
      <w:r w:rsidRPr="008C1D0D">
        <w:rPr>
          <w:rFonts w:ascii="Roboto" w:eastAsia="Roboto" w:hAnsi="Roboto" w:cs="Roboto"/>
          <w:color w:val="000000"/>
          <w:sz w:val="20"/>
          <w:szCs w:val="20"/>
        </w:rPr>
        <w:t xml:space="preserve">Este crecimiento se ha visto asociado también a la participación de compañías chinas que están integradas en las cadenas de suministro, lo cual predispone que en los servicios de logística haya una intervención en las operaciones de las empresas de ese país en las actividades de distribución. De esta manera, las empresas asiáticas participan como proveedoras de productos que en México son ensamblados o incluso transformados, no sólo para el mercado mexicano, sino que también se consideran para la exportación a los EE UU. Esta dinámica crea una interdependencia que está inserta en las ramificaciones del comercio mundial y que ubica, precisamente, a China, como el país al cual debe contenerse. </w:t>
      </w:r>
    </w:p>
    <w:p w14:paraId="0B3F5011" w14:textId="0EDA7B7E" w:rsidR="008C1D0D" w:rsidRPr="008C1D0D" w:rsidRDefault="008C1D0D" w:rsidP="008C1D0D">
      <w:pPr>
        <w:pBdr>
          <w:top w:val="nil"/>
          <w:left w:val="nil"/>
          <w:bottom w:val="nil"/>
          <w:right w:val="nil"/>
          <w:between w:val="nil"/>
        </w:pBdr>
        <w:jc w:val="both"/>
        <w:rPr>
          <w:rFonts w:ascii="Roboto" w:eastAsia="Roboto" w:hAnsi="Roboto" w:cs="Roboto"/>
          <w:color w:val="000000"/>
          <w:sz w:val="20"/>
          <w:szCs w:val="20"/>
        </w:rPr>
      </w:pPr>
      <w:r w:rsidRPr="008C1D0D">
        <w:rPr>
          <w:rFonts w:ascii="Roboto" w:eastAsia="Roboto" w:hAnsi="Roboto" w:cs="Roboto"/>
          <w:color w:val="000000"/>
          <w:sz w:val="20"/>
          <w:szCs w:val="20"/>
        </w:rPr>
        <w:t>La situación de México refleja, precisamente, una tendencia de elevados montos de importación, pues además del enfoque planteado, el valor agregado de los productos chinos y su demanda, han impulsado un fuerte déficit comercial. Aunado a ello, México ha convertido a China como uno de sus principales proveedores y socios comerciales, ya que se han desarrollado nuevos nichos de mercado y oportunidades comerciales para las empresas chinas</w:t>
      </w:r>
      <w:r w:rsidR="001D621D">
        <w:rPr>
          <w:rFonts w:ascii="Roboto" w:eastAsia="Roboto" w:hAnsi="Roboto" w:cs="Roboto"/>
          <w:color w:val="000000"/>
          <w:sz w:val="20"/>
          <w:szCs w:val="20"/>
        </w:rPr>
        <w:t xml:space="preserve"> </w:t>
      </w:r>
      <w:r w:rsidR="001D621D" w:rsidRPr="001D621D">
        <w:rPr>
          <w:rFonts w:ascii="Roboto" w:hAnsi="Roboto"/>
          <w:sz w:val="20"/>
          <w:szCs w:val="20"/>
        </w:rPr>
        <w:t>(Data México, 2024)</w:t>
      </w:r>
      <w:r w:rsidRPr="001D621D">
        <w:rPr>
          <w:rFonts w:ascii="Roboto" w:eastAsia="Roboto" w:hAnsi="Roboto" w:cs="Roboto"/>
          <w:color w:val="000000"/>
          <w:sz w:val="20"/>
          <w:szCs w:val="20"/>
        </w:rPr>
        <w:t>.</w:t>
      </w:r>
      <w:r w:rsidRPr="008C1D0D">
        <w:rPr>
          <w:rFonts w:ascii="Roboto" w:eastAsia="Roboto" w:hAnsi="Roboto" w:cs="Roboto"/>
          <w:color w:val="000000"/>
          <w:sz w:val="20"/>
          <w:szCs w:val="20"/>
        </w:rPr>
        <w:t xml:space="preserve"> Por un lado, esta realidad cubre necesidades económicas y por otro, se convierte en un factor incómodo en la relación con Washington. Además de ser, igualmente un socio estratégico, China se vuelve un foco de tensiones en lo cual será muy complicado mediar. La adaptación a las circunstancias se vislumbra como un proceso que debe enfrentarse. </w:t>
      </w:r>
    </w:p>
    <w:p w14:paraId="27C22A40" w14:textId="16EF50EE" w:rsidR="00021215" w:rsidRPr="008C1D0D" w:rsidRDefault="008C1D0D" w:rsidP="008C1D0D">
      <w:pPr>
        <w:pBdr>
          <w:top w:val="nil"/>
          <w:left w:val="nil"/>
          <w:bottom w:val="nil"/>
          <w:right w:val="nil"/>
          <w:between w:val="nil"/>
        </w:pBdr>
        <w:jc w:val="both"/>
        <w:rPr>
          <w:rFonts w:ascii="Roboto" w:eastAsia="Roboto" w:hAnsi="Roboto" w:cs="Roboto"/>
          <w:color w:val="000000"/>
          <w:sz w:val="20"/>
          <w:szCs w:val="20"/>
        </w:rPr>
      </w:pPr>
      <w:r w:rsidRPr="008C1D0D">
        <w:rPr>
          <w:rFonts w:ascii="Roboto" w:eastAsia="Roboto" w:hAnsi="Roboto" w:cs="Roboto"/>
          <w:color w:val="000000"/>
          <w:sz w:val="20"/>
          <w:szCs w:val="20"/>
        </w:rPr>
        <w:t xml:space="preserve">Ante la revisión y renegociación del tratado con los EE. UU. y Canadá, todos los aspectos de carácter comercial adquieren un peso muy estratégico en las relaciones económicas internacionales de México pues estará en curso la redefinición de los vínculos comerciales con China. La situación, expone, la necesidad de mantener intacta la posición comercial mexicana ante circunstancias de orden geopolítico y la competencia entre potencias. Será relevante que para garantizar una posición proactiva se encuentren alternativas adecuadas para evitar circunstancias adversas y que </w:t>
      </w:r>
      <w:r w:rsidRPr="008C1D0D">
        <w:rPr>
          <w:rFonts w:ascii="Roboto" w:eastAsia="Roboto" w:hAnsi="Roboto" w:cs="Roboto"/>
          <w:color w:val="000000"/>
          <w:sz w:val="20"/>
          <w:szCs w:val="20"/>
        </w:rPr>
        <w:t>trastoquen el contexto del comercio internacional en el que se desempeña México.</w:t>
      </w:r>
    </w:p>
    <w:p w14:paraId="1294BEAE" w14:textId="211E2E91" w:rsidR="00854F43" w:rsidRDefault="00EB4DCB">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INTERCAMBIO COMERCIAL MEXICO-CHINA 2020-2025</w:t>
      </w:r>
      <w:r w:rsidR="00E43327">
        <w:rPr>
          <w:rFonts w:ascii="Roboto" w:eastAsia="Roboto" w:hAnsi="Roboto" w:cs="Roboto"/>
          <w:b/>
          <w:bCs/>
          <w:color w:val="000000"/>
          <w:sz w:val="20"/>
          <w:szCs w:val="20"/>
        </w:rPr>
        <w:t>.</w:t>
      </w:r>
    </w:p>
    <w:p w14:paraId="304E1E49" w14:textId="77777777" w:rsidR="00E43327" w:rsidRDefault="00E43327">
      <w:pPr>
        <w:pBdr>
          <w:top w:val="nil"/>
          <w:left w:val="nil"/>
          <w:bottom w:val="nil"/>
          <w:right w:val="nil"/>
          <w:between w:val="nil"/>
        </w:pBdr>
        <w:jc w:val="both"/>
        <w:rPr>
          <w:rFonts w:ascii="Roboto" w:eastAsia="Roboto" w:hAnsi="Roboto" w:cs="Roboto"/>
          <w:b/>
          <w:bCs/>
          <w:color w:val="000000"/>
          <w:sz w:val="20"/>
          <w:szCs w:val="20"/>
        </w:rPr>
      </w:pPr>
    </w:p>
    <w:p w14:paraId="2447F72C" w14:textId="17E689A6" w:rsidR="00EB4DCB" w:rsidRDefault="00EB4DCB">
      <w:pPr>
        <w:pBdr>
          <w:top w:val="nil"/>
          <w:left w:val="nil"/>
          <w:bottom w:val="nil"/>
          <w:right w:val="nil"/>
          <w:between w:val="nil"/>
        </w:pBdr>
        <w:jc w:val="both"/>
        <w:rPr>
          <w:rFonts w:ascii="Roboto" w:eastAsia="Roboto" w:hAnsi="Roboto" w:cs="Roboto"/>
          <w:b/>
          <w:bCs/>
          <w:color w:val="000000"/>
          <w:sz w:val="20"/>
          <w:szCs w:val="20"/>
        </w:rPr>
      </w:pPr>
      <w:r w:rsidRPr="00EB4DCB">
        <w:rPr>
          <w:rFonts w:eastAsia="Roboto"/>
        </w:rPr>
        <w:drawing>
          <wp:inline distT="0" distB="0" distL="0" distR="0" wp14:anchorId="0785D4F4" wp14:editId="661C2AFB">
            <wp:extent cx="3011170" cy="9601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1170" cy="960120"/>
                    </a:xfrm>
                    <a:prstGeom prst="rect">
                      <a:avLst/>
                    </a:prstGeom>
                    <a:noFill/>
                    <a:ln>
                      <a:noFill/>
                    </a:ln>
                  </pic:spPr>
                </pic:pic>
              </a:graphicData>
            </a:graphic>
          </wp:inline>
        </w:drawing>
      </w:r>
    </w:p>
    <w:p w14:paraId="37BFFC48" w14:textId="77777777" w:rsidR="003430E7" w:rsidRDefault="003430E7">
      <w:pPr>
        <w:pBdr>
          <w:top w:val="nil"/>
          <w:left w:val="nil"/>
          <w:bottom w:val="nil"/>
          <w:right w:val="nil"/>
          <w:between w:val="nil"/>
        </w:pBdr>
        <w:jc w:val="both"/>
        <w:rPr>
          <w:rFonts w:ascii="Roboto" w:eastAsia="Roboto" w:hAnsi="Roboto" w:cs="Roboto"/>
          <w:color w:val="000000"/>
          <w:sz w:val="20"/>
          <w:szCs w:val="20"/>
        </w:rPr>
      </w:pPr>
      <w:r w:rsidRPr="003D1DD2">
        <w:rPr>
          <w:rFonts w:ascii="Roboto" w:eastAsia="Roboto" w:hAnsi="Roboto" w:cs="Roboto"/>
          <w:b/>
          <w:bCs/>
          <w:color w:val="000000"/>
          <w:sz w:val="20"/>
          <w:szCs w:val="20"/>
        </w:rPr>
        <w:t>RESULTADOS</w:t>
      </w:r>
      <w:r>
        <w:rPr>
          <w:rFonts w:ascii="Roboto" w:eastAsia="Roboto" w:hAnsi="Roboto" w:cs="Roboto"/>
          <w:color w:val="000000"/>
          <w:sz w:val="20"/>
          <w:szCs w:val="20"/>
        </w:rPr>
        <w:t>.</w:t>
      </w:r>
    </w:p>
    <w:p w14:paraId="655F4EB3" w14:textId="102324B8" w:rsidR="00854F43" w:rsidRDefault="003430E7" w:rsidP="003430E7">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 xml:space="preserve">1.-México se encuentra </w:t>
      </w:r>
      <w:r w:rsidR="003D1DD2">
        <w:rPr>
          <w:rFonts w:ascii="Roboto" w:eastAsia="Roboto" w:hAnsi="Roboto" w:cs="Roboto"/>
          <w:color w:val="000000"/>
          <w:sz w:val="20"/>
          <w:szCs w:val="20"/>
        </w:rPr>
        <w:t>dentro de una disputa geopolítica y geoeconómica entre los EE UU y China</w:t>
      </w:r>
      <w:r w:rsidR="00DC7BAE">
        <w:rPr>
          <w:rFonts w:ascii="Roboto" w:eastAsia="Roboto" w:hAnsi="Roboto" w:cs="Roboto"/>
          <w:color w:val="000000"/>
          <w:sz w:val="20"/>
          <w:szCs w:val="20"/>
        </w:rPr>
        <w:t xml:space="preserve">. La estructura del comercio exterior </w:t>
      </w:r>
      <w:r w:rsidR="00ED2CA7">
        <w:rPr>
          <w:rFonts w:ascii="Roboto" w:eastAsia="Roboto" w:hAnsi="Roboto" w:cs="Roboto"/>
          <w:color w:val="000000"/>
          <w:sz w:val="20"/>
          <w:szCs w:val="20"/>
        </w:rPr>
        <w:t>muestra que</w:t>
      </w:r>
      <w:r w:rsidR="00DC7BAE">
        <w:rPr>
          <w:rFonts w:ascii="Roboto" w:eastAsia="Roboto" w:hAnsi="Roboto" w:cs="Roboto"/>
          <w:color w:val="000000"/>
          <w:sz w:val="20"/>
          <w:szCs w:val="20"/>
        </w:rPr>
        <w:t xml:space="preserve"> ambas </w:t>
      </w:r>
      <w:r w:rsidR="00633DF6">
        <w:rPr>
          <w:rFonts w:ascii="Roboto" w:eastAsia="Roboto" w:hAnsi="Roboto" w:cs="Roboto"/>
          <w:color w:val="000000"/>
          <w:sz w:val="20"/>
          <w:szCs w:val="20"/>
        </w:rPr>
        <w:t xml:space="preserve">potencias están entre </w:t>
      </w:r>
      <w:r w:rsidR="00DC7BAE">
        <w:rPr>
          <w:rFonts w:ascii="Roboto" w:eastAsia="Roboto" w:hAnsi="Roboto" w:cs="Roboto"/>
          <w:color w:val="000000"/>
          <w:sz w:val="20"/>
          <w:szCs w:val="20"/>
        </w:rPr>
        <w:t>sus principales socios</w:t>
      </w:r>
      <w:r w:rsidR="00ED2CA7">
        <w:rPr>
          <w:rFonts w:ascii="Roboto" w:eastAsia="Roboto" w:hAnsi="Roboto" w:cs="Roboto"/>
          <w:color w:val="000000"/>
          <w:sz w:val="20"/>
          <w:szCs w:val="20"/>
        </w:rPr>
        <w:t xml:space="preserve"> comerciales</w:t>
      </w:r>
      <w:r w:rsidR="00DC7BAE">
        <w:rPr>
          <w:rFonts w:ascii="Roboto" w:eastAsia="Roboto" w:hAnsi="Roboto" w:cs="Roboto"/>
          <w:color w:val="000000"/>
          <w:sz w:val="20"/>
          <w:szCs w:val="20"/>
        </w:rPr>
        <w:t>.</w:t>
      </w:r>
    </w:p>
    <w:p w14:paraId="6C526D12" w14:textId="500F034B" w:rsidR="00633DF6" w:rsidRDefault="00633DF6" w:rsidP="003430E7">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 xml:space="preserve">2.-Los saldos del comercio exterior de México son cada vez más </w:t>
      </w:r>
      <w:r w:rsidR="00552E48">
        <w:rPr>
          <w:rFonts w:ascii="Roboto" w:eastAsia="Roboto" w:hAnsi="Roboto" w:cs="Roboto"/>
          <w:color w:val="000000"/>
          <w:sz w:val="20"/>
          <w:szCs w:val="20"/>
        </w:rPr>
        <w:t xml:space="preserve">profundos en el déficit con China, lo cual propone que ante la próxima negociación del TMEC, </w:t>
      </w:r>
      <w:r w:rsidR="008F1C04">
        <w:rPr>
          <w:rFonts w:ascii="Roboto" w:eastAsia="Roboto" w:hAnsi="Roboto" w:cs="Roboto"/>
          <w:color w:val="000000"/>
          <w:sz w:val="20"/>
          <w:szCs w:val="20"/>
        </w:rPr>
        <w:t xml:space="preserve">los estrategas mexicanos deben </w:t>
      </w:r>
      <w:r w:rsidR="005D7919">
        <w:rPr>
          <w:rFonts w:ascii="Roboto" w:eastAsia="Roboto" w:hAnsi="Roboto" w:cs="Roboto"/>
          <w:color w:val="000000"/>
          <w:sz w:val="20"/>
          <w:szCs w:val="20"/>
        </w:rPr>
        <w:t xml:space="preserve">considerar la </w:t>
      </w:r>
      <w:r w:rsidR="009D2A41">
        <w:rPr>
          <w:rFonts w:ascii="Roboto" w:eastAsia="Roboto" w:hAnsi="Roboto" w:cs="Roboto"/>
          <w:color w:val="000000"/>
          <w:sz w:val="20"/>
          <w:szCs w:val="20"/>
        </w:rPr>
        <w:t>realidad que implica la dependencia de importaciones provenientes del país oriental</w:t>
      </w:r>
      <w:r w:rsidR="00B57487">
        <w:rPr>
          <w:rFonts w:ascii="Roboto" w:eastAsia="Roboto" w:hAnsi="Roboto" w:cs="Roboto"/>
          <w:color w:val="000000"/>
          <w:sz w:val="20"/>
          <w:szCs w:val="20"/>
        </w:rPr>
        <w:t xml:space="preserve"> y manejar el tema con reservas ante la presión diplomática que esto generará.</w:t>
      </w:r>
    </w:p>
    <w:p w14:paraId="75C76E3B" w14:textId="4DE4F838" w:rsidR="008F1C04" w:rsidRDefault="008F1C04" w:rsidP="003430E7">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 xml:space="preserve">3.-México deberá desarrollar una estructura de producción y proveeduría con mayor contenido regional para </w:t>
      </w:r>
      <w:r w:rsidR="008119EC">
        <w:rPr>
          <w:rFonts w:ascii="Roboto" w:eastAsia="Roboto" w:hAnsi="Roboto" w:cs="Roboto"/>
          <w:color w:val="000000"/>
          <w:sz w:val="20"/>
          <w:szCs w:val="20"/>
        </w:rPr>
        <w:t xml:space="preserve">reemplazar progresivamente </w:t>
      </w:r>
      <w:r w:rsidR="00F97DB8">
        <w:rPr>
          <w:rFonts w:ascii="Roboto" w:eastAsia="Roboto" w:hAnsi="Roboto" w:cs="Roboto"/>
          <w:color w:val="000000"/>
          <w:sz w:val="20"/>
          <w:szCs w:val="20"/>
        </w:rPr>
        <w:t>aqu</w:t>
      </w:r>
      <w:r w:rsidR="00513641">
        <w:rPr>
          <w:rFonts w:ascii="Roboto" w:eastAsia="Roboto" w:hAnsi="Roboto" w:cs="Roboto"/>
          <w:color w:val="000000"/>
          <w:sz w:val="20"/>
          <w:szCs w:val="20"/>
        </w:rPr>
        <w:t>e</w:t>
      </w:r>
      <w:r w:rsidR="00F97DB8">
        <w:rPr>
          <w:rFonts w:ascii="Roboto" w:eastAsia="Roboto" w:hAnsi="Roboto" w:cs="Roboto"/>
          <w:color w:val="000000"/>
          <w:sz w:val="20"/>
          <w:szCs w:val="20"/>
        </w:rPr>
        <w:t xml:space="preserve">llas actividades de manufactura que impliquen la participación de </w:t>
      </w:r>
      <w:r w:rsidR="00513641">
        <w:rPr>
          <w:rFonts w:ascii="Roboto" w:eastAsia="Roboto" w:hAnsi="Roboto" w:cs="Roboto"/>
          <w:color w:val="000000"/>
          <w:sz w:val="20"/>
          <w:szCs w:val="20"/>
        </w:rPr>
        <w:t>productores chinos.</w:t>
      </w:r>
    </w:p>
    <w:p w14:paraId="54E3DA7D" w14:textId="37CD6E47" w:rsidR="00513641" w:rsidRDefault="00513641" w:rsidP="003430E7">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4.-</w:t>
      </w:r>
      <w:r w:rsidR="00F4371E">
        <w:rPr>
          <w:rFonts w:ascii="Roboto" w:eastAsia="Roboto" w:hAnsi="Roboto" w:cs="Roboto"/>
          <w:color w:val="000000"/>
          <w:sz w:val="20"/>
          <w:szCs w:val="20"/>
        </w:rPr>
        <w:t>México debe estar preparado para todos los escenarios de presió</w:t>
      </w:r>
      <w:r w:rsidR="00AB32EE">
        <w:rPr>
          <w:rFonts w:ascii="Roboto" w:eastAsia="Roboto" w:hAnsi="Roboto" w:cs="Roboto"/>
          <w:color w:val="000000"/>
          <w:sz w:val="20"/>
          <w:szCs w:val="20"/>
        </w:rPr>
        <w:t>n</w:t>
      </w:r>
      <w:r w:rsidR="00F4371E">
        <w:rPr>
          <w:rFonts w:ascii="Roboto" w:eastAsia="Roboto" w:hAnsi="Roboto" w:cs="Roboto"/>
          <w:color w:val="000000"/>
          <w:sz w:val="20"/>
          <w:szCs w:val="20"/>
        </w:rPr>
        <w:t xml:space="preserve"> ante las eventuales </w:t>
      </w:r>
      <w:r w:rsidR="00AB32EE">
        <w:rPr>
          <w:rFonts w:ascii="Roboto" w:eastAsia="Roboto" w:hAnsi="Roboto" w:cs="Roboto"/>
          <w:color w:val="000000"/>
          <w:sz w:val="20"/>
          <w:szCs w:val="20"/>
        </w:rPr>
        <w:t>posturas oficiales de ambas partes.</w:t>
      </w:r>
    </w:p>
    <w:p w14:paraId="2177F528" w14:textId="77777777" w:rsidR="00854F43" w:rsidRDefault="00854F43">
      <w:pPr>
        <w:jc w:val="both"/>
        <w:rPr>
          <w:rFonts w:ascii="Roboto" w:eastAsia="Roboto" w:hAnsi="Roboto" w:cs="Roboto"/>
          <w:sz w:val="20"/>
          <w:szCs w:val="20"/>
        </w:rPr>
      </w:pPr>
    </w:p>
    <w:p w14:paraId="1204CCB6" w14:textId="0D91E0F7" w:rsidR="00854F43" w:rsidRDefault="00A276AE">
      <w:pPr>
        <w:jc w:val="both"/>
        <w:rPr>
          <w:rFonts w:ascii="Roboto" w:eastAsia="Roboto" w:hAnsi="Roboto" w:cs="Roboto"/>
          <w:b/>
          <w:bCs/>
          <w:sz w:val="20"/>
          <w:szCs w:val="20"/>
        </w:rPr>
      </w:pPr>
      <w:r>
        <w:rPr>
          <w:rFonts w:ascii="Roboto" w:eastAsia="Roboto" w:hAnsi="Roboto" w:cs="Roboto"/>
          <w:b/>
          <w:bCs/>
          <w:sz w:val="20"/>
          <w:szCs w:val="20"/>
        </w:rPr>
        <w:t>REFERENCIAS</w:t>
      </w:r>
      <w:r w:rsidR="003661F4">
        <w:rPr>
          <w:rFonts w:ascii="Roboto" w:eastAsia="Roboto" w:hAnsi="Roboto" w:cs="Roboto"/>
          <w:b/>
          <w:bCs/>
          <w:sz w:val="20"/>
          <w:szCs w:val="20"/>
        </w:rPr>
        <w:t>.</w:t>
      </w:r>
    </w:p>
    <w:p w14:paraId="6AED95D2" w14:textId="77777777" w:rsidR="00AB32EE" w:rsidRDefault="00AB32EE">
      <w:pPr>
        <w:rPr>
          <w:rFonts w:ascii="Roboto" w:eastAsia="Roboto" w:hAnsi="Roboto" w:cs="Roboto"/>
          <w:sz w:val="20"/>
          <w:szCs w:val="20"/>
        </w:rPr>
      </w:pPr>
    </w:p>
    <w:p w14:paraId="6E8D9D32" w14:textId="71311F1A" w:rsidR="00D25235" w:rsidRPr="00D25235" w:rsidRDefault="00D25235" w:rsidP="00D25235">
      <w:pPr>
        <w:rPr>
          <w:rFonts w:ascii="Roboto" w:eastAsia="Roboto" w:hAnsi="Roboto" w:cs="Roboto"/>
          <w:sz w:val="20"/>
          <w:szCs w:val="20"/>
        </w:rPr>
      </w:pPr>
      <w:r w:rsidRPr="00D25235">
        <w:rPr>
          <w:rFonts w:ascii="Roboto" w:eastAsia="Roboto" w:hAnsi="Roboto" w:cs="Roboto"/>
          <w:sz w:val="20"/>
          <w:szCs w:val="20"/>
        </w:rPr>
        <w:t>DATA México</w:t>
      </w:r>
      <w:r w:rsidR="0076281C">
        <w:rPr>
          <w:rFonts w:ascii="Roboto" w:eastAsia="Roboto" w:hAnsi="Roboto" w:cs="Roboto"/>
          <w:sz w:val="20"/>
          <w:szCs w:val="20"/>
        </w:rPr>
        <w:t xml:space="preserve">. </w:t>
      </w:r>
      <w:r w:rsidR="0076281C" w:rsidRPr="0076281C">
        <w:rPr>
          <w:rFonts w:ascii="Roboto" w:eastAsia="Roboto" w:hAnsi="Roboto" w:cs="Roboto"/>
          <w:sz w:val="20"/>
          <w:szCs w:val="20"/>
        </w:rPr>
        <w:t>Info</w:t>
      </w:r>
      <w:r w:rsidR="0076281C">
        <w:rPr>
          <w:rFonts w:ascii="Roboto" w:eastAsia="Roboto" w:hAnsi="Roboto" w:cs="Roboto"/>
          <w:sz w:val="20"/>
          <w:szCs w:val="20"/>
        </w:rPr>
        <w:t>rmación del comercio México-China</w:t>
      </w:r>
      <w:r w:rsidRPr="00D25235">
        <w:rPr>
          <w:rFonts w:ascii="Roboto" w:eastAsia="Roboto" w:hAnsi="Roboto" w:cs="Roboto"/>
          <w:sz w:val="20"/>
          <w:szCs w:val="20"/>
        </w:rPr>
        <w:t xml:space="preserve"> </w:t>
      </w:r>
      <w:hyperlink r:id="rId10" w:history="1">
        <w:r w:rsidR="00054903" w:rsidRPr="00D25235">
          <w:rPr>
            <w:rStyle w:val="Hipervnculo"/>
            <w:rFonts w:ascii="Roboto" w:eastAsia="Roboto" w:hAnsi="Roboto" w:cs="Roboto"/>
            <w:sz w:val="20"/>
            <w:szCs w:val="20"/>
          </w:rPr>
          <w:t>https://www.economia.gob.mx/datamexico/es/profile/country/chinachn?foreignTradeOption1=salesOption&amp;foreignYears1=2024</w:t>
        </w:r>
      </w:hyperlink>
    </w:p>
    <w:p w14:paraId="49D489B0" w14:textId="59ADDD7C" w:rsidR="00D25235" w:rsidRPr="00D25235" w:rsidRDefault="00D25235" w:rsidP="00D25235">
      <w:pPr>
        <w:rPr>
          <w:rFonts w:ascii="Roboto" w:eastAsia="Roboto" w:hAnsi="Roboto" w:cs="Roboto"/>
          <w:b/>
          <w:bCs/>
          <w:sz w:val="20"/>
          <w:szCs w:val="20"/>
        </w:rPr>
      </w:pPr>
      <w:r w:rsidRPr="00D25235">
        <w:rPr>
          <w:rFonts w:ascii="Roboto" w:eastAsia="Roboto" w:hAnsi="Roboto" w:cs="Roboto"/>
          <w:sz w:val="20"/>
          <w:szCs w:val="20"/>
        </w:rPr>
        <w:t>Dussel Peters, E. (2025).</w:t>
      </w:r>
      <w:r w:rsidRPr="00D25235">
        <w:rPr>
          <w:rFonts w:ascii="Roboto" w:eastAsia="Roboto" w:hAnsi="Roboto" w:cs="Roboto"/>
          <w:i/>
          <w:iCs/>
          <w:sz w:val="20"/>
          <w:szCs w:val="20"/>
        </w:rPr>
        <w:t xml:space="preserve"> </w:t>
      </w:r>
      <w:r w:rsidRPr="00D25235">
        <w:rPr>
          <w:rFonts w:ascii="Roboto" w:eastAsia="Roboto" w:hAnsi="Roboto" w:cs="Roboto"/>
          <w:sz w:val="20"/>
          <w:szCs w:val="20"/>
        </w:rPr>
        <w:t xml:space="preserve">México ante el </w:t>
      </w:r>
      <w:proofErr w:type="spellStart"/>
      <w:r w:rsidRPr="00D25235">
        <w:rPr>
          <w:rFonts w:ascii="Roboto" w:eastAsia="Roboto" w:hAnsi="Roboto" w:cs="Roboto"/>
          <w:sz w:val="20"/>
          <w:szCs w:val="20"/>
        </w:rPr>
        <w:t>security-shoring</w:t>
      </w:r>
      <w:proofErr w:type="spellEnd"/>
      <w:r w:rsidRPr="00D25235">
        <w:rPr>
          <w:rFonts w:ascii="Roboto" w:eastAsia="Roboto" w:hAnsi="Roboto" w:cs="Roboto"/>
          <w:sz w:val="20"/>
          <w:szCs w:val="20"/>
        </w:rPr>
        <w:t xml:space="preserve"> y la confrontación entre Estados Unidos y China: Condiciones y desafíos ante las inversiones chinas. Norteamérica, Revista Académica del CISAN-UNAM, 20(2)</w:t>
      </w:r>
      <w:r w:rsidR="00054903">
        <w:rPr>
          <w:rFonts w:ascii="Roboto" w:eastAsia="Roboto" w:hAnsi="Roboto" w:cs="Roboto"/>
          <w:sz w:val="20"/>
          <w:szCs w:val="20"/>
        </w:rPr>
        <w:t xml:space="preserve">. </w:t>
      </w:r>
      <w:hyperlink r:id="rId11" w:history="1">
        <w:r w:rsidR="003661F4" w:rsidRPr="00D25235">
          <w:rPr>
            <w:rStyle w:val="Hipervnculo"/>
            <w:rFonts w:ascii="Roboto" w:eastAsia="Roboto" w:hAnsi="Roboto" w:cs="Roboto"/>
            <w:sz w:val="20"/>
            <w:szCs w:val="20"/>
          </w:rPr>
          <w:t>https://doi.org/10.22201/cisan.24487228e.2025.2.755</w:t>
        </w:r>
      </w:hyperlink>
      <w:r w:rsidRPr="00D25235">
        <w:rPr>
          <w:rFonts w:ascii="Roboto" w:eastAsia="Roboto" w:hAnsi="Roboto" w:cs="Roboto"/>
          <w:b/>
          <w:bCs/>
          <w:sz w:val="20"/>
          <w:szCs w:val="20"/>
        </w:rPr>
        <w:t xml:space="preserve"> </w:t>
      </w:r>
    </w:p>
    <w:p w14:paraId="79B30EF5" w14:textId="77777777" w:rsidR="00D25235" w:rsidRPr="00D25235" w:rsidRDefault="00D25235" w:rsidP="00D25235">
      <w:pPr>
        <w:rPr>
          <w:rFonts w:ascii="Roboto" w:eastAsia="Roboto" w:hAnsi="Roboto" w:cs="Roboto"/>
          <w:sz w:val="20"/>
          <w:szCs w:val="20"/>
          <w:lang w:val="en-US"/>
        </w:rPr>
      </w:pPr>
      <w:r w:rsidRPr="00D25235">
        <w:rPr>
          <w:rFonts w:ascii="Roboto" w:eastAsia="Roboto" w:hAnsi="Roboto" w:cs="Roboto"/>
          <w:sz w:val="20"/>
          <w:szCs w:val="20"/>
          <w:lang w:val="en-US"/>
        </w:rPr>
        <w:t>Ravenhill, J., (2020). Global Political Economy (6th ed.). Oxford University Press. Cap. 2.</w:t>
      </w:r>
    </w:p>
    <w:p w14:paraId="6551CE07" w14:textId="77777777" w:rsidR="00D25235" w:rsidRPr="00D25235" w:rsidRDefault="00D25235" w:rsidP="00D25235">
      <w:pPr>
        <w:rPr>
          <w:rFonts w:ascii="Roboto" w:eastAsia="Roboto" w:hAnsi="Roboto" w:cs="Roboto"/>
          <w:sz w:val="20"/>
          <w:szCs w:val="20"/>
        </w:rPr>
      </w:pPr>
      <w:proofErr w:type="spellStart"/>
      <w:r w:rsidRPr="00D25235">
        <w:rPr>
          <w:rFonts w:ascii="Roboto" w:eastAsia="Roboto" w:hAnsi="Roboto" w:cs="Roboto"/>
          <w:sz w:val="20"/>
          <w:szCs w:val="20"/>
          <w:lang w:val="en-US"/>
        </w:rPr>
        <w:t>Zermeño</w:t>
      </w:r>
      <w:proofErr w:type="spellEnd"/>
      <w:r w:rsidRPr="00D25235">
        <w:rPr>
          <w:rFonts w:ascii="Roboto" w:eastAsia="Roboto" w:hAnsi="Roboto" w:cs="Roboto"/>
          <w:sz w:val="20"/>
          <w:szCs w:val="20"/>
          <w:lang w:val="en-US"/>
        </w:rPr>
        <w:t xml:space="preserve">, M. C. H. (2024). </w:t>
      </w:r>
      <w:r w:rsidRPr="00D25235">
        <w:rPr>
          <w:rFonts w:ascii="Roboto" w:eastAsia="Roboto" w:hAnsi="Roboto" w:cs="Roboto"/>
          <w:sz w:val="20"/>
          <w:szCs w:val="20"/>
        </w:rPr>
        <w:t xml:space="preserve">China: retos y oportunidades en la relación comercial y de inversión con México. Revista Mexicana de Política Exterior. </w:t>
      </w:r>
      <w:hyperlink r:id="rId12" w:history="1">
        <w:r w:rsidRPr="00D25235">
          <w:rPr>
            <w:rStyle w:val="Hipervnculo"/>
            <w:rFonts w:ascii="Roboto" w:eastAsia="Roboto" w:hAnsi="Roboto" w:cs="Roboto"/>
            <w:sz w:val="20"/>
            <w:szCs w:val="20"/>
          </w:rPr>
          <w:t>https://re.sre.gob.mx/rmpe/index.php/rmpe/article/view/2671</w:t>
        </w:r>
      </w:hyperlink>
    </w:p>
    <w:p w14:paraId="2D8ACAC4" w14:textId="77777777" w:rsidR="00854F43" w:rsidRPr="008E085F" w:rsidRDefault="00854F43">
      <w:pPr>
        <w:jc w:val="both"/>
        <w:rPr>
          <w:rFonts w:ascii="Roboto" w:eastAsia="Roboto" w:hAnsi="Roboto" w:cs="Roboto"/>
          <w:sz w:val="20"/>
          <w:szCs w:val="20"/>
          <w:lang w:val="en-US"/>
        </w:rPr>
      </w:pPr>
    </w:p>
    <w:p w14:paraId="4091986C" w14:textId="77777777" w:rsidR="00854F43" w:rsidRPr="008E085F" w:rsidRDefault="00854F43">
      <w:pPr>
        <w:jc w:val="both"/>
        <w:rPr>
          <w:rFonts w:ascii="Roboto" w:eastAsia="Roboto" w:hAnsi="Roboto" w:cs="Roboto"/>
          <w:sz w:val="20"/>
          <w:szCs w:val="20"/>
          <w:lang w:val="en-US"/>
        </w:rPr>
      </w:pPr>
    </w:p>
    <w:p w14:paraId="2C912B32" w14:textId="77777777" w:rsidR="00854F43" w:rsidRPr="008E085F" w:rsidRDefault="00854F43">
      <w:pPr>
        <w:jc w:val="both"/>
        <w:rPr>
          <w:rFonts w:ascii="Roboto" w:eastAsia="Roboto" w:hAnsi="Roboto" w:cs="Roboto"/>
          <w:sz w:val="20"/>
          <w:szCs w:val="20"/>
          <w:lang w:val="en-US"/>
        </w:rPr>
        <w:sectPr w:rsidR="00854F43" w:rsidRPr="008E085F">
          <w:type w:val="continuous"/>
          <w:pgSz w:w="11906" w:h="16838"/>
          <w:pgMar w:top="1134" w:right="851" w:bottom="1134" w:left="851" w:header="357" w:footer="720" w:gutter="0"/>
          <w:cols w:num="2" w:space="720" w:equalWidth="0">
            <w:col w:w="4934" w:space="335"/>
            <w:col w:w="4934" w:space="0"/>
          </w:cols>
        </w:sectPr>
      </w:pPr>
    </w:p>
    <w:p w14:paraId="5832ED56" w14:textId="77777777" w:rsidR="00854F43" w:rsidRDefault="00A276AE">
      <w:pPr>
        <w:spacing w:before="240"/>
        <w:jc w:val="center"/>
        <w:rPr>
          <w:rFonts w:ascii="Roboto" w:eastAsia="Roboto" w:hAnsi="Roboto" w:cs="Roboto"/>
          <w:b/>
          <w:bCs/>
          <w:color w:val="FF0000"/>
          <w:sz w:val="20"/>
          <w:szCs w:val="20"/>
        </w:rPr>
      </w:pPr>
      <w:r w:rsidRPr="008E085F">
        <w:rPr>
          <w:rFonts w:ascii="Roboto" w:eastAsia="Roboto" w:hAnsi="Roboto" w:cs="Roboto"/>
          <w:b/>
          <w:bCs/>
          <w:color w:val="FF0000"/>
          <w:sz w:val="20"/>
          <w:szCs w:val="20"/>
          <w:lang w:val="en-US"/>
        </w:rPr>
        <w:lastRenderedPageBreak/>
        <w:t xml:space="preserve">NO ELIMINAR ESTA HOJA DEL ARCHIVO. </w:t>
      </w:r>
      <w:r>
        <w:rPr>
          <w:rFonts w:ascii="Roboto" w:eastAsia="Roboto" w:hAnsi="Roboto" w:cs="Roboto"/>
          <w:b/>
          <w:bCs/>
          <w:color w:val="FF0000"/>
          <w:sz w:val="20"/>
          <w:szCs w:val="20"/>
        </w:rPr>
        <w:t>ENVÍE EL ARCHIVO COMPLETO</w:t>
      </w:r>
    </w:p>
    <w:p w14:paraId="34C7E3B8" w14:textId="77777777" w:rsidR="00854F43" w:rsidRDefault="00A276AE">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7377DDC3" w14:textId="77777777" w:rsidR="00854F43" w:rsidRDefault="00A276AE">
      <w:pPr>
        <w:spacing w:before="240"/>
        <w:jc w:val="center"/>
        <w:rPr>
          <w:rFonts w:ascii="Roboto" w:eastAsia="Roboto" w:hAnsi="Roboto" w:cs="Roboto"/>
          <w:b/>
          <w:bCs/>
          <w:sz w:val="20"/>
          <w:szCs w:val="20"/>
        </w:rPr>
      </w:pPr>
      <w:r>
        <w:rPr>
          <w:rFonts w:ascii="Roboto" w:eastAsia="Roboto" w:hAnsi="Roboto" w:cs="Roboto"/>
          <w:b/>
          <w:bCs/>
          <w:sz w:val="20"/>
          <w:szCs w:val="20"/>
        </w:rPr>
        <w:t xml:space="preserve">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p>
    <w:p w14:paraId="58836C76" w14:textId="77777777" w:rsidR="00854F43" w:rsidRDefault="00A276AE">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 xml:space="preserve">Memorias del 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r>
        <w:rPr>
          <w:rFonts w:ascii="Roboto" w:eastAsia="Roboto" w:hAnsi="Roboto" w:cs="Roboto"/>
          <w:sz w:val="20"/>
          <w:szCs w:val="20"/>
        </w:rPr>
        <w:t>, los autores declaran y aceptan lo siguiente:</w:t>
      </w:r>
    </w:p>
    <w:p w14:paraId="44E4D6FD" w14:textId="77777777" w:rsidR="00854F43" w:rsidRDefault="00A276AE">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1A1885DF" w14:textId="77777777" w:rsidR="00854F43" w:rsidRDefault="00A276AE">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39D48D4F" w14:textId="77777777" w:rsidR="00854F43" w:rsidRDefault="00A276AE">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2A3DEC9D" w14:textId="77777777" w:rsidR="00854F43" w:rsidRDefault="00A276AE">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24AAFF81" w14:textId="77777777" w:rsidR="00854F43" w:rsidRDefault="00A276AE">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4F18C1BE" w14:textId="77777777" w:rsidR="00854F43" w:rsidRDefault="00A276AE">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03CD739D" w14:textId="77777777" w:rsidR="00854F43" w:rsidRDefault="00A276AE">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7BD8FC7D" w14:textId="77777777" w:rsidR="00854F43" w:rsidRDefault="00A276AE">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4E5B38ED" w14:textId="77777777" w:rsidR="00854F43" w:rsidRDefault="00A276AE">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1CA3BD22" w14:textId="77777777" w:rsidR="00854F43" w:rsidRDefault="00A276AE">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w:t>
      </w:r>
      <w:proofErr w:type="spellStart"/>
      <w:r>
        <w:rPr>
          <w:rFonts w:ascii="Roboto" w:eastAsia="Roboto" w:hAnsi="Roboto" w:cs="Roboto"/>
          <w:sz w:val="20"/>
          <w:szCs w:val="20"/>
        </w:rPr>
        <w:t>Regnum</w:t>
      </w:r>
      <w:proofErr w:type="spellEnd"/>
      <w:r>
        <w:rPr>
          <w:rFonts w:ascii="Roboto" w:eastAsia="Roboto" w:hAnsi="Roboto" w:cs="Roboto"/>
          <w:sz w:val="20"/>
          <w:szCs w:val="20"/>
        </w:rPr>
        <w:t xml:space="preserve"> Christi.</w:t>
      </w:r>
    </w:p>
    <w:p w14:paraId="509B7D72" w14:textId="77777777" w:rsidR="00854F43" w:rsidRDefault="00A276AE">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78284BD0" w14:textId="77777777" w:rsidR="00854F43" w:rsidRDefault="00A276AE">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3CF15CC1" w14:textId="77777777" w:rsidR="00854F43" w:rsidRDefault="00A276AE">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12802B10" w14:textId="77777777" w:rsidR="00854F43" w:rsidRDefault="00A276AE">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5A00BB36" w14:textId="77777777" w:rsidR="00854F43" w:rsidRDefault="00A276AE">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691ADB82" w14:textId="77777777" w:rsidR="00854F43" w:rsidRDefault="00A276AE">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466402B6" w14:textId="77777777" w:rsidR="00854F43" w:rsidRDefault="00A276AE">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05C8DCF5" w14:textId="77777777" w:rsidR="00854F43" w:rsidRDefault="00A276AE">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05D15882" w14:textId="77777777" w:rsidR="00854F43" w:rsidRDefault="00A276AE">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4B3D1ADD" w14:textId="77050589" w:rsidR="00854F43" w:rsidRDefault="00A276AE">
      <w:pPr>
        <w:spacing w:before="240" w:after="240"/>
        <w:jc w:val="both"/>
        <w:rPr>
          <w:rFonts w:ascii="Roboto" w:eastAsia="Roboto" w:hAnsi="Roboto" w:cs="Roboto"/>
          <w:sz w:val="20"/>
          <w:szCs w:val="20"/>
        </w:rPr>
      </w:pPr>
      <w:proofErr w:type="gramStart"/>
      <w:r w:rsidRPr="004909EF">
        <w:rPr>
          <w:rFonts w:ascii="Roboto" w:eastAsia="Roboto" w:hAnsi="Roboto" w:cs="Roboto"/>
          <w:b/>
          <w:bCs/>
          <w:sz w:val="20"/>
          <w:szCs w:val="20"/>
        </w:rPr>
        <w:t>( X</w:t>
      </w:r>
      <w:proofErr w:type="gramEnd"/>
      <w:r w:rsidRPr="004909EF">
        <w:rPr>
          <w:rFonts w:ascii="Roboto" w:eastAsia="Roboto" w:hAnsi="Roboto" w:cs="Roboto"/>
          <w:b/>
          <w:bCs/>
          <w:sz w:val="20"/>
          <w:szCs w:val="20"/>
        </w:rPr>
        <w:t xml:space="preserve">  )</w:t>
      </w:r>
      <w:r>
        <w:rPr>
          <w:rFonts w:ascii="Roboto" w:eastAsia="Roboto" w:hAnsi="Roboto" w:cs="Roboto"/>
          <w:sz w:val="20"/>
          <w:szCs w:val="20"/>
        </w:rPr>
        <w:t xml:space="preserve">  </w:t>
      </w:r>
      <w:r w:rsidRPr="004909EF">
        <w:rPr>
          <w:rFonts w:ascii="Roboto" w:eastAsia="Roboto" w:hAnsi="Roboto" w:cs="Roboto"/>
          <w:sz w:val="20"/>
          <w:szCs w:val="20"/>
          <w:highlight w:val="yellow"/>
        </w:rPr>
        <w:t>Declaro que he leído y acepto los términos de esta declaración y autorización de publicación.</w:t>
      </w:r>
    </w:p>
    <w:p w14:paraId="66470C5F" w14:textId="77777777" w:rsidR="00091C44" w:rsidRDefault="00A276AE">
      <w:pPr>
        <w:spacing w:before="240" w:after="240"/>
        <w:jc w:val="both"/>
        <w:rPr>
          <w:rFonts w:ascii="Roboto" w:eastAsia="Roboto" w:hAnsi="Roboto" w:cs="Roboto"/>
          <w:b/>
          <w:bCs/>
          <w:sz w:val="20"/>
          <w:szCs w:val="20"/>
        </w:rPr>
      </w:pPr>
      <w:r>
        <w:rPr>
          <w:rFonts w:ascii="Roboto" w:eastAsia="Roboto" w:hAnsi="Roboto" w:cs="Roboto"/>
          <w:b/>
          <w:bCs/>
          <w:sz w:val="20"/>
          <w:szCs w:val="20"/>
        </w:rPr>
        <w:t>Autor</w:t>
      </w:r>
      <w:r w:rsidR="004909EF">
        <w:rPr>
          <w:rFonts w:ascii="Roboto" w:eastAsia="Roboto" w:hAnsi="Roboto" w:cs="Roboto"/>
          <w:b/>
          <w:bCs/>
          <w:sz w:val="20"/>
          <w:szCs w:val="20"/>
        </w:rPr>
        <w:t>: Juan Roberto Reyes Solís.</w:t>
      </w:r>
    </w:p>
    <w:p w14:paraId="4DE5155D" w14:textId="77777777" w:rsidR="00011DF3" w:rsidRPr="00011DF3" w:rsidRDefault="00A276AE" w:rsidP="00011DF3">
      <w:pPr>
        <w:pBdr>
          <w:top w:val="nil"/>
          <w:left w:val="nil"/>
          <w:bottom w:val="nil"/>
          <w:right w:val="nil"/>
          <w:between w:val="nil"/>
        </w:pBdr>
        <w:spacing w:before="120" w:after="120"/>
        <w:rPr>
          <w:rFonts w:ascii="Roboto" w:eastAsia="Roboto" w:hAnsi="Roboto" w:cs="Roboto"/>
          <w:b/>
          <w:bCs/>
          <w:color w:val="000000"/>
          <w:sz w:val="20"/>
          <w:szCs w:val="20"/>
        </w:rPr>
      </w:pPr>
      <w:r>
        <w:rPr>
          <w:rFonts w:ascii="Roboto" w:eastAsia="Roboto" w:hAnsi="Roboto" w:cs="Roboto"/>
          <w:b/>
          <w:bCs/>
          <w:sz w:val="20"/>
          <w:szCs w:val="20"/>
        </w:rPr>
        <w:lastRenderedPageBreak/>
        <w:t xml:space="preserve"> responsable:</w:t>
      </w:r>
      <w:r w:rsidR="00091C44">
        <w:rPr>
          <w:rFonts w:ascii="Roboto" w:eastAsia="Roboto" w:hAnsi="Roboto" w:cs="Roboto"/>
          <w:b/>
          <w:bCs/>
          <w:sz w:val="20"/>
          <w:szCs w:val="20"/>
        </w:rPr>
        <w:t xml:space="preserve"> Juan Roberto Reyes Solís.</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Institución:</w:t>
      </w:r>
      <w:r w:rsidR="00091C44">
        <w:rPr>
          <w:rFonts w:ascii="Roboto" w:eastAsia="Roboto" w:hAnsi="Roboto" w:cs="Roboto"/>
          <w:b/>
          <w:bCs/>
          <w:sz w:val="20"/>
          <w:szCs w:val="20"/>
        </w:rPr>
        <w:t xml:space="preserve"> Universidad Anáhuac Querétaro.</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Título del trabajo con autores:</w:t>
      </w:r>
      <w:r w:rsidR="00011DF3">
        <w:rPr>
          <w:rFonts w:ascii="Roboto" w:eastAsia="Roboto" w:hAnsi="Roboto" w:cs="Roboto"/>
          <w:b/>
          <w:bCs/>
          <w:sz w:val="20"/>
          <w:szCs w:val="20"/>
        </w:rPr>
        <w:t xml:space="preserve"> </w:t>
      </w:r>
      <w:r w:rsidR="00011DF3" w:rsidRPr="00011DF3">
        <w:rPr>
          <w:rFonts w:ascii="Roboto" w:eastAsia="Roboto" w:hAnsi="Roboto" w:cs="Roboto"/>
          <w:b/>
          <w:bCs/>
          <w:color w:val="000000"/>
          <w:sz w:val="20"/>
          <w:szCs w:val="20"/>
        </w:rPr>
        <w:t>Tendencias del intercambio comercial México y la República Popular China de frente a la rivalidad geoeconómica entre Washington y Beijing (2020-2025).</w:t>
      </w:r>
    </w:p>
    <w:p w14:paraId="023C6D80" w14:textId="68718080" w:rsidR="00854F43" w:rsidRDefault="00854F43" w:rsidP="00091C44">
      <w:pPr>
        <w:spacing w:before="240" w:after="240"/>
        <w:rPr>
          <w:rFonts w:ascii="Roboto" w:eastAsia="Roboto" w:hAnsi="Roboto" w:cs="Roboto"/>
          <w:sz w:val="20"/>
          <w:szCs w:val="20"/>
        </w:rPr>
      </w:pPr>
    </w:p>
    <w:sectPr w:rsidR="00854F43">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299B1" w14:textId="77777777" w:rsidR="00A276AE" w:rsidRDefault="00A276AE">
      <w:r>
        <w:separator/>
      </w:r>
    </w:p>
  </w:endnote>
  <w:endnote w:type="continuationSeparator" w:id="0">
    <w:p w14:paraId="51F5C8FD" w14:textId="77777777" w:rsidR="00A276AE" w:rsidRDefault="00A27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21353D0-10A4-4213-B2F9-3C01456ED4FA}"/>
  </w:font>
  <w:font w:name="Georgia">
    <w:panose1 w:val="02040502050405020303"/>
    <w:charset w:val="00"/>
    <w:family w:val="roman"/>
    <w:pitch w:val="variable"/>
    <w:sig w:usb0="00000287" w:usb1="00000000" w:usb2="00000000" w:usb3="00000000" w:csb0="0000009F" w:csb1="00000000"/>
    <w:embedItalic r:id="rId2" w:fontKey="{40C924CC-1933-40A7-8716-E8B3E5346AFA}"/>
  </w:font>
  <w:font w:name="Roboto">
    <w:altName w:val="Arial"/>
    <w:charset w:val="00"/>
    <w:family w:val="auto"/>
    <w:pitch w:val="variable"/>
    <w:sig w:usb0="E00002FF" w:usb1="5000205B" w:usb2="00000020" w:usb3="00000000" w:csb0="0000019F" w:csb1="00000000"/>
    <w:embedRegular r:id="rId3" w:fontKey="{1E7DF35D-BF34-4B4E-BBC6-46F11FFA3D98}"/>
    <w:embedBold r:id="rId4" w:fontKey="{2733CEAB-CCD7-43E6-B896-8ECD56F695A0}"/>
    <w:embedItalic r:id="rId5" w:fontKey="{3A6C8FDC-A516-445C-93C0-9860DA10F3FE}"/>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embedRegular r:id="rId6" w:fontKey="{B5533B2C-BF9C-4E84-BBBC-87295D3EC04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16E06" w14:textId="77777777" w:rsidR="00A276AE" w:rsidRDefault="00A276AE">
      <w:r>
        <w:separator/>
      </w:r>
    </w:p>
  </w:footnote>
  <w:footnote w:type="continuationSeparator" w:id="0">
    <w:p w14:paraId="641CF90E" w14:textId="77777777" w:rsidR="00A276AE" w:rsidRDefault="00A27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64A58" w14:textId="77777777" w:rsidR="00854F43" w:rsidRDefault="00854F43">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854F43" w14:paraId="25544DC8" w14:textId="77777777">
      <w:trPr>
        <w:trHeight w:val="345"/>
        <w:jc w:val="center"/>
      </w:trPr>
      <w:tc>
        <w:tcPr>
          <w:tcW w:w="6306" w:type="dxa"/>
          <w:vAlign w:val="center"/>
        </w:tcPr>
        <w:p w14:paraId="0DEF030A" w14:textId="77777777" w:rsidR="00854F43" w:rsidRDefault="00854F43">
          <w:pPr>
            <w:jc w:val="center"/>
            <w:rPr>
              <w:i/>
              <w:iCs/>
              <w:sz w:val="18"/>
              <w:szCs w:val="18"/>
            </w:rPr>
          </w:pPr>
        </w:p>
      </w:tc>
    </w:tr>
  </w:tbl>
  <w:p w14:paraId="2E38BF82" w14:textId="77777777" w:rsidR="00854F43" w:rsidRDefault="00854F43">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E04F17"/>
    <w:multiLevelType w:val="multilevel"/>
    <w:tmpl w:val="F1DC3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56F5439"/>
    <w:multiLevelType w:val="multilevel"/>
    <w:tmpl w:val="C9D0D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F43"/>
    <w:rsid w:val="00011DF3"/>
    <w:rsid w:val="00021215"/>
    <w:rsid w:val="00054903"/>
    <w:rsid w:val="00064710"/>
    <w:rsid w:val="00091C44"/>
    <w:rsid w:val="00121D4C"/>
    <w:rsid w:val="001D621D"/>
    <w:rsid w:val="003430E7"/>
    <w:rsid w:val="0036152C"/>
    <w:rsid w:val="003661F4"/>
    <w:rsid w:val="003A098E"/>
    <w:rsid w:val="003A1062"/>
    <w:rsid w:val="003D1DD2"/>
    <w:rsid w:val="003F7FF6"/>
    <w:rsid w:val="004909EF"/>
    <w:rsid w:val="00513641"/>
    <w:rsid w:val="00552E48"/>
    <w:rsid w:val="00552EC0"/>
    <w:rsid w:val="00571899"/>
    <w:rsid w:val="005D7919"/>
    <w:rsid w:val="00633DF6"/>
    <w:rsid w:val="006D01D9"/>
    <w:rsid w:val="00712E0D"/>
    <w:rsid w:val="0076281C"/>
    <w:rsid w:val="007F22AB"/>
    <w:rsid w:val="008119EC"/>
    <w:rsid w:val="00854F43"/>
    <w:rsid w:val="008C1D0D"/>
    <w:rsid w:val="008E085F"/>
    <w:rsid w:val="008E4ABD"/>
    <w:rsid w:val="008F1C04"/>
    <w:rsid w:val="00962C34"/>
    <w:rsid w:val="009C2FC2"/>
    <w:rsid w:val="009D2A41"/>
    <w:rsid w:val="00A2272C"/>
    <w:rsid w:val="00A276AE"/>
    <w:rsid w:val="00A31E94"/>
    <w:rsid w:val="00AB32EE"/>
    <w:rsid w:val="00AE4A1D"/>
    <w:rsid w:val="00B57487"/>
    <w:rsid w:val="00C23FC6"/>
    <w:rsid w:val="00C61A7E"/>
    <w:rsid w:val="00D25235"/>
    <w:rsid w:val="00DC7BAE"/>
    <w:rsid w:val="00E43327"/>
    <w:rsid w:val="00E85057"/>
    <w:rsid w:val="00EB4DCB"/>
    <w:rsid w:val="00ED2CA7"/>
    <w:rsid w:val="00F32128"/>
    <w:rsid w:val="00F4371E"/>
    <w:rsid w:val="00F7612F"/>
    <w:rsid w:val="00F97DB8"/>
  </w:rsids>
  <m:mathPr>
    <m:mathFont m:val="Cambria Math"/>
    <m:brkBin m:val="before"/>
    <m:brkBinSub m:val="--"/>
    <m:smallFrac m:val="0"/>
    <m:dispDef/>
    <m:lMargin m:val="0"/>
    <m:rMargin m:val="0"/>
    <m:defJc m:val="centerGroup"/>
    <m:wrapIndent m:val="1440"/>
    <m:intLim m:val="subSup"/>
    <m:naryLim m:val="undOvr"/>
  </m:mathPr>
  <w:themeFontLang w:val="es-MX" w:eastAsia="zh-TW"/>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96BEF58"/>
  <w15:docId w15:val="{2D7CE6B0-6B4D-4AEA-A51F-12FBC3545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e.sre.gob.mx/rmpe/index.php/rmpe/article/view/267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22201/cisan.24487228e.2025.2.755" TargetMode="External"/><Relationship Id="rId5" Type="http://schemas.openxmlformats.org/officeDocument/2006/relationships/webSettings" Target="webSettings.xml"/><Relationship Id="rId10" Type="http://schemas.openxmlformats.org/officeDocument/2006/relationships/hyperlink" Target="https://www.economia.gob.mx/datamexico/es/profile/country/chinachn?foreignTradeOption1=salesOption&amp;foreignYears1=2024"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2160</Words>
  <Characters>11884</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Juan Roberto Reyes Solís</cp:lastModifiedBy>
  <cp:revision>2</cp:revision>
  <dcterms:created xsi:type="dcterms:W3CDTF">2026-04-01T00:16:00Z</dcterms:created>
  <dcterms:modified xsi:type="dcterms:W3CDTF">2026-04-01T00:16:00Z</dcterms:modified>
</cp:coreProperties>
</file>