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DE13D" w14:textId="58A0E010" w:rsidR="00451D29" w:rsidRPr="0035329C" w:rsidRDefault="001D0D83" w:rsidP="001D0D83">
      <w:pPr>
        <w:pBdr>
          <w:top w:val="nil"/>
          <w:left w:val="nil"/>
          <w:bottom w:val="nil"/>
          <w:right w:val="nil"/>
          <w:between w:val="nil"/>
        </w:pBdr>
        <w:spacing w:before="120" w:after="120"/>
        <w:jc w:val="center"/>
        <w:rPr>
          <w:rFonts w:ascii="Roboto" w:eastAsia="Roboto" w:hAnsi="Roboto" w:cs="Roboto"/>
          <w:b/>
          <w:bCs/>
          <w:color w:val="000000"/>
        </w:rPr>
      </w:pPr>
      <w:r w:rsidRPr="001D0D83">
        <w:rPr>
          <w:rFonts w:ascii="Roboto" w:eastAsia="Roboto" w:hAnsi="Roboto" w:cs="Roboto"/>
          <w:b/>
          <w:bCs/>
          <w:color w:val="000000"/>
        </w:rPr>
        <w:t>La IA generativa y el nexo ciencia–tecnología: una interpretación realista desde Agazzi</w:t>
      </w:r>
      <w:r w:rsidRPr="0035329C">
        <w:rPr>
          <w:rFonts w:ascii="Roboto" w:eastAsia="Roboto" w:hAnsi="Roboto" w:cs="Roboto"/>
          <w:b/>
          <w:bCs/>
          <w:color w:val="000000"/>
        </w:rPr>
        <w:t>.</w:t>
      </w:r>
    </w:p>
    <w:p w14:paraId="5946BC92" w14:textId="4E151E89" w:rsidR="00451D29" w:rsidRPr="0035329C" w:rsidRDefault="00820AD7">
      <w:pPr>
        <w:pBdr>
          <w:top w:val="nil"/>
          <w:left w:val="nil"/>
          <w:bottom w:val="nil"/>
          <w:right w:val="nil"/>
          <w:between w:val="nil"/>
        </w:pBdr>
        <w:spacing w:before="120" w:after="120"/>
        <w:jc w:val="center"/>
        <w:rPr>
          <w:rFonts w:ascii="Roboto" w:eastAsia="Roboto" w:hAnsi="Roboto" w:cs="Roboto"/>
          <w:b/>
          <w:bCs/>
          <w:color w:val="000000"/>
          <w:sz w:val="20"/>
          <w:szCs w:val="20"/>
        </w:rPr>
      </w:pPr>
      <w:r w:rsidRPr="0035329C">
        <w:rPr>
          <w:rFonts w:ascii="Roboto" w:eastAsia="Roboto" w:hAnsi="Roboto" w:cs="Roboto"/>
          <w:b/>
          <w:bCs/>
          <w:color w:val="000000"/>
          <w:sz w:val="20"/>
          <w:szCs w:val="20"/>
        </w:rPr>
        <w:t>Estrada</w:t>
      </w:r>
      <w:r w:rsidR="0035329C" w:rsidRPr="0035329C">
        <w:rPr>
          <w:rFonts w:ascii="Roboto" w:eastAsia="Roboto" w:hAnsi="Roboto" w:cs="Roboto"/>
          <w:b/>
          <w:bCs/>
          <w:color w:val="000000"/>
          <w:sz w:val="20"/>
          <w:szCs w:val="20"/>
        </w:rPr>
        <w:t>-</w:t>
      </w:r>
      <w:r w:rsidRPr="0035329C">
        <w:rPr>
          <w:rFonts w:ascii="Roboto" w:eastAsia="Roboto" w:hAnsi="Roboto" w:cs="Roboto"/>
          <w:b/>
          <w:bCs/>
          <w:color w:val="000000"/>
          <w:sz w:val="20"/>
          <w:szCs w:val="20"/>
        </w:rPr>
        <w:t>Danell</w:t>
      </w:r>
      <w:r w:rsidR="0035329C" w:rsidRPr="0035329C">
        <w:rPr>
          <w:rFonts w:ascii="Roboto" w:eastAsia="Roboto" w:hAnsi="Roboto" w:cs="Roboto"/>
          <w:b/>
          <w:bCs/>
          <w:color w:val="000000"/>
          <w:sz w:val="20"/>
          <w:szCs w:val="20"/>
        </w:rPr>
        <w:t xml:space="preserve"> </w:t>
      </w:r>
      <w:r w:rsidRPr="0035329C">
        <w:rPr>
          <w:rFonts w:ascii="Roboto" w:eastAsia="Roboto" w:hAnsi="Roboto" w:cs="Roboto"/>
          <w:b/>
          <w:bCs/>
          <w:color w:val="000000"/>
          <w:sz w:val="20"/>
          <w:szCs w:val="20"/>
        </w:rPr>
        <w:t>R</w:t>
      </w:r>
      <w:r w:rsidR="0035329C" w:rsidRPr="0035329C">
        <w:rPr>
          <w:rFonts w:ascii="Roboto" w:eastAsia="Roboto" w:hAnsi="Roboto" w:cs="Roboto"/>
          <w:b/>
          <w:bCs/>
          <w:color w:val="000000"/>
          <w:sz w:val="20"/>
          <w:szCs w:val="20"/>
        </w:rPr>
        <w:t>.</w:t>
      </w:r>
      <w:r w:rsidR="0035329C" w:rsidRPr="0035329C">
        <w:rPr>
          <w:rFonts w:ascii="Roboto" w:eastAsia="Roboto" w:hAnsi="Roboto" w:cs="Roboto"/>
          <w:b/>
          <w:bCs/>
          <w:color w:val="000000"/>
          <w:sz w:val="20"/>
          <w:szCs w:val="20"/>
          <w:vertAlign w:val="superscript"/>
        </w:rPr>
        <w:t>1</w:t>
      </w:r>
    </w:p>
    <w:p w14:paraId="09BD1DF6" w14:textId="37D2589D" w:rsidR="00451D29" w:rsidRPr="0035329C" w:rsidRDefault="0035329C" w:rsidP="0035329C">
      <w:pPr>
        <w:pBdr>
          <w:top w:val="nil"/>
          <w:left w:val="nil"/>
          <w:bottom w:val="nil"/>
          <w:right w:val="nil"/>
          <w:between w:val="nil"/>
        </w:pBdr>
        <w:jc w:val="center"/>
        <w:rPr>
          <w:rFonts w:ascii="Roboto" w:eastAsia="Roboto" w:hAnsi="Roboto" w:cs="Roboto"/>
          <w:color w:val="000000"/>
          <w:sz w:val="18"/>
          <w:szCs w:val="18"/>
        </w:rPr>
      </w:pPr>
      <w:r w:rsidRPr="0035329C">
        <w:rPr>
          <w:rFonts w:ascii="Roboto" w:eastAsia="Roboto" w:hAnsi="Roboto" w:cs="Roboto"/>
          <w:color w:val="000000"/>
          <w:sz w:val="18"/>
          <w:szCs w:val="18"/>
          <w:vertAlign w:val="superscript"/>
        </w:rPr>
        <w:t>1</w:t>
      </w:r>
      <w:r w:rsidRPr="0035329C">
        <w:rPr>
          <w:rFonts w:ascii="Roboto" w:eastAsia="Roboto" w:hAnsi="Roboto" w:cs="Roboto"/>
          <w:color w:val="000000"/>
          <w:sz w:val="18"/>
          <w:szCs w:val="18"/>
        </w:rPr>
        <w:t>A</w:t>
      </w:r>
      <w:r w:rsidR="000B40EC" w:rsidRPr="0035329C">
        <w:rPr>
          <w:rFonts w:ascii="Roboto" w:eastAsia="Roboto" w:hAnsi="Roboto" w:cs="Roboto"/>
          <w:color w:val="000000"/>
          <w:sz w:val="18"/>
          <w:szCs w:val="18"/>
        </w:rPr>
        <w:t>náhuac Online</w:t>
      </w:r>
      <w:r w:rsidRPr="0035329C">
        <w:rPr>
          <w:rFonts w:ascii="Roboto" w:eastAsia="Roboto" w:hAnsi="Roboto" w:cs="Roboto"/>
          <w:color w:val="000000"/>
          <w:sz w:val="18"/>
          <w:szCs w:val="18"/>
        </w:rPr>
        <w:t xml:space="preserve">, </w:t>
      </w:r>
      <w:r w:rsidRPr="0035329C">
        <w:rPr>
          <w:rFonts w:ascii="Roboto" w:eastAsia="Roboto" w:hAnsi="Roboto" w:cs="Roboto"/>
          <w:color w:val="000000"/>
          <w:sz w:val="18"/>
          <w:szCs w:val="18"/>
        </w:rPr>
        <w:t>0000-0001-7534-8456</w:t>
      </w:r>
    </w:p>
    <w:p w14:paraId="3CE976DC" w14:textId="218F8C21" w:rsidR="00451D29" w:rsidRDefault="0035329C">
      <w:pPr>
        <w:jc w:val="center"/>
        <w:rPr>
          <w:rFonts w:ascii="Roboto" w:eastAsia="Roboto" w:hAnsi="Roboto" w:cs="Roboto"/>
          <w:sz w:val="18"/>
          <w:szCs w:val="18"/>
        </w:rPr>
      </w:pPr>
      <w:r w:rsidRPr="0035329C">
        <w:rPr>
          <w:rFonts w:ascii="Roboto" w:eastAsia="Roboto" w:hAnsi="Roboto" w:cs="Roboto"/>
          <w:sz w:val="18"/>
          <w:szCs w:val="18"/>
        </w:rPr>
        <w:t>*Autor de correspondencia (e-mail:</w:t>
      </w:r>
      <w:r w:rsidRPr="0035329C">
        <w:rPr>
          <w:rFonts w:ascii="Roboto" w:eastAsia="Roboto" w:hAnsi="Roboto" w:cs="Roboto"/>
          <w:sz w:val="18"/>
          <w:szCs w:val="18"/>
        </w:rPr>
        <w:t xml:space="preserve"> </w:t>
      </w:r>
      <w:r w:rsidRPr="0035329C">
        <w:rPr>
          <w:rFonts w:ascii="Roboto" w:eastAsia="Roboto" w:hAnsi="Roboto" w:cs="Roboto"/>
          <w:sz w:val="18"/>
          <w:szCs w:val="18"/>
        </w:rPr>
        <w:t>rafael.estradada@anahuac.mx</w:t>
      </w:r>
      <w:r w:rsidRPr="0035329C">
        <w:rPr>
          <w:rFonts w:ascii="Roboto" w:eastAsia="Roboto" w:hAnsi="Roboto" w:cs="Roboto"/>
          <w:sz w:val="18"/>
          <w:szCs w:val="18"/>
        </w:rPr>
        <w:t>)</w:t>
      </w:r>
    </w:p>
    <w:p w14:paraId="6381A472" w14:textId="77777777" w:rsidR="00451D29" w:rsidRDefault="0035329C">
      <w:pPr>
        <w:spacing w:before="60"/>
        <w:jc w:val="center"/>
        <w:rPr>
          <w:rFonts w:ascii="Roboto" w:eastAsia="Roboto" w:hAnsi="Roboto" w:cs="Roboto"/>
          <w:sz w:val="18"/>
          <w:szCs w:val="18"/>
        </w:rPr>
        <w:sectPr w:rsidR="00451D29">
          <w:headerReference w:type="default" r:id="rId8"/>
          <w:pgSz w:w="11906" w:h="16838"/>
          <w:pgMar w:top="851" w:right="851" w:bottom="828" w:left="851" w:header="357" w:footer="720" w:gutter="0"/>
          <w:pgNumType w:start="1"/>
          <w:cols w:space="720"/>
        </w:sectPr>
      </w:pPr>
      <w:r>
        <w:pict w14:anchorId="274ACE14">
          <v:rect id="_x0000_i1025" style="width:0;height:1.5pt" o:hralign="center" o:hrstd="t" o:hr="t" fillcolor="#a0a0a0" stroked="f"/>
        </w:pict>
      </w:r>
    </w:p>
    <w:p w14:paraId="7138774D" w14:textId="6F48959F" w:rsidR="003551B2" w:rsidRPr="003551B2" w:rsidRDefault="003551B2" w:rsidP="003551B2">
      <w:pPr>
        <w:pBdr>
          <w:top w:val="nil"/>
          <w:left w:val="nil"/>
          <w:bottom w:val="nil"/>
          <w:right w:val="nil"/>
          <w:between w:val="nil"/>
        </w:pBdr>
        <w:jc w:val="both"/>
        <w:rPr>
          <w:rFonts w:ascii="Roboto" w:eastAsia="Roboto" w:hAnsi="Roboto" w:cs="Roboto"/>
          <w:b/>
          <w:bCs/>
          <w:color w:val="000000"/>
          <w:sz w:val="20"/>
          <w:szCs w:val="20"/>
        </w:rPr>
      </w:pPr>
      <w:r w:rsidRPr="003551B2">
        <w:rPr>
          <w:rFonts w:ascii="Roboto" w:eastAsia="Roboto" w:hAnsi="Roboto" w:cs="Roboto"/>
          <w:b/>
          <w:bCs/>
          <w:color w:val="000000"/>
          <w:sz w:val="20"/>
          <w:szCs w:val="20"/>
        </w:rPr>
        <w:t>C</w:t>
      </w:r>
      <w:r w:rsidRPr="003551B2">
        <w:rPr>
          <w:rFonts w:ascii="Roboto" w:eastAsia="Roboto" w:hAnsi="Roboto" w:cs="Roboto"/>
          <w:b/>
          <w:bCs/>
          <w:color w:val="000000"/>
          <w:sz w:val="20"/>
          <w:szCs w:val="20"/>
        </w:rPr>
        <w:t>iencia, tecnología y conocimiento</w:t>
      </w:r>
    </w:p>
    <w:p w14:paraId="49282D5F" w14:textId="16A5C9B9"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La relación entre ciencia y tecnología no es meramente instrumental, sino estructuralmente interdependiente. Las teorías científicas orientan el desarrollo tecnológico, mientras que los instrumentos tecnológicos hacen posible la observación, validación y ampliación del conocimiento científico. Esta interacción resulta particularmente evidente en el contexto de la inteligencia artificial (IA) generativa y de los modelos de lenguaje de gran escala (LLM), cada vez más integrados en la práctica científica.</w:t>
      </w:r>
    </w:p>
    <w:p w14:paraId="25616B75" w14:textId="77777777"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El realismo científico de Evandro Agazzi ofrece un marco conceptual pertinente para comprender esta relación. Desde esta perspectiva, la ciencia no se limita a producir modelos funcionales, sino que busca generar conocimiento objetivo sobre la realidad mediante procedimientos operativos e instrumentos tecnológicos. En este sentido, la tecnología no es externa a la ciencia, sino constitutiva de ella.</w:t>
      </w:r>
    </w:p>
    <w:p w14:paraId="25642818" w14:textId="77777777"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El presente trabajo propone analizar la IA generativa como una manifestación contemporánea de esta interdependencia, mostrando que no solo contribuye al avance de la investigación científica, sino que también participa en la validación y configuración del conocimiento.</w:t>
      </w:r>
    </w:p>
    <w:p w14:paraId="63F5EB5F" w14:textId="77777777" w:rsidR="00451D29" w:rsidRDefault="00451D29">
      <w:pPr>
        <w:pBdr>
          <w:top w:val="nil"/>
          <w:left w:val="nil"/>
          <w:bottom w:val="nil"/>
          <w:right w:val="nil"/>
          <w:between w:val="nil"/>
        </w:pBdr>
        <w:jc w:val="both"/>
        <w:rPr>
          <w:rFonts w:ascii="Roboto" w:eastAsia="Roboto" w:hAnsi="Roboto" w:cs="Roboto"/>
          <w:b/>
          <w:bCs/>
          <w:color w:val="000000"/>
          <w:sz w:val="20"/>
          <w:szCs w:val="20"/>
        </w:rPr>
      </w:pPr>
    </w:p>
    <w:p w14:paraId="6C5374C0" w14:textId="659A24C7" w:rsidR="00451D29" w:rsidRDefault="003551B2">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R</w:t>
      </w:r>
      <w:r w:rsidRPr="003551B2">
        <w:rPr>
          <w:rFonts w:ascii="Roboto" w:eastAsia="Roboto" w:hAnsi="Roboto" w:cs="Roboto"/>
          <w:b/>
          <w:bCs/>
          <w:color w:val="000000"/>
          <w:sz w:val="20"/>
          <w:szCs w:val="20"/>
        </w:rPr>
        <w:t>ealismo científico y función epistemológica de la tecnología</w:t>
      </w:r>
    </w:p>
    <w:p w14:paraId="09DE5C05" w14:textId="65C5745D"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 xml:space="preserve">El realismo científico de Agazzi sostiene que la realidad existe independientemente del sujeto cognoscente, pero puede ser conocida </w:t>
      </w:r>
      <w:r w:rsidR="00820AD7" w:rsidRPr="00820AD7">
        <w:rPr>
          <w:rFonts w:ascii="Roboto" w:eastAsia="Roboto" w:hAnsi="Roboto" w:cs="Roboto"/>
          <w:color w:val="000000"/>
          <w:sz w:val="20"/>
          <w:szCs w:val="20"/>
        </w:rPr>
        <w:t>mediante prácticas científicas estructuradas, basadas en procedimientos operativos y en el uso de instrumentos tecnológicos que permiten la validación empírica del conocimiento (Agazzi, 2016). Estas integran marcos teóricos, procedimientos e instrumentos en un mismo proceso de producción de conocimiento.</w:t>
      </w:r>
    </w:p>
    <w:p w14:paraId="327CE3DD" w14:textId="255D5FD9"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Una distinción central en este marco es la existente entre técnica y tecnología. Mientras que la técnica se refiere a saberes prácticos desarrollados empíricamente, la tecnología incorpora un componente teórico que explica y perfecciona dichas prácticas</w:t>
      </w:r>
      <w:r w:rsidR="000250AB">
        <w:rPr>
          <w:rFonts w:ascii="Roboto" w:eastAsia="Roboto" w:hAnsi="Roboto" w:cs="Roboto"/>
          <w:color w:val="000000"/>
          <w:sz w:val="20"/>
          <w:szCs w:val="20"/>
        </w:rPr>
        <w:t xml:space="preserve"> </w:t>
      </w:r>
      <w:r w:rsidR="000250AB" w:rsidRPr="000250AB">
        <w:rPr>
          <w:rFonts w:ascii="Roboto" w:eastAsia="Roboto" w:hAnsi="Roboto" w:cs="Roboto"/>
          <w:color w:val="000000"/>
          <w:sz w:val="20"/>
          <w:szCs w:val="20"/>
        </w:rPr>
        <w:t>(Agazzi, 1998)</w:t>
      </w:r>
      <w:r w:rsidRPr="003551B2">
        <w:rPr>
          <w:rFonts w:ascii="Roboto" w:eastAsia="Roboto" w:hAnsi="Roboto" w:cs="Roboto"/>
          <w:color w:val="000000"/>
          <w:sz w:val="20"/>
          <w:szCs w:val="20"/>
        </w:rPr>
        <w:t>. Esta distinción permite comprender que la tecnología no es simplemente una aplicación de la ciencia, sino un espacio en el que convergen teoría, práctica y validación.</w:t>
      </w:r>
    </w:p>
    <w:p w14:paraId="7C3E6A07" w14:textId="20F5BAB8"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Desde esta perspectiva, la tecnología cumple una doble función epistemológica. Por un lado, amplía las capacidades de observación, haciendo accesibles fenómenos que de otro modo permanecerían fuera del alcance de la experiencia humana. Por otro, contribuye a la construcción de objetos científicos, al transformar conceptos teóricos en entidades operativas susceptibles de medición, experimentación y validación</w:t>
      </w:r>
      <w:r w:rsidR="000250AB">
        <w:rPr>
          <w:rFonts w:ascii="Roboto" w:eastAsia="Roboto" w:hAnsi="Roboto" w:cs="Roboto"/>
          <w:color w:val="000000"/>
          <w:sz w:val="20"/>
          <w:szCs w:val="20"/>
        </w:rPr>
        <w:t xml:space="preserve">, </w:t>
      </w:r>
      <w:r w:rsidR="000250AB" w:rsidRPr="000250AB">
        <w:rPr>
          <w:rFonts w:ascii="Roboto" w:eastAsia="Roboto" w:hAnsi="Roboto" w:cs="Roboto"/>
          <w:color w:val="000000"/>
          <w:sz w:val="20"/>
          <w:szCs w:val="20"/>
        </w:rPr>
        <w:t>al proporcionar datos reproducibles que respaldan la validez de las teorías científicas (David et al., 2008).</w:t>
      </w:r>
    </w:p>
    <w:p w14:paraId="01767918" w14:textId="77777777"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El conocimiento científico, por tanto, no se configura únicamente en el plano teórico, sino en la interacción dinámica entre teoría, instrumentos y resultados empíricos.</w:t>
      </w:r>
    </w:p>
    <w:p w14:paraId="5A86427B" w14:textId="77777777" w:rsidR="001D0D83" w:rsidRDefault="001D0D83" w:rsidP="001D0D83">
      <w:pPr>
        <w:pBdr>
          <w:top w:val="nil"/>
          <w:left w:val="nil"/>
          <w:bottom w:val="nil"/>
          <w:right w:val="nil"/>
          <w:between w:val="nil"/>
        </w:pBdr>
        <w:jc w:val="both"/>
        <w:rPr>
          <w:rFonts w:ascii="Roboto" w:eastAsia="Roboto" w:hAnsi="Roboto" w:cs="Roboto"/>
          <w:color w:val="000000"/>
          <w:sz w:val="20"/>
          <w:szCs w:val="20"/>
        </w:rPr>
      </w:pPr>
    </w:p>
    <w:p w14:paraId="17BDD49D" w14:textId="6581D2DD" w:rsidR="003551B2" w:rsidRDefault="003551B2" w:rsidP="001D0D83">
      <w:pPr>
        <w:pBdr>
          <w:top w:val="nil"/>
          <w:left w:val="nil"/>
          <w:bottom w:val="nil"/>
          <w:right w:val="nil"/>
          <w:between w:val="nil"/>
        </w:pBdr>
        <w:jc w:val="both"/>
        <w:rPr>
          <w:rFonts w:ascii="Roboto" w:eastAsia="Roboto" w:hAnsi="Roboto" w:cs="Roboto"/>
          <w:b/>
          <w:bCs/>
          <w:color w:val="000000"/>
          <w:sz w:val="20"/>
          <w:szCs w:val="20"/>
        </w:rPr>
      </w:pPr>
      <w:r w:rsidRPr="003551B2">
        <w:rPr>
          <w:rFonts w:ascii="Roboto" w:eastAsia="Roboto" w:hAnsi="Roboto" w:cs="Roboto"/>
          <w:b/>
          <w:bCs/>
          <w:color w:val="000000"/>
          <w:sz w:val="20"/>
          <w:szCs w:val="20"/>
        </w:rPr>
        <w:t>IA generativa como expresión del nexo ciencia–tecnología</w:t>
      </w:r>
    </w:p>
    <w:p w14:paraId="36E1EF83" w14:textId="7FAD06D8"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La IA generativa constituye un caso paradigmático de esta doble función. En primer lugar, actúa como un instrumento que potencia la práctica científica al permitir el análisis de grandes volúmenes de datos, la simulación de sistemas complejos y la generación de nuevas hipótesis</w:t>
      </w:r>
      <w:r w:rsidR="00820AD7">
        <w:rPr>
          <w:rFonts w:ascii="Roboto" w:eastAsia="Roboto" w:hAnsi="Roboto" w:cs="Roboto"/>
          <w:color w:val="000000"/>
          <w:sz w:val="20"/>
          <w:szCs w:val="20"/>
        </w:rPr>
        <w:t xml:space="preserve">. </w:t>
      </w:r>
      <w:r w:rsidR="00820AD7" w:rsidRPr="00820AD7">
        <w:rPr>
          <w:rFonts w:ascii="Roboto" w:eastAsia="Roboto" w:hAnsi="Roboto" w:cs="Roboto"/>
          <w:color w:val="000000"/>
          <w:sz w:val="20"/>
          <w:szCs w:val="20"/>
        </w:rPr>
        <w:t>En este sentido, puede entenderse como un mediador entre los constructos teóricos y la realidad empírica (Spelda &amp; Stritecky, 2021).</w:t>
      </w:r>
      <w:r w:rsidRPr="003551B2">
        <w:rPr>
          <w:rFonts w:ascii="Roboto" w:eastAsia="Roboto" w:hAnsi="Roboto" w:cs="Roboto"/>
          <w:color w:val="000000"/>
          <w:sz w:val="20"/>
          <w:szCs w:val="20"/>
        </w:rPr>
        <w:t xml:space="preserve"> En campos como la ciencia del clima, la genómica o la lingüística computacional, estos sistemas hacen posible explorar estructuras y patrones que exceden las capacidades analíticas tradicionales.</w:t>
      </w:r>
    </w:p>
    <w:p w14:paraId="14AE334F" w14:textId="77777777"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En segundo lugar, la eficacia de estos sistemas refuerza la validez de los marcos teóricos en los que se fundamentan. El desempeño de modelos de aprendizaje automático en tareas de predicción y reconocimiento de patrones proporciona evidencia empírica que respalda teorías estadísticas, computacionales y lingüísticas, mostrando cómo la tecnología no solo aplica conocimiento, sino que también contribuye a su validación.</w:t>
      </w:r>
    </w:p>
    <w:p w14:paraId="79F31272" w14:textId="1AAB3CB1" w:rsidR="003551B2" w:rsidRPr="003551B2" w:rsidRDefault="003551B2" w:rsidP="003551B2">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Más aún, la IA generativa interviene en la construcción de objetos científicos. A través del modelado y la simulación, permite definir nuevas formas de representar fenómenos complejos, como sistemas climáticos, estructuras moleculares o dinámicas sociales. En este sentido, no solo amplía el campo de observación, sino que redefine qué puede ser considerado objeto de conocimiento científico.</w:t>
      </w:r>
    </w:p>
    <w:p w14:paraId="42190CC1" w14:textId="4AEADB3B" w:rsidR="001D0D83" w:rsidRPr="001D0D83" w:rsidRDefault="003551B2" w:rsidP="001D0D83">
      <w:pPr>
        <w:pBdr>
          <w:top w:val="nil"/>
          <w:left w:val="nil"/>
          <w:bottom w:val="nil"/>
          <w:right w:val="nil"/>
          <w:between w:val="nil"/>
        </w:pBdr>
        <w:jc w:val="both"/>
        <w:rPr>
          <w:rFonts w:ascii="Roboto" w:eastAsia="Roboto" w:hAnsi="Roboto" w:cs="Roboto"/>
          <w:color w:val="000000"/>
          <w:sz w:val="20"/>
          <w:szCs w:val="20"/>
        </w:rPr>
      </w:pPr>
      <w:r w:rsidRPr="003551B2">
        <w:rPr>
          <w:rFonts w:ascii="Roboto" w:eastAsia="Roboto" w:hAnsi="Roboto" w:cs="Roboto"/>
          <w:color w:val="000000"/>
          <w:sz w:val="20"/>
          <w:szCs w:val="20"/>
        </w:rPr>
        <w:t>Así, la IA generativa no se limita a optimizar procesos existentes, sino que reconfigura las condiciones mismas de la investigación científica, al ampliar el dominio de lo observable, lo modelable y lo validable.</w:t>
      </w:r>
    </w:p>
    <w:p w14:paraId="7E4E1479" w14:textId="77777777" w:rsidR="00451D29" w:rsidRDefault="00451D29">
      <w:pPr>
        <w:pBdr>
          <w:top w:val="nil"/>
          <w:left w:val="nil"/>
          <w:bottom w:val="nil"/>
          <w:right w:val="nil"/>
          <w:between w:val="nil"/>
        </w:pBdr>
        <w:jc w:val="both"/>
        <w:rPr>
          <w:rFonts w:ascii="Roboto" w:eastAsia="Roboto" w:hAnsi="Roboto" w:cs="Roboto"/>
          <w:color w:val="000000"/>
          <w:sz w:val="20"/>
          <w:szCs w:val="20"/>
        </w:rPr>
      </w:pPr>
    </w:p>
    <w:p w14:paraId="18B12925" w14:textId="408349B1" w:rsidR="003551B2" w:rsidRDefault="003551B2" w:rsidP="001D0D83">
      <w:pPr>
        <w:keepNext/>
        <w:jc w:val="both"/>
        <w:rPr>
          <w:rFonts w:ascii="Roboto" w:eastAsia="Roboto" w:hAnsi="Roboto" w:cs="Roboto"/>
          <w:b/>
          <w:bCs/>
          <w:color w:val="000000"/>
          <w:sz w:val="20"/>
          <w:szCs w:val="20"/>
        </w:rPr>
      </w:pPr>
      <w:r w:rsidRPr="003551B2">
        <w:rPr>
          <w:rFonts w:ascii="Roboto" w:eastAsia="Roboto" w:hAnsi="Roboto" w:cs="Roboto"/>
          <w:b/>
          <w:bCs/>
          <w:color w:val="000000"/>
          <w:sz w:val="20"/>
          <w:szCs w:val="20"/>
        </w:rPr>
        <w:t>Tensiones epistemológicas en el uso de IA</w:t>
      </w:r>
    </w:p>
    <w:p w14:paraId="72CCA685" w14:textId="77777777" w:rsidR="003551B2" w:rsidRPr="003551B2" w:rsidRDefault="003551B2" w:rsidP="003551B2">
      <w:pPr>
        <w:keepNext/>
        <w:jc w:val="both"/>
        <w:rPr>
          <w:rFonts w:ascii="Roboto" w:eastAsia="Roboto" w:hAnsi="Roboto" w:cs="Roboto"/>
          <w:color w:val="000000"/>
          <w:sz w:val="20"/>
          <w:szCs w:val="20"/>
        </w:rPr>
      </w:pPr>
      <w:r w:rsidRPr="003551B2">
        <w:rPr>
          <w:rFonts w:ascii="Roboto" w:eastAsia="Roboto" w:hAnsi="Roboto" w:cs="Roboto"/>
          <w:color w:val="000000"/>
          <w:sz w:val="20"/>
          <w:szCs w:val="20"/>
        </w:rPr>
        <w:t>A pesar de sus aportaciones, la IA generativa introduce tensiones relevantes desde el punto de vista epistemológico. Una de las principales es la falta de interpretabilidad de muchos modelos, cuyo funcionamiento interno resulta opaco incluso para los propios investigadores. Esta característica plantea desafíos para los criterios de transparencia y validación intersubjetiva propios de la ciencia.</w:t>
      </w:r>
    </w:p>
    <w:p w14:paraId="301D3B8C" w14:textId="77777777" w:rsidR="003551B2" w:rsidRPr="003551B2" w:rsidRDefault="003551B2" w:rsidP="003551B2">
      <w:pPr>
        <w:keepNext/>
        <w:jc w:val="both"/>
        <w:rPr>
          <w:rFonts w:ascii="Roboto" w:eastAsia="Roboto" w:hAnsi="Roboto" w:cs="Roboto"/>
          <w:color w:val="000000"/>
          <w:sz w:val="20"/>
          <w:szCs w:val="20"/>
        </w:rPr>
      </w:pPr>
      <w:r w:rsidRPr="003551B2">
        <w:rPr>
          <w:rFonts w:ascii="Roboto" w:eastAsia="Roboto" w:hAnsi="Roboto" w:cs="Roboto"/>
          <w:color w:val="000000"/>
          <w:sz w:val="20"/>
          <w:szCs w:val="20"/>
        </w:rPr>
        <w:t xml:space="preserve">Asimismo, los sesgos presentes en los datos de entrenamiento cuestionan la neutralidad de los </w:t>
      </w:r>
      <w:r w:rsidRPr="003551B2">
        <w:rPr>
          <w:rFonts w:ascii="Roboto" w:eastAsia="Roboto" w:hAnsi="Roboto" w:cs="Roboto"/>
          <w:color w:val="000000"/>
          <w:sz w:val="20"/>
          <w:szCs w:val="20"/>
        </w:rPr>
        <w:lastRenderedPageBreak/>
        <w:t>resultados generados por estos sistemas. En la medida en que la IA reproduce patrones presentes en los datos, puede amplificar distorsiones o desigualdades, lo que obliga a problematizar su estatus como herramienta objetiva de conocimiento.</w:t>
      </w:r>
    </w:p>
    <w:p w14:paraId="6C822DD1" w14:textId="77777777" w:rsidR="003551B2" w:rsidRPr="003551B2" w:rsidRDefault="003551B2" w:rsidP="003551B2">
      <w:pPr>
        <w:keepNext/>
        <w:jc w:val="both"/>
        <w:rPr>
          <w:rFonts w:ascii="Roboto" w:eastAsia="Roboto" w:hAnsi="Roboto" w:cs="Roboto"/>
          <w:color w:val="000000"/>
          <w:sz w:val="20"/>
          <w:szCs w:val="20"/>
        </w:rPr>
      </w:pPr>
      <w:r w:rsidRPr="003551B2">
        <w:rPr>
          <w:rFonts w:ascii="Roboto" w:eastAsia="Roboto" w:hAnsi="Roboto" w:cs="Roboto"/>
          <w:color w:val="000000"/>
          <w:sz w:val="20"/>
          <w:szCs w:val="20"/>
        </w:rPr>
        <w:t>Estas tensiones no invalidan el papel de la IA en la ciencia, pero sí exigen una integración crítica y metodológicamente rigurosa. Desde una perspectiva realista, no basta con que una tecnología produzca resultados eficaces; es necesario que estos puedan ser comprendidos, evaluados y sometidos a criterios de validación compartidos.</w:t>
      </w:r>
    </w:p>
    <w:p w14:paraId="5924A176" w14:textId="77777777" w:rsidR="003551B2" w:rsidRPr="003551B2" w:rsidRDefault="003551B2" w:rsidP="003551B2">
      <w:pPr>
        <w:keepNext/>
        <w:jc w:val="both"/>
        <w:rPr>
          <w:rFonts w:ascii="Roboto" w:eastAsia="Roboto" w:hAnsi="Roboto" w:cs="Roboto"/>
          <w:color w:val="000000"/>
          <w:sz w:val="20"/>
          <w:szCs w:val="20"/>
        </w:rPr>
      </w:pPr>
      <w:r w:rsidRPr="003551B2">
        <w:rPr>
          <w:rFonts w:ascii="Roboto" w:eastAsia="Roboto" w:hAnsi="Roboto" w:cs="Roboto"/>
          <w:color w:val="000000"/>
          <w:sz w:val="20"/>
          <w:szCs w:val="20"/>
        </w:rPr>
        <w:t>En este sentido, la IA generativa cumple con criterios empíricos de éxito, pero al mismo tiempo desafía los criterios tradicionales de inteligibilidad, abriendo un espacio de reflexión sobre las condiciones del conocimiento científico en contextos altamente tecnificados.</w:t>
      </w:r>
    </w:p>
    <w:p w14:paraId="677678A9" w14:textId="77777777" w:rsidR="001D0D83" w:rsidRDefault="001D0D83" w:rsidP="001D0D83">
      <w:pPr>
        <w:keepNext/>
        <w:jc w:val="both"/>
        <w:rPr>
          <w:rFonts w:ascii="Roboto" w:eastAsia="Roboto" w:hAnsi="Roboto" w:cs="Roboto"/>
          <w:color w:val="000000"/>
          <w:sz w:val="20"/>
          <w:szCs w:val="20"/>
        </w:rPr>
      </w:pPr>
    </w:p>
    <w:p w14:paraId="6009C3B2" w14:textId="07AEEA3D" w:rsidR="001D0D83" w:rsidRPr="001D0D83" w:rsidRDefault="003551B2" w:rsidP="001D0D83">
      <w:pPr>
        <w:keepNext/>
        <w:jc w:val="both"/>
        <w:rPr>
          <w:rFonts w:ascii="Roboto" w:eastAsia="Roboto" w:hAnsi="Roboto" w:cs="Roboto"/>
          <w:b/>
          <w:bCs/>
          <w:color w:val="000000"/>
          <w:sz w:val="20"/>
          <w:szCs w:val="20"/>
        </w:rPr>
      </w:pPr>
      <w:r w:rsidRPr="003551B2">
        <w:rPr>
          <w:rFonts w:ascii="Roboto" w:eastAsia="Roboto" w:hAnsi="Roboto" w:cs="Roboto"/>
          <w:b/>
          <w:bCs/>
          <w:color w:val="000000"/>
          <w:sz w:val="20"/>
          <w:szCs w:val="20"/>
        </w:rPr>
        <w:t>Consideraciones finales</w:t>
      </w:r>
    </w:p>
    <w:p w14:paraId="09582D33" w14:textId="77777777" w:rsidR="003551B2" w:rsidRPr="003551B2" w:rsidRDefault="003551B2" w:rsidP="003551B2">
      <w:pPr>
        <w:jc w:val="both"/>
        <w:rPr>
          <w:rFonts w:ascii="Roboto" w:eastAsia="Roboto" w:hAnsi="Roboto" w:cs="Roboto"/>
          <w:color w:val="000000"/>
          <w:sz w:val="20"/>
          <w:szCs w:val="20"/>
        </w:rPr>
      </w:pPr>
      <w:r w:rsidRPr="003551B2">
        <w:rPr>
          <w:rFonts w:ascii="Roboto" w:eastAsia="Roboto" w:hAnsi="Roboto" w:cs="Roboto"/>
          <w:color w:val="000000"/>
          <w:sz w:val="20"/>
          <w:szCs w:val="20"/>
        </w:rPr>
        <w:t>La IA generativa ejemplifica de manera clara la interdependencia entre ciencia y tecnología descrita por el realismo científico de Agazzi. Su doble papel como instrumento de investigación y como mecanismo de validación teórica pone de manifiesto que el conocimiento científico no es un producto estático, sino el resultado de un proceso dinámico que articula teoría, tecnología y evidencia empírica.</w:t>
      </w:r>
    </w:p>
    <w:p w14:paraId="16CAB786" w14:textId="77777777" w:rsidR="003551B2" w:rsidRPr="003551B2" w:rsidRDefault="003551B2" w:rsidP="003551B2">
      <w:pPr>
        <w:jc w:val="both"/>
        <w:rPr>
          <w:rFonts w:ascii="Roboto" w:eastAsia="Roboto" w:hAnsi="Roboto" w:cs="Roboto"/>
          <w:color w:val="000000"/>
          <w:sz w:val="20"/>
          <w:szCs w:val="20"/>
        </w:rPr>
      </w:pPr>
      <w:r w:rsidRPr="003551B2">
        <w:rPr>
          <w:rFonts w:ascii="Roboto" w:eastAsia="Roboto" w:hAnsi="Roboto" w:cs="Roboto"/>
          <w:color w:val="000000"/>
          <w:sz w:val="20"/>
          <w:szCs w:val="20"/>
        </w:rPr>
        <w:t>Al mismo tiempo, los desafíos que introduce —particularmente en términos de interpretabilidad y objetividad— muestran que la integración de estas tecnologías requiere una revisión crítica de los supuestos epistemológicos tradicionales.</w:t>
      </w:r>
    </w:p>
    <w:p w14:paraId="79EF59C8" w14:textId="30C9AD92" w:rsidR="003551B2" w:rsidRPr="003551B2" w:rsidRDefault="00820AD7" w:rsidP="003551B2">
      <w:pPr>
        <w:jc w:val="both"/>
        <w:rPr>
          <w:rFonts w:ascii="Roboto" w:eastAsia="Roboto" w:hAnsi="Roboto" w:cs="Roboto"/>
          <w:color w:val="000000"/>
          <w:sz w:val="20"/>
          <w:szCs w:val="20"/>
        </w:rPr>
      </w:pPr>
      <w:r w:rsidRPr="00820AD7">
        <w:rPr>
          <w:rFonts w:ascii="Roboto" w:eastAsia="Roboto" w:hAnsi="Roboto" w:cs="Roboto"/>
          <w:color w:val="000000"/>
          <w:sz w:val="20"/>
          <w:szCs w:val="20"/>
        </w:rPr>
        <w:t>En este contexto, la IA generativa no solo acelera el progreso científico, sino que también desafía los criterios tradicionales de inteligibilidad, abriendo un espacio de reflexión sobre las condiciones del conocimiento científico en contextos altamente tecnificados. Este proceso continuo de generación, prueba y ajuste del conocimiento refuerza la necesidad de marcos teóricos capaces de dar cuenta de esta transformación.</w:t>
      </w:r>
      <w:r>
        <w:rPr>
          <w:rFonts w:ascii="Roboto" w:eastAsia="Roboto" w:hAnsi="Roboto" w:cs="Roboto"/>
          <w:color w:val="000000"/>
          <w:sz w:val="20"/>
          <w:szCs w:val="20"/>
        </w:rPr>
        <w:t xml:space="preserve"> </w:t>
      </w:r>
      <w:r w:rsidR="003551B2" w:rsidRPr="003551B2">
        <w:rPr>
          <w:rFonts w:ascii="Roboto" w:eastAsia="Roboto" w:hAnsi="Roboto" w:cs="Roboto"/>
          <w:color w:val="000000"/>
          <w:sz w:val="20"/>
          <w:szCs w:val="20"/>
        </w:rPr>
        <w:t>Esto refuerza la necesidad de marcos teóricos capaces de dar cuenta de esta transformación, entre los cuales el realismo científico de Agazzi ofrece una base particularmente fecunda.</w:t>
      </w:r>
    </w:p>
    <w:p w14:paraId="26743CA9" w14:textId="77777777" w:rsidR="00451D29" w:rsidRDefault="00451D29">
      <w:pPr>
        <w:jc w:val="both"/>
        <w:rPr>
          <w:rFonts w:ascii="Roboto" w:eastAsia="Roboto" w:hAnsi="Roboto" w:cs="Roboto"/>
          <w:sz w:val="20"/>
          <w:szCs w:val="20"/>
        </w:rPr>
      </w:pPr>
    </w:p>
    <w:p w14:paraId="5447E8C0" w14:textId="77777777" w:rsidR="00451D29" w:rsidRDefault="0035329C">
      <w:pPr>
        <w:jc w:val="both"/>
        <w:rPr>
          <w:rFonts w:ascii="Roboto" w:eastAsia="Roboto" w:hAnsi="Roboto" w:cs="Roboto"/>
          <w:b/>
          <w:bCs/>
          <w:sz w:val="20"/>
          <w:szCs w:val="20"/>
        </w:rPr>
      </w:pPr>
      <w:r>
        <w:rPr>
          <w:rFonts w:ascii="Roboto" w:eastAsia="Roboto" w:hAnsi="Roboto" w:cs="Roboto"/>
          <w:b/>
          <w:bCs/>
          <w:sz w:val="20"/>
          <w:szCs w:val="20"/>
        </w:rPr>
        <w:t>REFERENCIAS (Formato APA)</w:t>
      </w:r>
    </w:p>
    <w:p w14:paraId="147B1B1A" w14:textId="77777777" w:rsidR="00451D29" w:rsidRDefault="00451D29">
      <w:pPr>
        <w:jc w:val="both"/>
        <w:rPr>
          <w:rFonts w:ascii="Roboto" w:eastAsia="Roboto" w:hAnsi="Roboto" w:cs="Roboto"/>
          <w:sz w:val="20"/>
          <w:szCs w:val="20"/>
          <w:lang w:val="en-US"/>
        </w:rPr>
      </w:pPr>
    </w:p>
    <w:p w14:paraId="720098B8" w14:textId="77777777" w:rsidR="00820AD7" w:rsidRDefault="00820AD7">
      <w:pPr>
        <w:jc w:val="both"/>
        <w:rPr>
          <w:rFonts w:ascii="Roboto" w:eastAsia="Roboto" w:hAnsi="Roboto" w:cs="Roboto"/>
          <w:sz w:val="20"/>
          <w:szCs w:val="20"/>
          <w:lang w:val="en-US"/>
        </w:rPr>
      </w:pPr>
    </w:p>
    <w:p w14:paraId="2B7ADB5D" w14:textId="4D57CFDB" w:rsidR="00820AD7" w:rsidRP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Agazzi, E. (1998). From Technique to Technology: The Role of Modern Science. </w:t>
      </w:r>
      <w:r w:rsidRPr="00820AD7">
        <w:rPr>
          <w:rFonts w:ascii="Roboto" w:eastAsia="Roboto" w:hAnsi="Roboto" w:cs="Roboto"/>
          <w:i/>
          <w:iCs/>
          <w:sz w:val="20"/>
          <w:szCs w:val="20"/>
          <w:lang w:val="en-US"/>
        </w:rPr>
        <w:t>Philosophy &amp; Technology</w:t>
      </w:r>
      <w:r w:rsidRPr="00820AD7">
        <w:rPr>
          <w:rFonts w:ascii="Roboto" w:eastAsia="Roboto" w:hAnsi="Roboto" w:cs="Roboto"/>
          <w:sz w:val="20"/>
          <w:szCs w:val="20"/>
          <w:lang w:val="en-US"/>
        </w:rPr>
        <w:t>, 4(2), 80–85. Retrieved</w:t>
      </w:r>
      <w:r>
        <w:rPr>
          <w:rFonts w:ascii="Roboto" w:eastAsia="Roboto" w:hAnsi="Roboto" w:cs="Roboto"/>
          <w:sz w:val="20"/>
          <w:szCs w:val="20"/>
          <w:lang w:val="en-US"/>
        </w:rPr>
        <w:t xml:space="preserve"> </w:t>
      </w:r>
      <w:r w:rsidRPr="00820AD7">
        <w:rPr>
          <w:rFonts w:ascii="Roboto" w:eastAsia="Roboto" w:hAnsi="Roboto" w:cs="Roboto"/>
          <w:sz w:val="20"/>
          <w:szCs w:val="20"/>
          <w:lang w:val="en-US"/>
        </w:rPr>
        <w:t>from </w:t>
      </w:r>
      <w:hyperlink r:id="rId9" w:tgtFrame="_new" w:history="1">
        <w:r w:rsidRPr="00820AD7">
          <w:rPr>
            <w:rStyle w:val="Hipervnculo"/>
            <w:rFonts w:ascii="Roboto" w:eastAsia="Roboto" w:hAnsi="Roboto" w:cs="Roboto"/>
            <w:sz w:val="20"/>
            <w:szCs w:val="20"/>
            <w:lang w:val="en-US"/>
          </w:rPr>
          <w:t>https://scholar.lib.vt.edu/ejournals/SPT/v4n2/pdf/AGAZZI.PDF</w:t>
        </w:r>
      </w:hyperlink>
    </w:p>
    <w:p w14:paraId="495A45A0" w14:textId="77777777" w:rsidR="00820AD7" w:rsidRPr="00820AD7" w:rsidRDefault="00820AD7" w:rsidP="00820AD7">
      <w:pPr>
        <w:jc w:val="both"/>
        <w:rPr>
          <w:rFonts w:ascii="Roboto" w:eastAsia="Roboto" w:hAnsi="Roboto" w:cs="Roboto"/>
          <w:sz w:val="20"/>
          <w:szCs w:val="20"/>
          <w:lang w:val="en-US"/>
        </w:rPr>
      </w:pPr>
    </w:p>
    <w:p w14:paraId="5C796F95" w14:textId="67C31BF7" w:rsid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 xml:space="preserve">Agazzi, E. (2014). </w:t>
      </w:r>
      <w:r w:rsidRPr="00820AD7">
        <w:rPr>
          <w:rFonts w:ascii="Roboto" w:eastAsia="Roboto" w:hAnsi="Roboto" w:cs="Roboto"/>
          <w:i/>
          <w:iCs/>
          <w:sz w:val="20"/>
          <w:szCs w:val="20"/>
          <w:lang w:val="en-US"/>
        </w:rPr>
        <w:t>Scientific Objectivity and Its Contexts.</w:t>
      </w:r>
      <w:r w:rsidRPr="00820AD7">
        <w:rPr>
          <w:rFonts w:ascii="Roboto" w:eastAsia="Roboto" w:hAnsi="Roboto" w:cs="Roboto"/>
          <w:sz w:val="20"/>
          <w:szCs w:val="20"/>
          <w:lang w:val="en-US"/>
        </w:rPr>
        <w:t xml:space="preserve"> Springer.</w:t>
      </w:r>
    </w:p>
    <w:p w14:paraId="43265071" w14:textId="77777777" w:rsidR="00820AD7" w:rsidRDefault="00820AD7" w:rsidP="00820AD7">
      <w:pPr>
        <w:jc w:val="both"/>
        <w:rPr>
          <w:rFonts w:ascii="Roboto" w:eastAsia="Roboto" w:hAnsi="Roboto" w:cs="Roboto"/>
          <w:sz w:val="20"/>
          <w:szCs w:val="20"/>
          <w:lang w:val="en-US"/>
        </w:rPr>
      </w:pPr>
    </w:p>
    <w:p w14:paraId="3E482CDE" w14:textId="77777777" w:rsidR="00820AD7" w:rsidRP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 xml:space="preserve">Agazzi, E. (2016). Scientific Realism Within Perspectivism and Perspectivism Within Scientific Realism. </w:t>
      </w:r>
      <w:r w:rsidRPr="00820AD7">
        <w:rPr>
          <w:rFonts w:ascii="Roboto" w:eastAsia="Roboto" w:hAnsi="Roboto" w:cs="Roboto"/>
          <w:i/>
          <w:iCs/>
          <w:sz w:val="20"/>
          <w:szCs w:val="20"/>
          <w:lang w:val="en-US"/>
        </w:rPr>
        <w:t>Axiomathes</w:t>
      </w:r>
      <w:r w:rsidRPr="00820AD7">
        <w:rPr>
          <w:rFonts w:ascii="Roboto" w:eastAsia="Roboto" w:hAnsi="Roboto" w:cs="Roboto"/>
          <w:sz w:val="20"/>
          <w:szCs w:val="20"/>
          <w:lang w:val="en-US"/>
        </w:rPr>
        <w:t xml:space="preserve">, 26(4), 349-365. </w:t>
      </w:r>
      <w:hyperlink r:id="rId10" w:history="1">
        <w:r w:rsidRPr="00820AD7">
          <w:rPr>
            <w:rStyle w:val="Hipervnculo"/>
            <w:rFonts w:ascii="Roboto" w:eastAsia="Roboto" w:hAnsi="Roboto" w:cs="Roboto"/>
            <w:sz w:val="20"/>
            <w:szCs w:val="20"/>
            <w:lang w:val="en-US"/>
          </w:rPr>
          <w:t>https://doi.org/10.1007/s10516-016-9304-4</w:t>
        </w:r>
      </w:hyperlink>
    </w:p>
    <w:p w14:paraId="67C34F89" w14:textId="77777777" w:rsidR="00820AD7" w:rsidRPr="00820AD7" w:rsidRDefault="00820AD7" w:rsidP="00820AD7">
      <w:pPr>
        <w:jc w:val="both"/>
        <w:rPr>
          <w:rFonts w:ascii="Roboto" w:eastAsia="Roboto" w:hAnsi="Roboto" w:cs="Roboto"/>
          <w:sz w:val="20"/>
          <w:szCs w:val="20"/>
          <w:lang w:val="en-US"/>
        </w:rPr>
      </w:pPr>
    </w:p>
    <w:p w14:paraId="5AF79A17" w14:textId="77777777" w:rsidR="00820AD7" w:rsidRP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 xml:space="preserve">Agazzi, Evandro (2020). Freedom Versus Regulation in Science and Technology. </w:t>
      </w:r>
      <w:r w:rsidRPr="00820AD7">
        <w:rPr>
          <w:rFonts w:ascii="Roboto" w:eastAsia="Roboto" w:hAnsi="Roboto" w:cs="Roboto"/>
          <w:i/>
          <w:iCs/>
          <w:sz w:val="20"/>
          <w:szCs w:val="20"/>
          <w:lang w:val="en-US"/>
        </w:rPr>
        <w:t>Axiomathes</w:t>
      </w:r>
      <w:r w:rsidRPr="00820AD7">
        <w:rPr>
          <w:rFonts w:ascii="Roboto" w:eastAsia="Roboto" w:hAnsi="Roboto" w:cs="Roboto"/>
          <w:sz w:val="20"/>
          <w:szCs w:val="20"/>
          <w:lang w:val="en-US"/>
        </w:rPr>
        <w:t xml:space="preserve"> 30 (6):617-628.</w:t>
      </w:r>
    </w:p>
    <w:p w14:paraId="53D07502" w14:textId="529EA4F3" w:rsidR="00820AD7" w:rsidRPr="00820AD7" w:rsidRDefault="00820AD7" w:rsidP="00820AD7">
      <w:pPr>
        <w:jc w:val="both"/>
        <w:rPr>
          <w:rFonts w:ascii="Roboto" w:eastAsia="Roboto" w:hAnsi="Roboto" w:cs="Roboto"/>
          <w:sz w:val="20"/>
          <w:szCs w:val="20"/>
          <w:lang w:val="en-US"/>
        </w:rPr>
      </w:pPr>
    </w:p>
    <w:p w14:paraId="66A1C7F3" w14:textId="7F199C00" w:rsidR="00820AD7" w:rsidRP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David, O., Guillemain, I., Saillet, S., Reyt, S., &amp; Deransart, C. (2008). Identifying Neural Drivers with Functional MRI: An Electrophysiological Validation. </w:t>
      </w:r>
      <w:r w:rsidRPr="00820AD7">
        <w:rPr>
          <w:rFonts w:ascii="Roboto" w:eastAsia="Roboto" w:hAnsi="Roboto" w:cs="Roboto"/>
          <w:i/>
          <w:iCs/>
          <w:sz w:val="20"/>
          <w:szCs w:val="20"/>
          <w:lang w:val="en-US"/>
        </w:rPr>
        <w:t>PLOS Biology</w:t>
      </w:r>
      <w:r w:rsidRPr="00820AD7">
        <w:rPr>
          <w:rFonts w:ascii="Roboto" w:eastAsia="Roboto" w:hAnsi="Roboto" w:cs="Roboto"/>
          <w:sz w:val="20"/>
          <w:szCs w:val="20"/>
          <w:lang w:val="en-US"/>
        </w:rPr>
        <w:t>, 6(12),</w:t>
      </w:r>
      <w:r>
        <w:rPr>
          <w:rFonts w:ascii="Roboto" w:eastAsia="Roboto" w:hAnsi="Roboto" w:cs="Roboto"/>
          <w:sz w:val="20"/>
          <w:szCs w:val="20"/>
          <w:lang w:val="en-US"/>
        </w:rPr>
        <w:t xml:space="preserve"> </w:t>
      </w:r>
      <w:r w:rsidRPr="00820AD7">
        <w:rPr>
          <w:rFonts w:ascii="Roboto" w:eastAsia="Roboto" w:hAnsi="Roboto" w:cs="Roboto"/>
          <w:sz w:val="20"/>
          <w:szCs w:val="20"/>
          <w:lang w:val="en-US"/>
        </w:rPr>
        <w:t>e315.</w:t>
      </w:r>
      <w:r>
        <w:rPr>
          <w:rFonts w:ascii="Roboto" w:eastAsia="Roboto" w:hAnsi="Roboto" w:cs="Roboto"/>
          <w:sz w:val="20"/>
          <w:szCs w:val="20"/>
          <w:lang w:val="en-US"/>
        </w:rPr>
        <w:t xml:space="preserve"> </w:t>
      </w:r>
      <w:hyperlink r:id="rId11" w:history="1">
        <w:r w:rsidRPr="00820AD7">
          <w:rPr>
            <w:rStyle w:val="Hipervnculo"/>
            <w:rFonts w:ascii="Roboto" w:eastAsia="Roboto" w:hAnsi="Roboto" w:cs="Roboto"/>
            <w:sz w:val="20"/>
            <w:szCs w:val="20"/>
            <w:lang w:val="en-US"/>
          </w:rPr>
          <w:t>https://doi.org/10.1371/journal.pbio.0060315</w:t>
        </w:r>
      </w:hyperlink>
    </w:p>
    <w:p w14:paraId="647D219E" w14:textId="7D41A145" w:rsidR="00820AD7" w:rsidRPr="00820AD7" w:rsidRDefault="00820AD7" w:rsidP="00820AD7">
      <w:pPr>
        <w:jc w:val="both"/>
        <w:rPr>
          <w:rFonts w:ascii="Roboto" w:eastAsia="Roboto" w:hAnsi="Roboto" w:cs="Roboto"/>
          <w:sz w:val="20"/>
          <w:szCs w:val="20"/>
          <w:lang w:val="en-US"/>
        </w:rPr>
      </w:pPr>
    </w:p>
    <w:p w14:paraId="17114A3C" w14:textId="77777777" w:rsidR="00820AD7" w:rsidRP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Spelda, P., &amp; Stritecky, V. (2021). What can artificial intelligence do for scientific realism? </w:t>
      </w:r>
      <w:r w:rsidRPr="00820AD7">
        <w:rPr>
          <w:rFonts w:ascii="Roboto" w:eastAsia="Roboto" w:hAnsi="Roboto" w:cs="Roboto"/>
          <w:i/>
          <w:iCs/>
          <w:sz w:val="20"/>
          <w:szCs w:val="20"/>
          <w:lang w:val="en-US"/>
        </w:rPr>
        <w:t>Axiomathes</w:t>
      </w:r>
      <w:r w:rsidRPr="00820AD7">
        <w:rPr>
          <w:rFonts w:ascii="Roboto" w:eastAsia="Roboto" w:hAnsi="Roboto" w:cs="Roboto"/>
          <w:sz w:val="20"/>
          <w:szCs w:val="20"/>
          <w:lang w:val="en-US"/>
        </w:rPr>
        <w:t>, 31, 85–104. </w:t>
      </w:r>
      <w:hyperlink r:id="rId12" w:history="1">
        <w:r w:rsidRPr="00820AD7">
          <w:rPr>
            <w:rStyle w:val="Hipervnculo"/>
            <w:rFonts w:ascii="Roboto" w:eastAsia="Roboto" w:hAnsi="Roboto" w:cs="Roboto"/>
            <w:sz w:val="20"/>
            <w:szCs w:val="20"/>
            <w:lang w:val="en-US"/>
          </w:rPr>
          <w:t>https://doi.org/10.1007/s10516-020-09480-0</w:t>
        </w:r>
      </w:hyperlink>
      <w:r w:rsidRPr="00820AD7">
        <w:rPr>
          <w:rFonts w:ascii="Roboto" w:eastAsia="Roboto" w:hAnsi="Roboto" w:cs="Roboto"/>
          <w:sz w:val="20"/>
          <w:szCs w:val="20"/>
          <w:lang w:val="en-US"/>
        </w:rPr>
        <w:t xml:space="preserve"> </w:t>
      </w:r>
    </w:p>
    <w:p w14:paraId="28C9D082" w14:textId="77777777" w:rsidR="00820AD7" w:rsidRPr="00820AD7" w:rsidRDefault="00820AD7" w:rsidP="00820AD7">
      <w:pPr>
        <w:jc w:val="both"/>
        <w:rPr>
          <w:rFonts w:ascii="Roboto" w:eastAsia="Roboto" w:hAnsi="Roboto" w:cs="Roboto"/>
          <w:sz w:val="20"/>
          <w:szCs w:val="20"/>
        </w:rPr>
      </w:pPr>
    </w:p>
    <w:p w14:paraId="1D379CDA" w14:textId="7767EF3C" w:rsidR="00820AD7" w:rsidRPr="00820AD7" w:rsidRDefault="00820AD7" w:rsidP="00820AD7">
      <w:pPr>
        <w:jc w:val="both"/>
        <w:rPr>
          <w:rFonts w:ascii="Roboto" w:eastAsia="Roboto" w:hAnsi="Roboto" w:cs="Roboto"/>
          <w:sz w:val="20"/>
          <w:szCs w:val="20"/>
          <w:lang w:val="en-US"/>
        </w:rPr>
      </w:pPr>
      <w:r w:rsidRPr="00820AD7">
        <w:rPr>
          <w:rFonts w:ascii="Roboto" w:eastAsia="Roboto" w:hAnsi="Roboto" w:cs="Roboto"/>
          <w:sz w:val="20"/>
          <w:szCs w:val="20"/>
          <w:lang w:val="en-US"/>
        </w:rPr>
        <w:t>Alvarado, R. (2023).</w:t>
      </w:r>
      <w:r>
        <w:rPr>
          <w:rFonts w:ascii="Roboto" w:eastAsia="Roboto" w:hAnsi="Roboto" w:cs="Roboto"/>
          <w:sz w:val="20"/>
          <w:szCs w:val="20"/>
          <w:lang w:val="en-US"/>
        </w:rPr>
        <w:t xml:space="preserve"> </w:t>
      </w:r>
      <w:r w:rsidRPr="00820AD7">
        <w:rPr>
          <w:rFonts w:ascii="Roboto" w:eastAsia="Roboto" w:hAnsi="Roboto" w:cs="Roboto"/>
          <w:sz w:val="20"/>
          <w:szCs w:val="20"/>
          <w:lang w:val="en-US"/>
        </w:rPr>
        <w:t xml:space="preserve">AI as an epistemic technology. </w:t>
      </w:r>
      <w:r w:rsidRPr="00820AD7">
        <w:rPr>
          <w:rFonts w:ascii="Roboto" w:eastAsia="Roboto" w:hAnsi="Roboto" w:cs="Roboto"/>
          <w:i/>
          <w:iCs/>
          <w:sz w:val="20"/>
          <w:szCs w:val="20"/>
          <w:lang w:val="en-US"/>
        </w:rPr>
        <w:t>Science and Engineering Ethics, 29</w:t>
      </w:r>
      <w:r w:rsidRPr="00820AD7">
        <w:rPr>
          <w:rFonts w:ascii="Roboto" w:eastAsia="Roboto" w:hAnsi="Roboto" w:cs="Roboto"/>
          <w:sz w:val="20"/>
          <w:szCs w:val="20"/>
          <w:lang w:val="en-US"/>
        </w:rPr>
        <w:t xml:space="preserve">, 32. </w:t>
      </w:r>
      <w:hyperlink r:id="rId13" w:tgtFrame="_new" w:history="1">
        <w:r w:rsidRPr="00820AD7">
          <w:rPr>
            <w:rStyle w:val="Hipervnculo"/>
            <w:rFonts w:ascii="Roboto" w:eastAsia="Roboto" w:hAnsi="Roboto" w:cs="Roboto"/>
            <w:sz w:val="20"/>
            <w:szCs w:val="20"/>
            <w:lang w:val="en-US"/>
          </w:rPr>
          <w:t>https://doi.org/10.1007/s11948-</w:t>
        </w:r>
        <w:r w:rsidRPr="00820AD7">
          <w:rPr>
            <w:rStyle w:val="Hipervnculo"/>
            <w:rFonts w:ascii="Roboto" w:eastAsia="Roboto" w:hAnsi="Roboto" w:cs="Roboto"/>
            <w:sz w:val="20"/>
            <w:szCs w:val="20"/>
            <w:lang w:val="en-US"/>
          </w:rPr>
          <w:t>0</w:t>
        </w:r>
        <w:r w:rsidRPr="00820AD7">
          <w:rPr>
            <w:rStyle w:val="Hipervnculo"/>
            <w:rFonts w:ascii="Roboto" w:eastAsia="Roboto" w:hAnsi="Roboto" w:cs="Roboto"/>
            <w:sz w:val="20"/>
            <w:szCs w:val="20"/>
            <w:lang w:val="en-US"/>
          </w:rPr>
          <w:t>23-00451-3</w:t>
        </w:r>
      </w:hyperlink>
    </w:p>
    <w:p w14:paraId="51810676" w14:textId="77777777" w:rsidR="00820AD7" w:rsidRPr="001D0D83" w:rsidRDefault="00820AD7">
      <w:pPr>
        <w:jc w:val="both"/>
        <w:rPr>
          <w:rFonts w:ascii="Roboto" w:eastAsia="Roboto" w:hAnsi="Roboto" w:cs="Roboto"/>
          <w:sz w:val="20"/>
          <w:szCs w:val="20"/>
          <w:lang w:val="en-US"/>
        </w:rPr>
        <w:sectPr w:rsidR="00820AD7" w:rsidRPr="001D0D83">
          <w:type w:val="continuous"/>
          <w:pgSz w:w="11906" w:h="16838"/>
          <w:pgMar w:top="1134" w:right="851" w:bottom="1134" w:left="851" w:header="357" w:footer="720" w:gutter="0"/>
          <w:cols w:num="2" w:space="720" w:equalWidth="0">
            <w:col w:w="4934" w:space="335"/>
            <w:col w:w="4934" w:space="0"/>
          </w:cols>
        </w:sectPr>
      </w:pPr>
    </w:p>
    <w:p w14:paraId="5DE1BEB9" w14:textId="77777777" w:rsidR="00451D29" w:rsidRDefault="0035329C">
      <w:pPr>
        <w:spacing w:before="240"/>
        <w:jc w:val="center"/>
        <w:rPr>
          <w:rFonts w:ascii="Roboto" w:eastAsia="Roboto" w:hAnsi="Roboto" w:cs="Roboto"/>
          <w:b/>
          <w:bCs/>
          <w:color w:val="FF0000"/>
          <w:sz w:val="20"/>
          <w:szCs w:val="20"/>
        </w:rPr>
      </w:pPr>
      <w:r w:rsidRPr="00820AD7">
        <w:rPr>
          <w:rFonts w:ascii="Roboto" w:eastAsia="Roboto" w:hAnsi="Roboto" w:cs="Roboto"/>
          <w:b/>
          <w:bCs/>
          <w:color w:val="FF0000"/>
          <w:sz w:val="20"/>
          <w:szCs w:val="20"/>
        </w:rPr>
        <w:lastRenderedPageBreak/>
        <w:t xml:space="preserve">NO ELIMINAR ESTA HOJA DEL ARCHIVO. </w:t>
      </w:r>
      <w:r>
        <w:rPr>
          <w:rFonts w:ascii="Roboto" w:eastAsia="Roboto" w:hAnsi="Roboto" w:cs="Roboto"/>
          <w:b/>
          <w:bCs/>
          <w:color w:val="FF0000"/>
          <w:sz w:val="20"/>
          <w:szCs w:val="20"/>
        </w:rPr>
        <w:t>ENVÍE EL ARCHIVO COMPLETO</w:t>
      </w:r>
    </w:p>
    <w:p w14:paraId="385EA197" w14:textId="77777777" w:rsidR="00451D29" w:rsidRDefault="0035329C">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2169E44A" w14:textId="77777777" w:rsidR="00451D29" w:rsidRDefault="0035329C">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7667BAD4"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04774FF4" w14:textId="77777777" w:rsidR="00451D29"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7042FDB5"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50C0030" w14:textId="77777777" w:rsidR="00451D29"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48701FF5"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1086D0C6" w14:textId="77777777" w:rsidR="00451D29"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1F03FC72"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76F863F3" w14:textId="77777777" w:rsidR="00451D29" w:rsidRDefault="0035329C">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321F4682" w14:textId="77777777" w:rsidR="00451D29" w:rsidRDefault="0035329C">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4E0ABFC" w14:textId="77777777" w:rsidR="00451D29" w:rsidRDefault="0035329C">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6A32DCAE" w14:textId="77777777" w:rsidR="00451D29" w:rsidRDefault="0035329C">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3C48DC0C" w14:textId="77777777" w:rsidR="00451D29"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522E9438"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5FF91CB5" w14:textId="77777777" w:rsidR="00451D29" w:rsidRDefault="0035329C">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72CF28F6" w14:textId="77777777" w:rsidR="00451D29" w:rsidRDefault="0035329C">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10636413" w14:textId="77777777" w:rsidR="00451D29" w:rsidRDefault="0035329C">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5002E65F" w14:textId="77777777" w:rsidR="00451D29"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1A4CB091"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0B1E6D4A" w14:textId="77777777" w:rsidR="00451D29"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295375B8"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01D7D26A" w14:textId="77777777" w:rsidR="00451D29" w:rsidRDefault="0035329C">
      <w:pPr>
        <w:spacing w:before="240" w:after="240"/>
        <w:jc w:val="both"/>
        <w:rPr>
          <w:rFonts w:ascii="Roboto" w:eastAsia="Roboto" w:hAnsi="Roboto" w:cs="Roboto"/>
          <w:sz w:val="20"/>
          <w:szCs w:val="20"/>
        </w:rPr>
      </w:pPr>
      <w:r>
        <w:rPr>
          <w:rFonts w:ascii="Roboto" w:eastAsia="Roboto" w:hAnsi="Roboto" w:cs="Roboto"/>
          <w:sz w:val="20"/>
          <w:szCs w:val="20"/>
        </w:rPr>
        <w:t>(  Marque con X  )  Declaro que he leído y acepto los términos de esta declaración y autorización de publicación.</w:t>
      </w:r>
    </w:p>
    <w:p w14:paraId="0AFD41CB" w14:textId="2293E3B1" w:rsidR="0035329C"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t>Autor responsable: Rafael Isaac Estrada Danell</w:t>
      </w:r>
    </w:p>
    <w:p w14:paraId="2B71464F" w14:textId="77777777" w:rsidR="0035329C" w:rsidRDefault="0035329C">
      <w:pPr>
        <w:spacing w:before="240" w:after="240"/>
        <w:jc w:val="both"/>
        <w:rPr>
          <w:rFonts w:ascii="Roboto" w:eastAsia="Roboto" w:hAnsi="Roboto" w:cs="Roboto"/>
          <w:b/>
          <w:bCs/>
          <w:sz w:val="20"/>
          <w:szCs w:val="20"/>
        </w:rPr>
      </w:pPr>
      <w:r>
        <w:rPr>
          <w:rFonts w:ascii="Roboto" w:eastAsia="Roboto" w:hAnsi="Roboto" w:cs="Roboto"/>
          <w:b/>
          <w:bCs/>
          <w:sz w:val="20"/>
          <w:szCs w:val="20"/>
        </w:rPr>
        <w:lastRenderedPageBreak/>
        <w:t>Institución: Anáhuac Online</w:t>
      </w:r>
    </w:p>
    <w:p w14:paraId="4FAFD352" w14:textId="394D9D7F" w:rsidR="00451D29" w:rsidRPr="0035329C" w:rsidRDefault="0035329C" w:rsidP="0035329C">
      <w:pPr>
        <w:spacing w:before="240" w:after="240"/>
        <w:jc w:val="both"/>
        <w:rPr>
          <w:rFonts w:ascii="Roboto" w:eastAsia="Roboto" w:hAnsi="Roboto" w:cs="Roboto"/>
          <w:b/>
          <w:bCs/>
          <w:sz w:val="20"/>
          <w:szCs w:val="20"/>
        </w:rPr>
      </w:pPr>
      <w:r>
        <w:rPr>
          <w:rFonts w:ascii="Roboto" w:eastAsia="Roboto" w:hAnsi="Roboto" w:cs="Roboto"/>
          <w:b/>
          <w:bCs/>
          <w:sz w:val="20"/>
          <w:szCs w:val="20"/>
        </w:rPr>
        <w:t xml:space="preserve">Título del trabajo con autores: </w:t>
      </w:r>
      <w:r w:rsidRPr="0035329C">
        <w:rPr>
          <w:rFonts w:ascii="Roboto" w:eastAsia="Roboto" w:hAnsi="Roboto" w:cs="Roboto"/>
          <w:b/>
          <w:bCs/>
          <w:sz w:val="20"/>
          <w:szCs w:val="20"/>
        </w:rPr>
        <w:t>La IA generativa y el nexo ciencia–tecnología: una interpretación realista desde Agazzi</w:t>
      </w:r>
      <w:r>
        <w:rPr>
          <w:rFonts w:ascii="Roboto" w:eastAsia="Roboto" w:hAnsi="Roboto" w:cs="Roboto"/>
          <w:b/>
          <w:bCs/>
          <w:sz w:val="20"/>
          <w:szCs w:val="20"/>
        </w:rPr>
        <w:t>. Rafael Isaac Estrada Danell</w:t>
      </w:r>
    </w:p>
    <w:sectPr w:rsidR="00451D29" w:rsidRPr="0035329C">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E7DBFE" w14:textId="77777777" w:rsidR="0035329C" w:rsidRDefault="0035329C">
      <w:r>
        <w:separator/>
      </w:r>
    </w:p>
  </w:endnote>
  <w:endnote w:type="continuationSeparator" w:id="0">
    <w:p w14:paraId="11FB4DC4" w14:textId="77777777" w:rsidR="0035329C" w:rsidRDefault="00353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embedRegular r:id="rId1" w:fontKey="{570EDA2A-9960-4767-8809-8407957FFA5B}"/>
  </w:font>
  <w:font w:name="Georgia">
    <w:panose1 w:val="02040502050405020303"/>
    <w:charset w:val="00"/>
    <w:family w:val="roman"/>
    <w:pitch w:val="variable"/>
    <w:sig w:usb0="00000287" w:usb1="00000000" w:usb2="00000000" w:usb3="00000000" w:csb0="0000009F" w:csb1="00000000"/>
    <w:embedItalic r:id="rId2" w:fontKey="{E8E000AE-4367-4C34-BD53-CB1BE1124FEC}"/>
  </w:font>
  <w:font w:name="Roboto">
    <w:charset w:val="00"/>
    <w:family w:val="auto"/>
    <w:pitch w:val="default"/>
    <w:embedRegular r:id="rId3" w:fontKey="{4E12E864-4014-4330-A98A-83F80CF967BF}"/>
    <w:embedBold r:id="rId4" w:fontKey="{A9DC2198-ECE0-44E8-9F24-25F94067E7A0}"/>
    <w:embedItalic r:id="rId5" w:fontKey="{9F35E748-A27D-45CA-9187-AB858D487771}"/>
  </w:font>
  <w:font w:name="Calibri Light">
    <w:panose1 w:val="020F0302020204030204"/>
    <w:charset w:val="00"/>
    <w:family w:val="swiss"/>
    <w:pitch w:val="variable"/>
    <w:sig w:usb0="E4002EFF" w:usb1="C200247B" w:usb2="00000009" w:usb3="00000000" w:csb0="000001FF" w:csb1="00000000"/>
    <w:embedRegular r:id="rId6" w:fontKey="{A255C568-D8AD-4DFA-8DFC-53A36C16A00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B241B" w14:textId="77777777" w:rsidR="0035329C" w:rsidRDefault="0035329C">
      <w:r>
        <w:separator/>
      </w:r>
    </w:p>
  </w:footnote>
  <w:footnote w:type="continuationSeparator" w:id="0">
    <w:p w14:paraId="4F63C57F" w14:textId="77777777" w:rsidR="0035329C" w:rsidRDefault="00353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537E9" w14:textId="77777777" w:rsidR="00451D29" w:rsidRDefault="00451D29">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451D29" w14:paraId="1586AAAF" w14:textId="77777777">
      <w:trPr>
        <w:trHeight w:val="345"/>
        <w:jc w:val="center"/>
      </w:trPr>
      <w:tc>
        <w:tcPr>
          <w:tcW w:w="6306" w:type="dxa"/>
          <w:vAlign w:val="center"/>
        </w:tcPr>
        <w:p w14:paraId="2A0ED178" w14:textId="77777777" w:rsidR="00451D29" w:rsidRDefault="00451D29">
          <w:pPr>
            <w:jc w:val="center"/>
            <w:rPr>
              <w:i/>
              <w:iCs/>
              <w:sz w:val="18"/>
              <w:szCs w:val="18"/>
            </w:rPr>
          </w:pPr>
        </w:p>
      </w:tc>
    </w:tr>
  </w:tbl>
  <w:p w14:paraId="6A4EB6FD" w14:textId="77777777" w:rsidR="00451D29" w:rsidRDefault="00451D29">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12798"/>
    <w:multiLevelType w:val="multilevel"/>
    <w:tmpl w:val="AD5EA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22A747B"/>
    <w:multiLevelType w:val="multilevel"/>
    <w:tmpl w:val="B3D0E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5427823">
    <w:abstractNumId w:val="0"/>
  </w:num>
  <w:num w:numId="2" w16cid:durableId="1095050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D29"/>
    <w:rsid w:val="000250AB"/>
    <w:rsid w:val="000B40EC"/>
    <w:rsid w:val="00167376"/>
    <w:rsid w:val="001D0D83"/>
    <w:rsid w:val="0035329C"/>
    <w:rsid w:val="003551B2"/>
    <w:rsid w:val="00451D29"/>
    <w:rsid w:val="00820AD7"/>
    <w:rsid w:val="00AB5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1B8A06C"/>
  <w15:docId w15:val="{4F4A2281-6697-46C7-A45F-6D43659B2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820AD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07/s11948-023-0045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07/s10516-020-09480-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371/journal.pbio.0060315"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1007/s10516-016-9304-4" TargetMode="External"/><Relationship Id="rId4" Type="http://schemas.openxmlformats.org/officeDocument/2006/relationships/settings" Target="settings.xml"/><Relationship Id="rId9" Type="http://schemas.openxmlformats.org/officeDocument/2006/relationships/hyperlink" Target="https://scholar.lib.vt.edu/ejournals/SPT/v4n2/pdf/AGAZZI.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1669</TotalTime>
  <Pages>4</Pages>
  <Words>1880</Words>
  <Characters>10341</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gerar</cp:lastModifiedBy>
  <cp:revision>3</cp:revision>
  <dcterms:created xsi:type="dcterms:W3CDTF">2026-03-30T18:45:00Z</dcterms:created>
  <dcterms:modified xsi:type="dcterms:W3CDTF">2026-03-31T22:34:00Z</dcterms:modified>
</cp:coreProperties>
</file>