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B68673" w14:textId="543D445C" w:rsidR="004D1CE1" w:rsidRDefault="00C653E1">
      <w:pPr>
        <w:pBdr>
          <w:top w:val="nil"/>
          <w:left w:val="nil"/>
          <w:bottom w:val="nil"/>
          <w:right w:val="nil"/>
          <w:between w:val="nil"/>
        </w:pBdr>
        <w:spacing w:before="120" w:after="120"/>
        <w:jc w:val="center"/>
        <w:rPr>
          <w:rFonts w:ascii="Roboto" w:eastAsia="Roboto" w:hAnsi="Roboto" w:cs="Roboto"/>
          <w:b/>
          <w:bCs/>
          <w:color w:val="000000"/>
        </w:rPr>
      </w:pPr>
      <w:r w:rsidRPr="00C653E1">
        <w:rPr>
          <w:rFonts w:ascii="Roboto" w:eastAsia="Roboto" w:hAnsi="Roboto" w:cs="Roboto"/>
          <w:b/>
          <w:bCs/>
          <w:color w:val="000000"/>
        </w:rPr>
        <w:t>Evaluación de la experiencia de aprendizaje en maestrías en línea: análisis psicométrico con el Modelo de Respuesta Graduada de Samejima</w:t>
      </w:r>
    </w:p>
    <w:p w14:paraId="3550CACF" w14:textId="5CE1421D" w:rsidR="004D1CE1" w:rsidRDefault="00C653E1">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Carriedo</w:t>
      </w:r>
      <w:r w:rsidR="00000000">
        <w:rPr>
          <w:rFonts w:ascii="Roboto" w:eastAsia="Roboto" w:hAnsi="Roboto" w:cs="Roboto"/>
          <w:b/>
          <w:bCs/>
          <w:color w:val="000000"/>
          <w:sz w:val="20"/>
          <w:szCs w:val="20"/>
        </w:rPr>
        <w:t>-</w:t>
      </w:r>
      <w:r>
        <w:rPr>
          <w:rFonts w:ascii="Roboto" w:eastAsia="Roboto" w:hAnsi="Roboto" w:cs="Roboto"/>
          <w:b/>
          <w:bCs/>
          <w:color w:val="000000"/>
          <w:sz w:val="20"/>
          <w:szCs w:val="20"/>
        </w:rPr>
        <w:t>Moreno</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M</w:t>
      </w:r>
      <w:r w:rsidR="00000000">
        <w:rPr>
          <w:rFonts w:ascii="Roboto" w:eastAsia="Roboto" w:hAnsi="Roboto" w:cs="Roboto"/>
          <w:b/>
          <w:bCs/>
          <w:color w:val="000000"/>
          <w:sz w:val="20"/>
          <w:szCs w:val="20"/>
        </w:rPr>
        <w:t>.</w:t>
      </w:r>
      <w:r w:rsidR="00000000">
        <w:rPr>
          <w:rFonts w:ascii="Roboto" w:eastAsia="Roboto" w:hAnsi="Roboto" w:cs="Roboto"/>
          <w:b/>
          <w:bCs/>
          <w:color w:val="000000"/>
          <w:sz w:val="20"/>
          <w:szCs w:val="20"/>
          <w:vertAlign w:val="superscript"/>
        </w:rPr>
        <w:t>1</w:t>
      </w:r>
      <w:r w:rsidR="00000000">
        <w:rPr>
          <w:rFonts w:ascii="Roboto" w:eastAsia="Roboto" w:hAnsi="Roboto" w:cs="Roboto"/>
          <w:b/>
          <w:bCs/>
          <w:color w:val="000000"/>
          <w:sz w:val="20"/>
          <w:szCs w:val="20"/>
        </w:rPr>
        <w:t>,</w:t>
      </w:r>
      <w:r>
        <w:rPr>
          <w:rFonts w:ascii="Roboto" w:eastAsia="Roboto" w:hAnsi="Roboto" w:cs="Roboto"/>
          <w:b/>
          <w:bCs/>
          <w:color w:val="000000"/>
          <w:sz w:val="20"/>
          <w:szCs w:val="20"/>
        </w:rPr>
        <w:t xml:space="preserve"> y</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Garelli</w:t>
      </w:r>
      <w:r w:rsidR="00000000">
        <w:rPr>
          <w:rFonts w:ascii="Roboto" w:eastAsia="Roboto" w:hAnsi="Roboto" w:cs="Roboto"/>
          <w:b/>
          <w:bCs/>
          <w:color w:val="000000"/>
          <w:sz w:val="20"/>
          <w:szCs w:val="20"/>
        </w:rPr>
        <w:t>-</w:t>
      </w:r>
      <w:r>
        <w:rPr>
          <w:rFonts w:ascii="Roboto" w:eastAsia="Roboto" w:hAnsi="Roboto" w:cs="Roboto"/>
          <w:b/>
          <w:bCs/>
          <w:color w:val="000000"/>
          <w:sz w:val="20"/>
          <w:szCs w:val="20"/>
        </w:rPr>
        <w:t>Moreno</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L</w:t>
      </w:r>
      <w:r w:rsidR="00000000">
        <w:rPr>
          <w:rFonts w:ascii="Roboto" w:eastAsia="Roboto" w:hAnsi="Roboto" w:cs="Roboto"/>
          <w:b/>
          <w:bCs/>
          <w:color w:val="000000"/>
          <w:sz w:val="20"/>
          <w:szCs w:val="20"/>
        </w:rPr>
        <w:t>.</w:t>
      </w:r>
      <w:r w:rsidR="00000000">
        <w:rPr>
          <w:rFonts w:ascii="Roboto" w:eastAsia="Roboto" w:hAnsi="Roboto" w:cs="Roboto"/>
          <w:b/>
          <w:bCs/>
          <w:color w:val="000000"/>
          <w:sz w:val="20"/>
          <w:szCs w:val="20"/>
          <w:vertAlign w:val="superscript"/>
        </w:rPr>
        <w:t>2</w:t>
      </w:r>
      <w:r>
        <w:rPr>
          <w:rFonts w:ascii="Roboto" w:eastAsia="Roboto" w:hAnsi="Roboto" w:cs="Roboto"/>
          <w:b/>
          <w:bCs/>
          <w:color w:val="000000"/>
          <w:sz w:val="20"/>
          <w:szCs w:val="20"/>
          <w:vertAlign w:val="superscript"/>
        </w:rPr>
        <w:t>*</w:t>
      </w:r>
      <w:r w:rsidR="00000000">
        <w:rPr>
          <w:rFonts w:ascii="Roboto" w:eastAsia="Roboto" w:hAnsi="Roboto" w:cs="Roboto"/>
          <w:b/>
          <w:bCs/>
          <w:color w:val="000000"/>
          <w:sz w:val="20"/>
          <w:szCs w:val="20"/>
        </w:rPr>
        <w:t>.</w:t>
      </w:r>
    </w:p>
    <w:p w14:paraId="778149A7" w14:textId="47962697" w:rsidR="004D1CE1"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C653E1">
        <w:rPr>
          <w:rFonts w:ascii="Roboto" w:eastAsia="Roboto" w:hAnsi="Roboto" w:cs="Roboto"/>
          <w:color w:val="000000"/>
          <w:sz w:val="18"/>
          <w:szCs w:val="18"/>
        </w:rPr>
        <w:t>Universidad Anáhuac México</w:t>
      </w:r>
      <w:r>
        <w:rPr>
          <w:rFonts w:ascii="Roboto" w:eastAsia="Roboto" w:hAnsi="Roboto" w:cs="Roboto"/>
          <w:color w:val="000000"/>
          <w:sz w:val="18"/>
          <w:szCs w:val="18"/>
        </w:rPr>
        <w:t>, ORCID</w:t>
      </w:r>
    </w:p>
    <w:p w14:paraId="35F37F6F" w14:textId="2BF78B9E" w:rsidR="004D1CE1" w:rsidRDefault="00000000">
      <w:pPr>
        <w:jc w:val="center"/>
        <w:rPr>
          <w:rFonts w:ascii="Roboto" w:eastAsia="Roboto" w:hAnsi="Roboto" w:cs="Roboto"/>
          <w:sz w:val="18"/>
          <w:szCs w:val="18"/>
        </w:rPr>
      </w:pPr>
      <w:r>
        <w:rPr>
          <w:rFonts w:ascii="Roboto" w:eastAsia="Roboto" w:hAnsi="Roboto" w:cs="Roboto"/>
          <w:sz w:val="18"/>
          <w:szCs w:val="18"/>
          <w:vertAlign w:val="superscript"/>
        </w:rPr>
        <w:t>2</w:t>
      </w:r>
      <w:r w:rsidR="00C653E1">
        <w:rPr>
          <w:rFonts w:ascii="Roboto" w:eastAsia="Roboto" w:hAnsi="Roboto" w:cs="Roboto"/>
          <w:sz w:val="18"/>
          <w:szCs w:val="18"/>
        </w:rPr>
        <w:t>Anáhuac Online</w:t>
      </w:r>
      <w:r>
        <w:rPr>
          <w:rFonts w:ascii="Roboto" w:eastAsia="Roboto" w:hAnsi="Roboto" w:cs="Roboto"/>
          <w:sz w:val="18"/>
          <w:szCs w:val="18"/>
        </w:rPr>
        <w:t>, ORCID</w:t>
      </w:r>
    </w:p>
    <w:p w14:paraId="596C913A" w14:textId="29B56FB8" w:rsidR="004D1CE1"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C653E1">
        <w:rPr>
          <w:rFonts w:ascii="Roboto" w:eastAsia="Roboto" w:hAnsi="Roboto" w:cs="Roboto"/>
          <w:sz w:val="18"/>
          <w:szCs w:val="18"/>
        </w:rPr>
        <w:t>lorena.garellimo@anahuac.mx</w:t>
      </w:r>
      <w:r>
        <w:rPr>
          <w:rFonts w:ascii="Roboto" w:eastAsia="Roboto" w:hAnsi="Roboto" w:cs="Roboto"/>
          <w:sz w:val="18"/>
          <w:szCs w:val="18"/>
        </w:rPr>
        <w:t>)</w:t>
      </w:r>
    </w:p>
    <w:p w14:paraId="350C37FC" w14:textId="77777777" w:rsidR="004D1CE1" w:rsidRDefault="006B6B5A">
      <w:pPr>
        <w:spacing w:before="60"/>
        <w:jc w:val="center"/>
        <w:rPr>
          <w:rFonts w:ascii="Roboto" w:eastAsia="Roboto" w:hAnsi="Roboto" w:cs="Roboto"/>
          <w:sz w:val="18"/>
          <w:szCs w:val="18"/>
        </w:rPr>
        <w:sectPr w:rsidR="004D1CE1">
          <w:headerReference w:type="default" r:id="rId8"/>
          <w:pgSz w:w="11906" w:h="16838"/>
          <w:pgMar w:top="851" w:right="851" w:bottom="828" w:left="851" w:header="357" w:footer="720" w:gutter="0"/>
          <w:pgNumType w:start="1"/>
          <w:cols w:space="720"/>
        </w:sectPr>
      </w:pPr>
      <w:r>
        <w:rPr>
          <w:noProof/>
        </w:rPr>
        <w:pict w14:anchorId="46E81397">
          <v:rect id="_x0000_i1025" alt="" style="width:441.9pt;height:.05pt;mso-width-percent:0;mso-height-percent:0;mso-width-percent:0;mso-height-percent:0" o:hralign="center" o:hrstd="t" o:hr="t" fillcolor="#a0a0a0" stroked="f"/>
        </w:pict>
      </w:r>
    </w:p>
    <w:p w14:paraId="30CC9730" w14:textId="1776AD24" w:rsidR="004D1CE1" w:rsidRDefault="000F1163">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CONTEXTO Y PROPÓSITO DEL ESTUDIO</w:t>
      </w:r>
    </w:p>
    <w:p w14:paraId="60E9C80F" w14:textId="77777777"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El crecimiento de la educación en línea ha intensificado la necesidad de contar con instrumentos válidos y confiables que permitan evaluar la calidad de la experiencia de aprendizaje. En instituciones de educación superior, estos instrumentos no solo cumplen una función diagnóstica, sino que constituyen una base para la toma de decisiones académicas, el aseguramiento de la calidad y la mejora continua. Sin embargo, en muchos casos, la evaluación institucional se limita al uso de métricas descriptivas y coeficientes de consistencia interna, lo que restringe la comprensión profunda del comportamiento de los datos y del constructo medido.</w:t>
      </w:r>
    </w:p>
    <w:p w14:paraId="03ACE449" w14:textId="77777777"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El presente estudio tiene como objetivo analizar psicométricamente un instrumento institucional de evaluación de la experiencia de aprendizaje en programas de maestría en línea de Anáhuac Online, mediante el Modelo de Respuesta Graduada (Samejima, 1969), y contrastar sus resultados con los obtenidos mediante la Teoría Clásica de los Tests (TCT). Se busca determinar si es posible estimar una habilidad latente asociada a la experiencia de aprendizaje y evaluar la precisión del instrumento más allá de los indicadores tradicionales.</w:t>
      </w:r>
    </w:p>
    <w:p w14:paraId="6F6FAB5A" w14:textId="77777777" w:rsidR="004D1CE1" w:rsidRDefault="004D1CE1">
      <w:pPr>
        <w:pBdr>
          <w:top w:val="nil"/>
          <w:left w:val="nil"/>
          <w:bottom w:val="nil"/>
          <w:right w:val="nil"/>
          <w:between w:val="nil"/>
        </w:pBdr>
        <w:jc w:val="both"/>
        <w:rPr>
          <w:rFonts w:ascii="Roboto" w:eastAsia="Roboto" w:hAnsi="Roboto" w:cs="Roboto"/>
          <w:b/>
          <w:bCs/>
          <w:color w:val="000000"/>
          <w:sz w:val="20"/>
          <w:szCs w:val="20"/>
        </w:rPr>
      </w:pPr>
    </w:p>
    <w:p w14:paraId="2CB38D39" w14:textId="1B7EB5EA" w:rsidR="004A031B" w:rsidRDefault="004A031B" w:rsidP="004A031B">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FUNDAMENTACIÓN TEÓRICA DEL INSTRUMENTO</w:t>
      </w:r>
    </w:p>
    <w:p w14:paraId="533A62EE" w14:textId="66984A44" w:rsidR="004A031B" w:rsidRPr="004A031B" w:rsidRDefault="004A031B">
      <w:pPr>
        <w:pBdr>
          <w:top w:val="nil"/>
          <w:left w:val="nil"/>
          <w:bottom w:val="nil"/>
          <w:right w:val="nil"/>
          <w:between w:val="nil"/>
        </w:pBdr>
        <w:jc w:val="both"/>
        <w:rPr>
          <w:rFonts w:ascii="Roboto" w:eastAsia="Roboto" w:hAnsi="Roboto" w:cs="Roboto"/>
          <w:color w:val="000000"/>
          <w:sz w:val="20"/>
          <w:szCs w:val="20"/>
        </w:rPr>
      </w:pPr>
      <w:r w:rsidRPr="004A031B">
        <w:rPr>
          <w:rFonts w:ascii="Roboto" w:eastAsia="Roboto" w:hAnsi="Roboto" w:cs="Roboto"/>
          <w:color w:val="000000"/>
          <w:sz w:val="20"/>
          <w:szCs w:val="20"/>
        </w:rPr>
        <w:t>La evaluación de la experiencia de aprendizaje en entornos en línea se concibe como un proceso integral que articula dimensiones cognitivas, sociales y pedagógicas. El instrumento analizado se fundamenta en el modelo de Comunidad de Indagación propuesto por Garrison, Anderson y Archer (2000), que destaca la interacción entre presencia cognitiva, social y docente como base del aprendizaje significativo en entornos virtuales. Asimismo, se retoma el enfoque de Moore (1989), quien identifica la interacción alumno-profesor, alumno-contenido y alumno-alumno como elementos centrales en la educación a distancia. Desde la perspectiva del diseño instruccional, Arbaugh (2010) señala la relación entre la estructura del curso y el nivel de compromiso del estudiante. En conjunto, estos enfoques permiten conceptualizar la experiencia de aprendizaje como un constructo complejo que integra percepción, interacción y desempeño dentro de un entorno digital.</w:t>
      </w:r>
    </w:p>
    <w:p w14:paraId="027D57D3" w14:textId="77777777" w:rsidR="004A031B" w:rsidRDefault="004A031B">
      <w:pPr>
        <w:pBdr>
          <w:top w:val="nil"/>
          <w:left w:val="nil"/>
          <w:bottom w:val="nil"/>
          <w:right w:val="nil"/>
          <w:between w:val="nil"/>
        </w:pBdr>
        <w:jc w:val="both"/>
        <w:rPr>
          <w:rFonts w:ascii="Roboto" w:eastAsia="Roboto" w:hAnsi="Roboto" w:cs="Roboto"/>
          <w:b/>
          <w:bCs/>
          <w:color w:val="000000"/>
          <w:sz w:val="20"/>
          <w:szCs w:val="20"/>
        </w:rPr>
      </w:pPr>
    </w:p>
    <w:p w14:paraId="2A0D8A4B" w14:textId="58E91FFF" w:rsidR="004D1CE1" w:rsidRDefault="000F1163">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MÉTODO Y ANÁLISIS PSICOMÉTRICO</w:t>
      </w:r>
    </w:p>
    <w:p w14:paraId="4D58AFC8" w14:textId="273876C0"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Se utilizó un diseño instrumental con enfoque cuantitativo. La muestra estuvo conformada por 12,413 evaluaciones recolectadas en cuatro periodos académicos. El instrumento consta de 13 ítems tipo Likert</w:t>
      </w:r>
      <w:r w:rsidR="0008579A">
        <w:rPr>
          <w:rFonts w:ascii="Roboto" w:eastAsia="Roboto" w:hAnsi="Roboto" w:cs="Roboto"/>
          <w:color w:val="000000"/>
          <w:sz w:val="20"/>
          <w:szCs w:val="20"/>
        </w:rPr>
        <w:t xml:space="preserve"> de cinco puntos</w:t>
      </w:r>
      <w:r w:rsidRPr="000F1163">
        <w:rPr>
          <w:rFonts w:ascii="Roboto" w:eastAsia="Roboto" w:hAnsi="Roboto" w:cs="Roboto"/>
          <w:color w:val="000000"/>
          <w:sz w:val="20"/>
          <w:szCs w:val="20"/>
        </w:rPr>
        <w:t xml:space="preserve">, organizados en tres </w:t>
      </w:r>
      <w:r w:rsidRPr="000F1163">
        <w:rPr>
          <w:rFonts w:ascii="Roboto" w:eastAsia="Roboto" w:hAnsi="Roboto" w:cs="Roboto"/>
          <w:color w:val="000000"/>
          <w:sz w:val="20"/>
          <w:szCs w:val="20"/>
        </w:rPr>
        <w:t>dimensiones: contenido del curso, práctica docente y evaluación general.</w:t>
      </w:r>
    </w:p>
    <w:p w14:paraId="5E5C66FE" w14:textId="5F66E0EB"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 xml:space="preserve">El análisis se </w:t>
      </w:r>
      <w:r w:rsidR="0008579A">
        <w:rPr>
          <w:rFonts w:ascii="Roboto" w:eastAsia="Roboto" w:hAnsi="Roboto" w:cs="Roboto"/>
          <w:color w:val="000000"/>
          <w:sz w:val="20"/>
          <w:szCs w:val="20"/>
        </w:rPr>
        <w:t>r</w:t>
      </w:r>
      <w:r w:rsidR="0008579A" w:rsidRPr="0008579A">
        <w:rPr>
          <w:rFonts w:ascii="Roboto" w:eastAsia="Roboto" w:hAnsi="Roboto" w:cs="Roboto"/>
          <w:color w:val="000000"/>
          <w:sz w:val="20"/>
          <w:szCs w:val="20"/>
        </w:rPr>
        <w:t>ealizó mediante dos enfoques complementarios</w:t>
      </w:r>
      <w:r w:rsidR="0008579A">
        <w:rPr>
          <w:rFonts w:ascii="Roboto" w:eastAsia="Roboto" w:hAnsi="Roboto" w:cs="Roboto"/>
          <w:color w:val="000000"/>
          <w:sz w:val="20"/>
          <w:szCs w:val="20"/>
        </w:rPr>
        <w:t>:</w:t>
      </w:r>
      <w:r w:rsidRPr="000F1163">
        <w:rPr>
          <w:rFonts w:ascii="Roboto" w:eastAsia="Roboto" w:hAnsi="Roboto" w:cs="Roboto"/>
          <w:color w:val="000000"/>
          <w:sz w:val="20"/>
          <w:szCs w:val="20"/>
        </w:rPr>
        <w:t xml:space="preserve"> </w:t>
      </w:r>
      <w:r w:rsidR="0008579A" w:rsidRPr="0008579A">
        <w:rPr>
          <w:rFonts w:ascii="Roboto" w:eastAsia="Roboto" w:hAnsi="Roboto" w:cs="Roboto"/>
          <w:color w:val="000000"/>
          <w:sz w:val="20"/>
          <w:szCs w:val="20"/>
        </w:rPr>
        <w:t>Teoría Clásica de los Tests (TCT) y Teoría de Respuesta al Ítem (TRI), específicamente el Modelo de Respuesta Graduad</w:t>
      </w:r>
      <w:r w:rsidR="00ED0FF7">
        <w:rPr>
          <w:rFonts w:ascii="Roboto" w:eastAsia="Roboto" w:hAnsi="Roboto" w:cs="Roboto"/>
          <w:color w:val="000000"/>
          <w:sz w:val="20"/>
          <w:szCs w:val="20"/>
        </w:rPr>
        <w:t>a (GRM) de</w:t>
      </w:r>
      <w:r w:rsidR="0008579A" w:rsidRPr="0008579A">
        <w:rPr>
          <w:rFonts w:ascii="Roboto" w:eastAsia="Roboto" w:hAnsi="Roboto" w:cs="Roboto"/>
          <w:color w:val="000000"/>
          <w:sz w:val="20"/>
          <w:szCs w:val="20"/>
        </w:rPr>
        <w:t xml:space="preserve"> Samejima </w:t>
      </w:r>
      <w:r w:rsidR="00ED0FF7">
        <w:rPr>
          <w:rFonts w:ascii="Roboto" w:eastAsia="Roboto" w:hAnsi="Roboto" w:cs="Roboto"/>
          <w:color w:val="000000"/>
          <w:sz w:val="20"/>
          <w:szCs w:val="20"/>
        </w:rPr>
        <w:t>(</w:t>
      </w:r>
      <w:r w:rsidR="0025533C">
        <w:rPr>
          <w:rFonts w:ascii="Roboto" w:eastAsia="Roboto" w:hAnsi="Roboto" w:cs="Roboto"/>
          <w:color w:val="000000"/>
          <w:sz w:val="20"/>
          <w:szCs w:val="20"/>
        </w:rPr>
        <w:t>1997</w:t>
      </w:r>
      <w:r w:rsidR="0008579A" w:rsidRPr="0008579A">
        <w:rPr>
          <w:rFonts w:ascii="Roboto" w:eastAsia="Roboto" w:hAnsi="Roboto" w:cs="Roboto"/>
          <w:color w:val="000000"/>
          <w:sz w:val="20"/>
          <w:szCs w:val="20"/>
        </w:rPr>
        <w:t xml:space="preserve">), utilizando el paquete </w:t>
      </w:r>
      <w:r w:rsidR="0008579A" w:rsidRPr="0008579A">
        <w:rPr>
          <w:rFonts w:ascii="Roboto" w:eastAsia="Roboto" w:hAnsi="Roboto" w:cs="Roboto"/>
          <w:i/>
          <w:iCs/>
          <w:color w:val="000000"/>
          <w:sz w:val="20"/>
          <w:szCs w:val="20"/>
        </w:rPr>
        <w:t>mirt</w:t>
      </w:r>
      <w:r w:rsidR="0008579A" w:rsidRPr="0008579A">
        <w:rPr>
          <w:rFonts w:ascii="Roboto" w:eastAsia="Roboto" w:hAnsi="Roboto" w:cs="Roboto"/>
          <w:color w:val="000000"/>
          <w:sz w:val="20"/>
          <w:szCs w:val="20"/>
        </w:rPr>
        <w:t xml:space="preserve"> en R.</w:t>
      </w:r>
      <w:r w:rsidR="0008579A" w:rsidRPr="0008579A">
        <w:rPr>
          <w:rFonts w:ascii="Roboto" w:eastAsia="Roboto" w:hAnsi="Roboto" w:cs="Roboto"/>
          <w:color w:val="000000"/>
          <w:sz w:val="20"/>
          <w:szCs w:val="20"/>
        </w:rPr>
        <w:t xml:space="preserve"> </w:t>
      </w:r>
      <w:r w:rsidRPr="000F1163">
        <w:rPr>
          <w:rFonts w:ascii="Roboto" w:eastAsia="Roboto" w:hAnsi="Roboto" w:cs="Roboto"/>
          <w:color w:val="000000"/>
          <w:sz w:val="20"/>
          <w:szCs w:val="20"/>
        </w:rPr>
        <w:t xml:space="preserve">En </w:t>
      </w:r>
      <w:r w:rsidR="0008579A">
        <w:rPr>
          <w:rFonts w:ascii="Roboto" w:eastAsia="Roboto" w:hAnsi="Roboto" w:cs="Roboto"/>
          <w:color w:val="000000"/>
          <w:sz w:val="20"/>
          <w:szCs w:val="20"/>
        </w:rPr>
        <w:t>el</w:t>
      </w:r>
      <w:r w:rsidRPr="000F1163">
        <w:rPr>
          <w:rFonts w:ascii="Roboto" w:eastAsia="Roboto" w:hAnsi="Roboto" w:cs="Roboto"/>
          <w:color w:val="000000"/>
          <w:sz w:val="20"/>
          <w:szCs w:val="20"/>
        </w:rPr>
        <w:t xml:space="preserve"> primer</w:t>
      </w:r>
      <w:r w:rsidR="0008579A">
        <w:rPr>
          <w:rFonts w:ascii="Roboto" w:eastAsia="Roboto" w:hAnsi="Roboto" w:cs="Roboto"/>
          <w:color w:val="000000"/>
          <w:sz w:val="20"/>
          <w:szCs w:val="20"/>
        </w:rPr>
        <w:t>o</w:t>
      </w:r>
      <w:r w:rsidRPr="000F1163">
        <w:rPr>
          <w:rFonts w:ascii="Roboto" w:eastAsia="Roboto" w:hAnsi="Roboto" w:cs="Roboto"/>
          <w:color w:val="000000"/>
          <w:sz w:val="20"/>
          <w:szCs w:val="20"/>
        </w:rPr>
        <w:t xml:space="preserve">, bajo TCT, se calcularon estadísticas descriptivas, índices de discriminación y consistencia interna. En </w:t>
      </w:r>
      <w:r w:rsidR="0008579A">
        <w:rPr>
          <w:rFonts w:ascii="Roboto" w:eastAsia="Roboto" w:hAnsi="Roboto" w:cs="Roboto"/>
          <w:color w:val="000000"/>
          <w:sz w:val="20"/>
          <w:szCs w:val="20"/>
        </w:rPr>
        <w:t>el</w:t>
      </w:r>
      <w:r w:rsidRPr="000F1163">
        <w:rPr>
          <w:rFonts w:ascii="Roboto" w:eastAsia="Roboto" w:hAnsi="Roboto" w:cs="Roboto"/>
          <w:color w:val="000000"/>
          <w:sz w:val="20"/>
          <w:szCs w:val="20"/>
        </w:rPr>
        <w:t xml:space="preserve"> segund</w:t>
      </w:r>
      <w:r w:rsidR="0008579A">
        <w:rPr>
          <w:rFonts w:ascii="Roboto" w:eastAsia="Roboto" w:hAnsi="Roboto" w:cs="Roboto"/>
          <w:color w:val="000000"/>
          <w:sz w:val="20"/>
          <w:szCs w:val="20"/>
        </w:rPr>
        <w:t>o</w:t>
      </w:r>
      <w:r w:rsidRPr="000F1163">
        <w:rPr>
          <w:rFonts w:ascii="Roboto" w:eastAsia="Roboto" w:hAnsi="Roboto" w:cs="Roboto"/>
          <w:color w:val="000000"/>
          <w:sz w:val="20"/>
          <w:szCs w:val="20"/>
        </w:rPr>
        <w:t xml:space="preserve">, se aplicó el </w:t>
      </w:r>
      <w:r w:rsidR="00ED0FF7">
        <w:rPr>
          <w:rFonts w:ascii="Roboto" w:eastAsia="Roboto" w:hAnsi="Roboto" w:cs="Roboto"/>
          <w:color w:val="000000"/>
          <w:sz w:val="20"/>
          <w:szCs w:val="20"/>
        </w:rPr>
        <w:t>GRM</w:t>
      </w:r>
      <w:r w:rsidRPr="000F1163">
        <w:rPr>
          <w:rFonts w:ascii="Roboto" w:eastAsia="Roboto" w:hAnsi="Roboto" w:cs="Roboto"/>
          <w:color w:val="000000"/>
          <w:sz w:val="20"/>
          <w:szCs w:val="20"/>
        </w:rPr>
        <w:t>, estimando parámetros de discriminación (a) y dificultad (b₁–b₄), así como índices de ajuste global.</w:t>
      </w:r>
    </w:p>
    <w:p w14:paraId="2BFFA43E" w14:textId="66E6FEEC" w:rsid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Los resultados bajo TCT mostraron una alta consistencia interna (α = 0.95), lo que confirma la homogeneidad del instrumento. No obstante, los estadísticos descriptivos evidenciaron una fuerte concentración de respuestas en las categorías superiores (Media = 4.65; DE = 0.68; asimetría = -2.45; curtosis = 10.04), lo que sugiere un efecto techo y limitada variabilidad</w:t>
      </w:r>
      <w:r w:rsidR="0025533C">
        <w:rPr>
          <w:rFonts w:ascii="Roboto" w:eastAsia="Roboto" w:hAnsi="Roboto" w:cs="Roboto"/>
          <w:color w:val="000000"/>
          <w:sz w:val="20"/>
          <w:szCs w:val="20"/>
        </w:rPr>
        <w:t>.</w:t>
      </w:r>
    </w:p>
    <w:p w14:paraId="3C10A0C6" w14:textId="77777777" w:rsidR="000F1163" w:rsidRDefault="000F1163" w:rsidP="000F1163">
      <w:pPr>
        <w:keepNext/>
        <w:jc w:val="both"/>
        <w:rPr>
          <w:rFonts w:ascii="Roboto" w:eastAsia="Roboto" w:hAnsi="Roboto" w:cs="Roboto"/>
          <w:b/>
          <w:bCs/>
          <w:sz w:val="20"/>
          <w:szCs w:val="20"/>
        </w:rPr>
      </w:pPr>
    </w:p>
    <w:p w14:paraId="64F4ABC3" w14:textId="06E6D3C9" w:rsidR="000F1163" w:rsidRDefault="000F1163" w:rsidP="000F1163">
      <w:pPr>
        <w:keepNext/>
        <w:jc w:val="both"/>
        <w:rPr>
          <w:rFonts w:ascii="Roboto" w:eastAsia="Roboto" w:hAnsi="Roboto" w:cs="Roboto"/>
          <w:sz w:val="18"/>
          <w:szCs w:val="18"/>
        </w:rPr>
      </w:pPr>
      <w:r>
        <w:rPr>
          <w:rFonts w:ascii="Roboto" w:eastAsia="Roboto" w:hAnsi="Roboto" w:cs="Roboto"/>
          <w:b/>
          <w:bCs/>
          <w:sz w:val="20"/>
          <w:szCs w:val="20"/>
        </w:rPr>
        <w:t>Tabla 1.</w:t>
      </w:r>
      <w:r>
        <w:rPr>
          <w:rFonts w:ascii="Roboto" w:eastAsia="Roboto" w:hAnsi="Roboto" w:cs="Roboto"/>
          <w:sz w:val="20"/>
          <w:szCs w:val="20"/>
        </w:rPr>
        <w:t xml:space="preserve"> </w:t>
      </w:r>
      <w:r w:rsidR="0025533C" w:rsidRPr="0025533C">
        <w:rPr>
          <w:rFonts w:ascii="Roboto" w:eastAsia="Roboto" w:hAnsi="Roboto" w:cs="Roboto"/>
          <w:sz w:val="18"/>
          <w:szCs w:val="18"/>
        </w:rPr>
        <w:t xml:space="preserve">Estadísticos descriptivos </w:t>
      </w:r>
    </w:p>
    <w:p w14:paraId="23E41AEE" w14:textId="77777777" w:rsidR="0025533C" w:rsidRDefault="0025533C" w:rsidP="000F1163">
      <w:pPr>
        <w:keepNext/>
        <w:jc w:val="both"/>
        <w:rPr>
          <w:rFonts w:ascii="Roboto" w:eastAsia="Roboto" w:hAnsi="Roboto" w:cs="Roboto"/>
          <w:sz w:val="20"/>
          <w:szCs w:val="20"/>
        </w:rPr>
      </w:pPr>
    </w:p>
    <w:tbl>
      <w:tblPr>
        <w:tblStyle w:val="a1"/>
        <w:tblW w:w="4537" w:type="dxa"/>
        <w:jc w:val="center"/>
        <w:tblInd w:w="0" w:type="dxa"/>
        <w:tblBorders>
          <w:top w:val="single" w:sz="4" w:space="0" w:color="000000"/>
          <w:bottom w:val="single" w:sz="4" w:space="0" w:color="000000"/>
        </w:tblBorders>
        <w:tblLayout w:type="fixed"/>
        <w:tblLook w:val="0000" w:firstRow="0" w:lastRow="0" w:firstColumn="0" w:lastColumn="0" w:noHBand="0" w:noVBand="0"/>
      </w:tblPr>
      <w:tblGrid>
        <w:gridCol w:w="2552"/>
        <w:gridCol w:w="1985"/>
      </w:tblGrid>
      <w:tr w:rsidR="000F1163" w14:paraId="55AE70AB" w14:textId="77777777" w:rsidTr="0025533C">
        <w:trPr>
          <w:jc w:val="center"/>
        </w:trPr>
        <w:tc>
          <w:tcPr>
            <w:tcW w:w="2552" w:type="dxa"/>
            <w:tcBorders>
              <w:top w:val="single" w:sz="4" w:space="0" w:color="000000"/>
              <w:bottom w:val="single" w:sz="4" w:space="0" w:color="000000"/>
            </w:tcBorders>
          </w:tcPr>
          <w:p w14:paraId="196E3DE5" w14:textId="5278EBF1" w:rsidR="000F1163" w:rsidRDefault="0025533C" w:rsidP="00591B89">
            <w:pPr>
              <w:ind w:left="462"/>
              <w:jc w:val="center"/>
              <w:rPr>
                <w:rFonts w:ascii="Roboto" w:eastAsia="Roboto" w:hAnsi="Roboto" w:cs="Roboto"/>
                <w:b/>
                <w:bCs/>
                <w:sz w:val="20"/>
                <w:szCs w:val="20"/>
              </w:rPr>
            </w:pPr>
            <w:r>
              <w:rPr>
                <w:rFonts w:ascii="Roboto" w:eastAsia="Roboto" w:hAnsi="Roboto" w:cs="Roboto"/>
                <w:b/>
                <w:bCs/>
                <w:sz w:val="20"/>
                <w:szCs w:val="20"/>
              </w:rPr>
              <w:t>Medida</w:t>
            </w:r>
          </w:p>
        </w:tc>
        <w:tc>
          <w:tcPr>
            <w:tcW w:w="1985" w:type="dxa"/>
            <w:tcBorders>
              <w:top w:val="single" w:sz="4" w:space="0" w:color="000000"/>
              <w:bottom w:val="single" w:sz="4" w:space="0" w:color="000000"/>
            </w:tcBorders>
          </w:tcPr>
          <w:p w14:paraId="35493CCE" w14:textId="64512B62" w:rsidR="000F1163" w:rsidRDefault="0025533C" w:rsidP="00591B89">
            <w:pPr>
              <w:ind w:left="462"/>
              <w:jc w:val="center"/>
              <w:rPr>
                <w:rFonts w:ascii="Roboto" w:eastAsia="Roboto" w:hAnsi="Roboto" w:cs="Roboto"/>
                <w:b/>
                <w:bCs/>
                <w:sz w:val="20"/>
                <w:szCs w:val="20"/>
              </w:rPr>
            </w:pPr>
            <w:r>
              <w:rPr>
                <w:rFonts w:ascii="Roboto" w:eastAsia="Roboto" w:hAnsi="Roboto" w:cs="Roboto"/>
                <w:b/>
                <w:bCs/>
                <w:sz w:val="20"/>
                <w:szCs w:val="20"/>
              </w:rPr>
              <w:t>Valor</w:t>
            </w:r>
          </w:p>
        </w:tc>
      </w:tr>
      <w:tr w:rsidR="000F1163" w14:paraId="603C54D7" w14:textId="77777777" w:rsidTr="0025533C">
        <w:trPr>
          <w:jc w:val="center"/>
        </w:trPr>
        <w:tc>
          <w:tcPr>
            <w:tcW w:w="2552" w:type="dxa"/>
            <w:tcBorders>
              <w:top w:val="single" w:sz="4" w:space="0" w:color="000000"/>
            </w:tcBorders>
          </w:tcPr>
          <w:p w14:paraId="2025350D" w14:textId="00694A36" w:rsidR="000F1163" w:rsidRDefault="0025533C" w:rsidP="0025533C">
            <w:pPr>
              <w:rPr>
                <w:rFonts w:ascii="Roboto" w:eastAsia="Roboto" w:hAnsi="Roboto" w:cs="Roboto"/>
                <w:sz w:val="20"/>
                <w:szCs w:val="20"/>
              </w:rPr>
            </w:pPr>
            <w:r>
              <w:rPr>
                <w:rFonts w:ascii="Roboto" w:eastAsia="Roboto" w:hAnsi="Roboto" w:cs="Roboto"/>
                <w:sz w:val="20"/>
                <w:szCs w:val="20"/>
              </w:rPr>
              <w:t>Media</w:t>
            </w:r>
          </w:p>
        </w:tc>
        <w:tc>
          <w:tcPr>
            <w:tcW w:w="1985" w:type="dxa"/>
            <w:tcBorders>
              <w:top w:val="single" w:sz="4" w:space="0" w:color="000000"/>
            </w:tcBorders>
          </w:tcPr>
          <w:p w14:paraId="4E7100E6" w14:textId="0EF889B9" w:rsidR="000F1163" w:rsidRDefault="0025533C" w:rsidP="00591B89">
            <w:pPr>
              <w:ind w:left="462"/>
              <w:jc w:val="center"/>
              <w:rPr>
                <w:rFonts w:ascii="Roboto" w:eastAsia="Roboto" w:hAnsi="Roboto" w:cs="Roboto"/>
                <w:sz w:val="20"/>
                <w:szCs w:val="20"/>
              </w:rPr>
            </w:pPr>
            <w:r>
              <w:rPr>
                <w:rFonts w:ascii="Roboto" w:eastAsia="Roboto" w:hAnsi="Roboto" w:cs="Roboto"/>
                <w:sz w:val="20"/>
                <w:szCs w:val="20"/>
              </w:rPr>
              <w:t>4.656</w:t>
            </w:r>
          </w:p>
        </w:tc>
      </w:tr>
      <w:tr w:rsidR="000F1163" w14:paraId="40E723E6" w14:textId="77777777" w:rsidTr="0025533C">
        <w:trPr>
          <w:jc w:val="center"/>
        </w:trPr>
        <w:tc>
          <w:tcPr>
            <w:tcW w:w="2552" w:type="dxa"/>
          </w:tcPr>
          <w:p w14:paraId="058F9B6B" w14:textId="5BBBB9FE" w:rsidR="000F1163" w:rsidRDefault="0025533C" w:rsidP="0025533C">
            <w:pPr>
              <w:rPr>
                <w:rFonts w:ascii="Roboto" w:eastAsia="Roboto" w:hAnsi="Roboto" w:cs="Roboto"/>
                <w:sz w:val="20"/>
                <w:szCs w:val="20"/>
              </w:rPr>
            </w:pPr>
            <w:r>
              <w:rPr>
                <w:rFonts w:ascii="Roboto" w:eastAsia="Roboto" w:hAnsi="Roboto" w:cs="Roboto"/>
                <w:sz w:val="20"/>
                <w:szCs w:val="20"/>
              </w:rPr>
              <w:t>Desviación estándar</w:t>
            </w:r>
          </w:p>
        </w:tc>
        <w:tc>
          <w:tcPr>
            <w:tcW w:w="1985" w:type="dxa"/>
          </w:tcPr>
          <w:p w14:paraId="714A0D24" w14:textId="5061562A" w:rsidR="000F1163" w:rsidRDefault="0025533C" w:rsidP="00591B89">
            <w:pPr>
              <w:ind w:left="462"/>
              <w:jc w:val="center"/>
              <w:rPr>
                <w:rFonts w:ascii="Roboto" w:eastAsia="Roboto" w:hAnsi="Roboto" w:cs="Roboto"/>
                <w:sz w:val="20"/>
                <w:szCs w:val="20"/>
              </w:rPr>
            </w:pPr>
            <w:r>
              <w:rPr>
                <w:rFonts w:ascii="Roboto" w:eastAsia="Roboto" w:hAnsi="Roboto" w:cs="Roboto"/>
                <w:sz w:val="20"/>
                <w:szCs w:val="20"/>
              </w:rPr>
              <w:t>0.688</w:t>
            </w:r>
          </w:p>
        </w:tc>
      </w:tr>
      <w:tr w:rsidR="0025533C" w14:paraId="356D50FC" w14:textId="77777777" w:rsidTr="0025533C">
        <w:trPr>
          <w:jc w:val="center"/>
        </w:trPr>
        <w:tc>
          <w:tcPr>
            <w:tcW w:w="2552" w:type="dxa"/>
          </w:tcPr>
          <w:p w14:paraId="5247EB94" w14:textId="05EDC47C" w:rsidR="0025533C" w:rsidRDefault="0025533C" w:rsidP="0025533C">
            <w:pPr>
              <w:rPr>
                <w:rFonts w:ascii="Roboto" w:eastAsia="Roboto" w:hAnsi="Roboto" w:cs="Roboto"/>
                <w:sz w:val="20"/>
                <w:szCs w:val="20"/>
              </w:rPr>
            </w:pPr>
            <w:r>
              <w:rPr>
                <w:rFonts w:ascii="Roboto" w:eastAsia="Roboto" w:hAnsi="Roboto" w:cs="Roboto"/>
                <w:sz w:val="20"/>
                <w:szCs w:val="20"/>
              </w:rPr>
              <w:t>Asimetría</w:t>
            </w:r>
          </w:p>
        </w:tc>
        <w:tc>
          <w:tcPr>
            <w:tcW w:w="1985" w:type="dxa"/>
          </w:tcPr>
          <w:p w14:paraId="2C257E5C" w14:textId="600078E0" w:rsidR="0025533C" w:rsidRDefault="0025533C" w:rsidP="00591B89">
            <w:pPr>
              <w:ind w:left="462"/>
              <w:jc w:val="center"/>
              <w:rPr>
                <w:rFonts w:ascii="Roboto" w:eastAsia="Roboto" w:hAnsi="Roboto" w:cs="Roboto"/>
                <w:sz w:val="20"/>
                <w:szCs w:val="20"/>
              </w:rPr>
            </w:pPr>
            <w:r>
              <w:rPr>
                <w:rFonts w:ascii="Roboto" w:eastAsia="Roboto" w:hAnsi="Roboto" w:cs="Roboto"/>
                <w:sz w:val="20"/>
                <w:szCs w:val="20"/>
              </w:rPr>
              <w:t>-2.45</w:t>
            </w:r>
          </w:p>
        </w:tc>
      </w:tr>
      <w:tr w:rsidR="0025533C" w14:paraId="7EFC96E8" w14:textId="77777777" w:rsidTr="0025533C">
        <w:trPr>
          <w:jc w:val="center"/>
        </w:trPr>
        <w:tc>
          <w:tcPr>
            <w:tcW w:w="2552" w:type="dxa"/>
          </w:tcPr>
          <w:p w14:paraId="4EEC542E" w14:textId="7C71E216" w:rsidR="0025533C" w:rsidRDefault="0025533C" w:rsidP="0025533C">
            <w:pPr>
              <w:rPr>
                <w:rFonts w:ascii="Roboto" w:eastAsia="Roboto" w:hAnsi="Roboto" w:cs="Roboto"/>
                <w:sz w:val="20"/>
                <w:szCs w:val="20"/>
              </w:rPr>
            </w:pPr>
            <w:r>
              <w:rPr>
                <w:rFonts w:ascii="Roboto" w:eastAsia="Roboto" w:hAnsi="Roboto" w:cs="Roboto"/>
                <w:sz w:val="20"/>
                <w:szCs w:val="20"/>
              </w:rPr>
              <w:t>Curtosis</w:t>
            </w:r>
          </w:p>
        </w:tc>
        <w:tc>
          <w:tcPr>
            <w:tcW w:w="1985" w:type="dxa"/>
          </w:tcPr>
          <w:p w14:paraId="5B664F49" w14:textId="1AC7AFEE" w:rsidR="0025533C" w:rsidRDefault="0025533C" w:rsidP="00591B89">
            <w:pPr>
              <w:ind w:left="462"/>
              <w:jc w:val="center"/>
              <w:rPr>
                <w:rFonts w:ascii="Roboto" w:eastAsia="Roboto" w:hAnsi="Roboto" w:cs="Roboto"/>
                <w:sz w:val="20"/>
                <w:szCs w:val="20"/>
              </w:rPr>
            </w:pPr>
            <w:r>
              <w:rPr>
                <w:rFonts w:ascii="Roboto" w:eastAsia="Roboto" w:hAnsi="Roboto" w:cs="Roboto"/>
                <w:sz w:val="20"/>
                <w:szCs w:val="20"/>
              </w:rPr>
              <w:t>10.039</w:t>
            </w:r>
          </w:p>
        </w:tc>
      </w:tr>
      <w:tr w:rsidR="0025533C" w14:paraId="5D370279" w14:textId="77777777" w:rsidTr="0025533C">
        <w:trPr>
          <w:jc w:val="center"/>
        </w:trPr>
        <w:tc>
          <w:tcPr>
            <w:tcW w:w="2552" w:type="dxa"/>
          </w:tcPr>
          <w:p w14:paraId="1A89436A" w14:textId="7D94BA6F" w:rsidR="0025533C" w:rsidRDefault="0025533C" w:rsidP="0025533C">
            <w:pPr>
              <w:rPr>
                <w:rFonts w:ascii="Roboto" w:eastAsia="Roboto" w:hAnsi="Roboto" w:cs="Roboto"/>
                <w:sz w:val="20"/>
                <w:szCs w:val="20"/>
              </w:rPr>
            </w:pPr>
            <w:r>
              <w:rPr>
                <w:rFonts w:ascii="Roboto" w:eastAsia="Roboto" w:hAnsi="Roboto" w:cs="Roboto"/>
                <w:sz w:val="20"/>
                <w:szCs w:val="20"/>
              </w:rPr>
              <w:t>Alfa de Cronbach</w:t>
            </w:r>
          </w:p>
        </w:tc>
        <w:tc>
          <w:tcPr>
            <w:tcW w:w="1985" w:type="dxa"/>
          </w:tcPr>
          <w:p w14:paraId="1EEBF587" w14:textId="54A11DBE" w:rsidR="0025533C" w:rsidRDefault="0025533C" w:rsidP="00591B89">
            <w:pPr>
              <w:ind w:left="462"/>
              <w:jc w:val="center"/>
              <w:rPr>
                <w:rFonts w:ascii="Roboto" w:eastAsia="Roboto" w:hAnsi="Roboto" w:cs="Roboto"/>
                <w:sz w:val="20"/>
                <w:szCs w:val="20"/>
              </w:rPr>
            </w:pPr>
            <w:r>
              <w:rPr>
                <w:rFonts w:ascii="Roboto" w:eastAsia="Roboto" w:hAnsi="Roboto" w:cs="Roboto"/>
                <w:sz w:val="20"/>
                <w:szCs w:val="20"/>
              </w:rPr>
              <w:t>0.95</w:t>
            </w:r>
          </w:p>
        </w:tc>
      </w:tr>
    </w:tbl>
    <w:p w14:paraId="7E591820" w14:textId="77777777" w:rsidR="000F1163" w:rsidRDefault="000F1163" w:rsidP="000F1163">
      <w:pPr>
        <w:tabs>
          <w:tab w:val="left" w:pos="284"/>
        </w:tabs>
        <w:ind w:left="284" w:hanging="284"/>
        <w:jc w:val="both"/>
        <w:rPr>
          <w:rFonts w:ascii="Roboto" w:eastAsia="Roboto" w:hAnsi="Roboto" w:cs="Roboto"/>
          <w:sz w:val="20"/>
          <w:szCs w:val="20"/>
        </w:rPr>
      </w:pPr>
    </w:p>
    <w:p w14:paraId="7DA45C43" w14:textId="201A275B" w:rsidR="00ED0FF7"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El análisis de discriminación en TCT mostró valores elevados (r_it entre 0.68 y 0.82), destacando los ítems P11, P12, P6 y P7 como los más informativos. Sin embargo, la alta correlación entre ítems sugiere posible redundancia y un constructo altamente homogéneo.</w:t>
      </w:r>
    </w:p>
    <w:p w14:paraId="290C0F33" w14:textId="7D08C58E" w:rsidR="00ED0FF7"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El modelo GRM presentó un ajuste adecuado (RMSEA = 0.046; CFI = 0.968; TLI = 0.953), lo que respalda la validez estructural del instrumento bajo un modelo unidimensional. Los parámetros de discriminación oscilaron entre 2.70 y 4.47, indicando una alta capacidad para diferenciar entre niveles del rasgo latente. Este resultado es consistente con los índices obtenidos en la TCT, lo que evidencia convergencia entre ambos enfoques.</w:t>
      </w:r>
    </w:p>
    <w:p w14:paraId="02DCB0F4" w14:textId="11342854" w:rsid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 xml:space="preserve">No obstante, los parámetros de dificultad (b₁–b₄) se ubicaron en valores negativos, concentrándose aproximadamente entre -2.9 y -0.6. Este patrón indica que incluso los participantes con niveles bajos de la habilidad latente tienen una alta probabilidad de seleccionar categorías superiores. En términos psicométricos, esto implica que el instrumento es “fácil” y que su función de información se concentra en niveles </w:t>
      </w:r>
      <w:r w:rsidRPr="000F1163">
        <w:rPr>
          <w:rFonts w:ascii="Roboto" w:eastAsia="Roboto" w:hAnsi="Roboto" w:cs="Roboto"/>
          <w:color w:val="000000"/>
          <w:sz w:val="20"/>
          <w:szCs w:val="20"/>
        </w:rPr>
        <w:lastRenderedPageBreak/>
        <w:t>bajos y medios del continuo, reduciendo su precisión en niveles alto</w:t>
      </w:r>
      <w:r>
        <w:rPr>
          <w:rFonts w:ascii="Roboto" w:eastAsia="Roboto" w:hAnsi="Roboto" w:cs="Roboto"/>
          <w:color w:val="000000"/>
          <w:sz w:val="20"/>
          <w:szCs w:val="20"/>
        </w:rPr>
        <w:t>.</w:t>
      </w:r>
    </w:p>
    <w:p w14:paraId="1943F323" w14:textId="77777777" w:rsidR="0025533C" w:rsidRDefault="0025533C" w:rsidP="000F1163">
      <w:pPr>
        <w:pBdr>
          <w:top w:val="nil"/>
          <w:left w:val="nil"/>
          <w:bottom w:val="nil"/>
          <w:right w:val="nil"/>
          <w:between w:val="nil"/>
        </w:pBdr>
        <w:jc w:val="both"/>
        <w:rPr>
          <w:rFonts w:ascii="Roboto" w:eastAsia="Roboto" w:hAnsi="Roboto" w:cs="Roboto"/>
          <w:color w:val="000000"/>
          <w:sz w:val="20"/>
          <w:szCs w:val="20"/>
        </w:rPr>
      </w:pPr>
    </w:p>
    <w:p w14:paraId="6BAAD3BC" w14:textId="1BEE96FF" w:rsidR="00ED0FF7" w:rsidRDefault="00ED0FF7" w:rsidP="00ED0FF7">
      <w:pPr>
        <w:keepNext/>
        <w:jc w:val="both"/>
        <w:rPr>
          <w:rFonts w:ascii="Roboto" w:eastAsia="Roboto" w:hAnsi="Roboto" w:cs="Roboto"/>
          <w:sz w:val="18"/>
          <w:szCs w:val="18"/>
        </w:rPr>
      </w:pPr>
      <w:r>
        <w:rPr>
          <w:rFonts w:ascii="Roboto" w:eastAsia="Roboto" w:hAnsi="Roboto" w:cs="Roboto"/>
          <w:b/>
          <w:bCs/>
          <w:sz w:val="20"/>
          <w:szCs w:val="20"/>
        </w:rPr>
        <w:t xml:space="preserve">Tabla </w:t>
      </w:r>
      <w:r>
        <w:rPr>
          <w:rFonts w:ascii="Roboto" w:eastAsia="Roboto" w:hAnsi="Roboto" w:cs="Roboto"/>
          <w:b/>
          <w:bCs/>
          <w:sz w:val="20"/>
          <w:szCs w:val="20"/>
        </w:rPr>
        <w:t>2</w:t>
      </w:r>
      <w:r>
        <w:rPr>
          <w:rFonts w:ascii="Roboto" w:eastAsia="Roboto" w:hAnsi="Roboto" w:cs="Roboto"/>
          <w:b/>
          <w:bCs/>
          <w:sz w:val="20"/>
          <w:szCs w:val="20"/>
        </w:rPr>
        <w:t>.</w:t>
      </w:r>
      <w:r>
        <w:rPr>
          <w:rFonts w:ascii="Roboto" w:eastAsia="Roboto" w:hAnsi="Roboto" w:cs="Roboto"/>
          <w:sz w:val="20"/>
          <w:szCs w:val="20"/>
        </w:rPr>
        <w:t xml:space="preserve"> </w:t>
      </w:r>
      <w:r>
        <w:rPr>
          <w:rFonts w:ascii="Roboto" w:eastAsia="Roboto" w:hAnsi="Roboto" w:cs="Roboto"/>
          <w:sz w:val="18"/>
          <w:szCs w:val="18"/>
        </w:rPr>
        <w:t xml:space="preserve">Parámetros de discriminación y dificultad del GRM </w:t>
      </w:r>
      <w:r w:rsidRPr="0025533C">
        <w:rPr>
          <w:rFonts w:ascii="Roboto" w:eastAsia="Roboto" w:hAnsi="Roboto" w:cs="Roboto"/>
          <w:sz w:val="18"/>
          <w:szCs w:val="18"/>
        </w:rPr>
        <w:t xml:space="preserve"> </w:t>
      </w:r>
    </w:p>
    <w:p w14:paraId="29F03800" w14:textId="77777777" w:rsidR="00ED0FF7" w:rsidRDefault="00ED0FF7" w:rsidP="000F1163">
      <w:pPr>
        <w:pBdr>
          <w:top w:val="nil"/>
          <w:left w:val="nil"/>
          <w:bottom w:val="nil"/>
          <w:right w:val="nil"/>
          <w:between w:val="nil"/>
        </w:pBdr>
        <w:jc w:val="both"/>
        <w:rPr>
          <w:rFonts w:ascii="Roboto" w:eastAsia="Roboto" w:hAnsi="Roboto" w:cs="Roboto"/>
          <w:color w:val="000000"/>
          <w:sz w:val="20"/>
          <w:szCs w:val="20"/>
        </w:rPr>
      </w:pPr>
    </w:p>
    <w:tbl>
      <w:tblPr>
        <w:tblStyle w:val="Tablaconcuadrcula"/>
        <w:tblW w:w="0" w:type="auto"/>
        <w:jc w:val="center"/>
        <w:tblLook w:val="04A0" w:firstRow="1" w:lastRow="0" w:firstColumn="1" w:lastColumn="0" w:noHBand="0" w:noVBand="1"/>
      </w:tblPr>
      <w:tblGrid>
        <w:gridCol w:w="600"/>
        <w:gridCol w:w="672"/>
        <w:gridCol w:w="734"/>
        <w:gridCol w:w="734"/>
        <w:gridCol w:w="734"/>
        <w:gridCol w:w="734"/>
      </w:tblGrid>
      <w:tr w:rsidR="00ED0FF7" w:rsidRPr="00AA0962" w14:paraId="24730798" w14:textId="77777777" w:rsidTr="00591B89">
        <w:trPr>
          <w:tblHeader/>
          <w:jc w:val="center"/>
        </w:trPr>
        <w:tc>
          <w:tcPr>
            <w:tcW w:w="0" w:type="auto"/>
            <w:hideMark/>
          </w:tcPr>
          <w:p w14:paraId="085AD1D1" w14:textId="77777777" w:rsidR="00ED0FF7" w:rsidRPr="00AA0962" w:rsidRDefault="00ED0FF7" w:rsidP="00591B89">
            <w:pPr>
              <w:rPr>
                <w:b/>
                <w:bCs/>
                <w:sz w:val="20"/>
                <w:szCs w:val="20"/>
              </w:rPr>
            </w:pPr>
            <w:r w:rsidRPr="00AA0962">
              <w:rPr>
                <w:b/>
                <w:bCs/>
                <w:sz w:val="20"/>
                <w:szCs w:val="20"/>
              </w:rPr>
              <w:t>Ítem</w:t>
            </w:r>
          </w:p>
        </w:tc>
        <w:tc>
          <w:tcPr>
            <w:tcW w:w="0" w:type="auto"/>
            <w:hideMark/>
          </w:tcPr>
          <w:p w14:paraId="1F30030A" w14:textId="77777777" w:rsidR="00ED0FF7" w:rsidRPr="00AA0962" w:rsidRDefault="00ED0FF7" w:rsidP="00591B89">
            <w:pPr>
              <w:rPr>
                <w:b/>
                <w:bCs/>
                <w:sz w:val="20"/>
                <w:szCs w:val="20"/>
              </w:rPr>
            </w:pPr>
            <w:r w:rsidRPr="00AA0962">
              <w:rPr>
                <w:b/>
                <w:bCs/>
                <w:sz w:val="20"/>
                <w:szCs w:val="20"/>
              </w:rPr>
              <w:t xml:space="preserve">a </w:t>
            </w:r>
          </w:p>
        </w:tc>
        <w:tc>
          <w:tcPr>
            <w:tcW w:w="0" w:type="auto"/>
            <w:hideMark/>
          </w:tcPr>
          <w:p w14:paraId="0FF14E62" w14:textId="77777777" w:rsidR="00ED0FF7" w:rsidRPr="00AA0962" w:rsidRDefault="00ED0FF7" w:rsidP="00591B89">
            <w:pPr>
              <w:rPr>
                <w:b/>
                <w:bCs/>
                <w:sz w:val="20"/>
                <w:szCs w:val="20"/>
              </w:rPr>
            </w:pPr>
            <w:r w:rsidRPr="00AA0962">
              <w:rPr>
                <w:b/>
                <w:bCs/>
                <w:sz w:val="20"/>
                <w:szCs w:val="20"/>
              </w:rPr>
              <w:t>b1</w:t>
            </w:r>
          </w:p>
        </w:tc>
        <w:tc>
          <w:tcPr>
            <w:tcW w:w="0" w:type="auto"/>
            <w:hideMark/>
          </w:tcPr>
          <w:p w14:paraId="3758BE79" w14:textId="77777777" w:rsidR="00ED0FF7" w:rsidRPr="00AA0962" w:rsidRDefault="00ED0FF7" w:rsidP="00591B89">
            <w:pPr>
              <w:rPr>
                <w:b/>
                <w:bCs/>
                <w:sz w:val="20"/>
                <w:szCs w:val="20"/>
              </w:rPr>
            </w:pPr>
            <w:r w:rsidRPr="00AA0962">
              <w:rPr>
                <w:b/>
                <w:bCs/>
                <w:sz w:val="20"/>
                <w:szCs w:val="20"/>
              </w:rPr>
              <w:t>b2</w:t>
            </w:r>
          </w:p>
        </w:tc>
        <w:tc>
          <w:tcPr>
            <w:tcW w:w="0" w:type="auto"/>
            <w:hideMark/>
          </w:tcPr>
          <w:p w14:paraId="628FFCA0" w14:textId="77777777" w:rsidR="00ED0FF7" w:rsidRPr="00AA0962" w:rsidRDefault="00ED0FF7" w:rsidP="00591B89">
            <w:pPr>
              <w:rPr>
                <w:b/>
                <w:bCs/>
                <w:sz w:val="20"/>
                <w:szCs w:val="20"/>
              </w:rPr>
            </w:pPr>
            <w:r w:rsidRPr="00AA0962">
              <w:rPr>
                <w:b/>
                <w:bCs/>
                <w:sz w:val="20"/>
                <w:szCs w:val="20"/>
              </w:rPr>
              <w:t>b3</w:t>
            </w:r>
          </w:p>
        </w:tc>
        <w:tc>
          <w:tcPr>
            <w:tcW w:w="0" w:type="auto"/>
            <w:hideMark/>
          </w:tcPr>
          <w:p w14:paraId="48DB69B4" w14:textId="77777777" w:rsidR="00ED0FF7" w:rsidRPr="00AA0962" w:rsidRDefault="00ED0FF7" w:rsidP="00591B89">
            <w:pPr>
              <w:rPr>
                <w:b/>
                <w:bCs/>
                <w:sz w:val="20"/>
                <w:szCs w:val="20"/>
              </w:rPr>
            </w:pPr>
            <w:r w:rsidRPr="00AA0962">
              <w:rPr>
                <w:b/>
                <w:bCs/>
                <w:sz w:val="20"/>
                <w:szCs w:val="20"/>
              </w:rPr>
              <w:t>b4</w:t>
            </w:r>
          </w:p>
        </w:tc>
      </w:tr>
      <w:tr w:rsidR="00ED0FF7" w:rsidRPr="00AA0962" w14:paraId="015288B0" w14:textId="77777777" w:rsidTr="00591B89">
        <w:trPr>
          <w:jc w:val="center"/>
        </w:trPr>
        <w:tc>
          <w:tcPr>
            <w:tcW w:w="0" w:type="auto"/>
            <w:hideMark/>
          </w:tcPr>
          <w:p w14:paraId="6BF70697" w14:textId="77777777" w:rsidR="00ED0FF7" w:rsidRPr="00AA0962" w:rsidRDefault="00ED0FF7" w:rsidP="00591B89">
            <w:pPr>
              <w:rPr>
                <w:sz w:val="20"/>
                <w:szCs w:val="20"/>
              </w:rPr>
            </w:pPr>
            <w:r w:rsidRPr="00AA0962">
              <w:rPr>
                <w:sz w:val="20"/>
                <w:szCs w:val="20"/>
              </w:rPr>
              <w:t>P1</w:t>
            </w:r>
          </w:p>
        </w:tc>
        <w:tc>
          <w:tcPr>
            <w:tcW w:w="0" w:type="auto"/>
            <w:hideMark/>
          </w:tcPr>
          <w:p w14:paraId="7EC4CDC8" w14:textId="77777777" w:rsidR="00ED0FF7" w:rsidRPr="00AA0962" w:rsidRDefault="00ED0FF7" w:rsidP="00591B89">
            <w:pPr>
              <w:rPr>
                <w:sz w:val="20"/>
                <w:szCs w:val="20"/>
              </w:rPr>
            </w:pPr>
            <w:r w:rsidRPr="00AA0962">
              <w:rPr>
                <w:sz w:val="20"/>
                <w:szCs w:val="20"/>
              </w:rPr>
              <w:t>3.147</w:t>
            </w:r>
          </w:p>
        </w:tc>
        <w:tc>
          <w:tcPr>
            <w:tcW w:w="0" w:type="auto"/>
            <w:hideMark/>
          </w:tcPr>
          <w:p w14:paraId="5F176651" w14:textId="77777777" w:rsidR="00ED0FF7" w:rsidRPr="00AA0962" w:rsidRDefault="00ED0FF7" w:rsidP="00591B89">
            <w:pPr>
              <w:rPr>
                <w:sz w:val="20"/>
                <w:szCs w:val="20"/>
              </w:rPr>
            </w:pPr>
            <w:r w:rsidRPr="00AA0962">
              <w:rPr>
                <w:sz w:val="20"/>
                <w:szCs w:val="20"/>
              </w:rPr>
              <w:t>-2.819</w:t>
            </w:r>
          </w:p>
        </w:tc>
        <w:tc>
          <w:tcPr>
            <w:tcW w:w="0" w:type="auto"/>
            <w:hideMark/>
          </w:tcPr>
          <w:p w14:paraId="1FBD2A96" w14:textId="77777777" w:rsidR="00ED0FF7" w:rsidRPr="00AA0962" w:rsidRDefault="00ED0FF7" w:rsidP="00591B89">
            <w:pPr>
              <w:rPr>
                <w:sz w:val="20"/>
                <w:szCs w:val="20"/>
              </w:rPr>
            </w:pPr>
            <w:r w:rsidRPr="00AA0962">
              <w:rPr>
                <w:sz w:val="20"/>
                <w:szCs w:val="20"/>
              </w:rPr>
              <w:t>-2.398</w:t>
            </w:r>
          </w:p>
        </w:tc>
        <w:tc>
          <w:tcPr>
            <w:tcW w:w="0" w:type="auto"/>
            <w:hideMark/>
          </w:tcPr>
          <w:p w14:paraId="37178B51" w14:textId="77777777" w:rsidR="00ED0FF7" w:rsidRPr="00AA0962" w:rsidRDefault="00ED0FF7" w:rsidP="00591B89">
            <w:pPr>
              <w:rPr>
                <w:sz w:val="20"/>
                <w:szCs w:val="20"/>
              </w:rPr>
            </w:pPr>
            <w:r w:rsidRPr="00AA0962">
              <w:rPr>
                <w:sz w:val="20"/>
                <w:szCs w:val="20"/>
              </w:rPr>
              <w:t>-1.701</w:t>
            </w:r>
          </w:p>
        </w:tc>
        <w:tc>
          <w:tcPr>
            <w:tcW w:w="0" w:type="auto"/>
            <w:hideMark/>
          </w:tcPr>
          <w:p w14:paraId="1D487F90" w14:textId="77777777" w:rsidR="00ED0FF7" w:rsidRPr="00AA0962" w:rsidRDefault="00ED0FF7" w:rsidP="00591B89">
            <w:pPr>
              <w:rPr>
                <w:sz w:val="20"/>
                <w:szCs w:val="20"/>
              </w:rPr>
            </w:pPr>
            <w:r w:rsidRPr="00AA0962">
              <w:rPr>
                <w:sz w:val="20"/>
                <w:szCs w:val="20"/>
              </w:rPr>
              <w:t>-0.807</w:t>
            </w:r>
          </w:p>
        </w:tc>
      </w:tr>
      <w:tr w:rsidR="00ED0FF7" w:rsidRPr="00AA0962" w14:paraId="173681C1" w14:textId="77777777" w:rsidTr="00591B89">
        <w:trPr>
          <w:jc w:val="center"/>
        </w:trPr>
        <w:tc>
          <w:tcPr>
            <w:tcW w:w="0" w:type="auto"/>
            <w:hideMark/>
          </w:tcPr>
          <w:p w14:paraId="56528574" w14:textId="77777777" w:rsidR="00ED0FF7" w:rsidRPr="00AA0962" w:rsidRDefault="00ED0FF7" w:rsidP="00591B89">
            <w:pPr>
              <w:rPr>
                <w:sz w:val="20"/>
                <w:szCs w:val="20"/>
              </w:rPr>
            </w:pPr>
            <w:r w:rsidRPr="00AA0962">
              <w:rPr>
                <w:sz w:val="20"/>
                <w:szCs w:val="20"/>
              </w:rPr>
              <w:t>P2</w:t>
            </w:r>
          </w:p>
        </w:tc>
        <w:tc>
          <w:tcPr>
            <w:tcW w:w="0" w:type="auto"/>
            <w:hideMark/>
          </w:tcPr>
          <w:p w14:paraId="36D691DA" w14:textId="77777777" w:rsidR="00ED0FF7" w:rsidRPr="00AA0962" w:rsidRDefault="00ED0FF7" w:rsidP="00591B89">
            <w:pPr>
              <w:rPr>
                <w:sz w:val="20"/>
                <w:szCs w:val="20"/>
              </w:rPr>
            </w:pPr>
            <w:r w:rsidRPr="00AA0962">
              <w:rPr>
                <w:sz w:val="20"/>
                <w:szCs w:val="20"/>
              </w:rPr>
              <w:t>3.000</w:t>
            </w:r>
          </w:p>
        </w:tc>
        <w:tc>
          <w:tcPr>
            <w:tcW w:w="0" w:type="auto"/>
            <w:hideMark/>
          </w:tcPr>
          <w:p w14:paraId="60A62DE9" w14:textId="77777777" w:rsidR="00ED0FF7" w:rsidRPr="00AA0962" w:rsidRDefault="00ED0FF7" w:rsidP="00591B89">
            <w:pPr>
              <w:rPr>
                <w:sz w:val="20"/>
                <w:szCs w:val="20"/>
              </w:rPr>
            </w:pPr>
            <w:r w:rsidRPr="00AA0962">
              <w:rPr>
                <w:sz w:val="20"/>
                <w:szCs w:val="20"/>
              </w:rPr>
              <w:t>-2.907</w:t>
            </w:r>
          </w:p>
        </w:tc>
        <w:tc>
          <w:tcPr>
            <w:tcW w:w="0" w:type="auto"/>
            <w:hideMark/>
          </w:tcPr>
          <w:p w14:paraId="623C3C0D" w14:textId="77777777" w:rsidR="00ED0FF7" w:rsidRPr="00AA0962" w:rsidRDefault="00ED0FF7" w:rsidP="00591B89">
            <w:pPr>
              <w:rPr>
                <w:sz w:val="20"/>
                <w:szCs w:val="20"/>
              </w:rPr>
            </w:pPr>
            <w:r w:rsidRPr="00AA0962">
              <w:rPr>
                <w:sz w:val="20"/>
                <w:szCs w:val="20"/>
              </w:rPr>
              <w:t>-2.433</w:t>
            </w:r>
          </w:p>
        </w:tc>
        <w:tc>
          <w:tcPr>
            <w:tcW w:w="0" w:type="auto"/>
            <w:hideMark/>
          </w:tcPr>
          <w:p w14:paraId="3BD8BAF4" w14:textId="77777777" w:rsidR="00ED0FF7" w:rsidRPr="00AA0962" w:rsidRDefault="00ED0FF7" w:rsidP="00591B89">
            <w:pPr>
              <w:rPr>
                <w:sz w:val="20"/>
                <w:szCs w:val="20"/>
              </w:rPr>
            </w:pPr>
            <w:r w:rsidRPr="00AA0962">
              <w:rPr>
                <w:sz w:val="20"/>
                <w:szCs w:val="20"/>
              </w:rPr>
              <w:t>-1.794</w:t>
            </w:r>
          </w:p>
        </w:tc>
        <w:tc>
          <w:tcPr>
            <w:tcW w:w="0" w:type="auto"/>
            <w:hideMark/>
          </w:tcPr>
          <w:p w14:paraId="048902A1" w14:textId="77777777" w:rsidR="00ED0FF7" w:rsidRPr="00AA0962" w:rsidRDefault="00ED0FF7" w:rsidP="00591B89">
            <w:pPr>
              <w:rPr>
                <w:sz w:val="20"/>
                <w:szCs w:val="20"/>
              </w:rPr>
            </w:pPr>
            <w:r w:rsidRPr="00AA0962">
              <w:rPr>
                <w:sz w:val="20"/>
                <w:szCs w:val="20"/>
              </w:rPr>
              <w:t>-0.953</w:t>
            </w:r>
          </w:p>
        </w:tc>
      </w:tr>
      <w:tr w:rsidR="00ED0FF7" w:rsidRPr="00AA0962" w14:paraId="56BDF133" w14:textId="77777777" w:rsidTr="00591B89">
        <w:trPr>
          <w:jc w:val="center"/>
        </w:trPr>
        <w:tc>
          <w:tcPr>
            <w:tcW w:w="0" w:type="auto"/>
            <w:hideMark/>
          </w:tcPr>
          <w:p w14:paraId="211C837C" w14:textId="77777777" w:rsidR="00ED0FF7" w:rsidRPr="00AA0962" w:rsidRDefault="00ED0FF7" w:rsidP="00591B89">
            <w:pPr>
              <w:rPr>
                <w:sz w:val="20"/>
                <w:szCs w:val="20"/>
              </w:rPr>
            </w:pPr>
            <w:r w:rsidRPr="00AA0962">
              <w:rPr>
                <w:sz w:val="20"/>
                <w:szCs w:val="20"/>
              </w:rPr>
              <w:t>P3</w:t>
            </w:r>
          </w:p>
        </w:tc>
        <w:tc>
          <w:tcPr>
            <w:tcW w:w="0" w:type="auto"/>
            <w:hideMark/>
          </w:tcPr>
          <w:p w14:paraId="5DECF2A1" w14:textId="77777777" w:rsidR="00ED0FF7" w:rsidRPr="00AA0962" w:rsidRDefault="00ED0FF7" w:rsidP="00591B89">
            <w:pPr>
              <w:rPr>
                <w:sz w:val="20"/>
                <w:szCs w:val="20"/>
              </w:rPr>
            </w:pPr>
            <w:r w:rsidRPr="00AA0962">
              <w:rPr>
                <w:sz w:val="20"/>
                <w:szCs w:val="20"/>
              </w:rPr>
              <w:t>2.705</w:t>
            </w:r>
          </w:p>
        </w:tc>
        <w:tc>
          <w:tcPr>
            <w:tcW w:w="0" w:type="auto"/>
            <w:hideMark/>
          </w:tcPr>
          <w:p w14:paraId="6624E85F" w14:textId="77777777" w:rsidR="00ED0FF7" w:rsidRPr="00AA0962" w:rsidRDefault="00ED0FF7" w:rsidP="00591B89">
            <w:pPr>
              <w:rPr>
                <w:sz w:val="20"/>
                <w:szCs w:val="20"/>
              </w:rPr>
            </w:pPr>
            <w:r w:rsidRPr="00AA0962">
              <w:rPr>
                <w:sz w:val="20"/>
                <w:szCs w:val="20"/>
              </w:rPr>
              <w:t>-2.853</w:t>
            </w:r>
          </w:p>
        </w:tc>
        <w:tc>
          <w:tcPr>
            <w:tcW w:w="0" w:type="auto"/>
            <w:hideMark/>
          </w:tcPr>
          <w:p w14:paraId="30F37535" w14:textId="77777777" w:rsidR="00ED0FF7" w:rsidRPr="00AA0962" w:rsidRDefault="00ED0FF7" w:rsidP="00591B89">
            <w:pPr>
              <w:rPr>
                <w:sz w:val="20"/>
                <w:szCs w:val="20"/>
              </w:rPr>
            </w:pPr>
            <w:r w:rsidRPr="00AA0962">
              <w:rPr>
                <w:sz w:val="20"/>
                <w:szCs w:val="20"/>
              </w:rPr>
              <w:t>-2.344</w:t>
            </w:r>
          </w:p>
        </w:tc>
        <w:tc>
          <w:tcPr>
            <w:tcW w:w="0" w:type="auto"/>
            <w:hideMark/>
          </w:tcPr>
          <w:p w14:paraId="06E42CED" w14:textId="77777777" w:rsidR="00ED0FF7" w:rsidRPr="00AA0962" w:rsidRDefault="00ED0FF7" w:rsidP="00591B89">
            <w:pPr>
              <w:rPr>
                <w:sz w:val="20"/>
                <w:szCs w:val="20"/>
              </w:rPr>
            </w:pPr>
            <w:r w:rsidRPr="00AA0962">
              <w:rPr>
                <w:sz w:val="20"/>
                <w:szCs w:val="20"/>
              </w:rPr>
              <w:t>-1.562</w:t>
            </w:r>
          </w:p>
        </w:tc>
        <w:tc>
          <w:tcPr>
            <w:tcW w:w="0" w:type="auto"/>
            <w:hideMark/>
          </w:tcPr>
          <w:p w14:paraId="7A9C3C30" w14:textId="77777777" w:rsidR="00ED0FF7" w:rsidRPr="00AA0962" w:rsidRDefault="00ED0FF7" w:rsidP="00591B89">
            <w:pPr>
              <w:rPr>
                <w:sz w:val="20"/>
                <w:szCs w:val="20"/>
              </w:rPr>
            </w:pPr>
            <w:r w:rsidRPr="00AA0962">
              <w:rPr>
                <w:sz w:val="20"/>
                <w:szCs w:val="20"/>
              </w:rPr>
              <w:t>-0.640</w:t>
            </w:r>
          </w:p>
        </w:tc>
      </w:tr>
      <w:tr w:rsidR="00ED0FF7" w:rsidRPr="00AA0962" w14:paraId="7DB916A5" w14:textId="77777777" w:rsidTr="00591B89">
        <w:trPr>
          <w:jc w:val="center"/>
        </w:trPr>
        <w:tc>
          <w:tcPr>
            <w:tcW w:w="0" w:type="auto"/>
            <w:hideMark/>
          </w:tcPr>
          <w:p w14:paraId="4FDB23CB" w14:textId="77777777" w:rsidR="00ED0FF7" w:rsidRPr="00AA0962" w:rsidRDefault="00ED0FF7" w:rsidP="00591B89">
            <w:pPr>
              <w:rPr>
                <w:sz w:val="20"/>
                <w:szCs w:val="20"/>
              </w:rPr>
            </w:pPr>
            <w:r w:rsidRPr="00AA0962">
              <w:rPr>
                <w:sz w:val="20"/>
                <w:szCs w:val="20"/>
              </w:rPr>
              <w:t>P4</w:t>
            </w:r>
          </w:p>
        </w:tc>
        <w:tc>
          <w:tcPr>
            <w:tcW w:w="0" w:type="auto"/>
            <w:hideMark/>
          </w:tcPr>
          <w:p w14:paraId="24F8FCA9" w14:textId="77777777" w:rsidR="00ED0FF7" w:rsidRPr="00AA0962" w:rsidRDefault="00ED0FF7" w:rsidP="00591B89">
            <w:pPr>
              <w:rPr>
                <w:sz w:val="20"/>
                <w:szCs w:val="20"/>
              </w:rPr>
            </w:pPr>
            <w:r w:rsidRPr="00AA0962">
              <w:rPr>
                <w:sz w:val="20"/>
                <w:szCs w:val="20"/>
              </w:rPr>
              <w:t>3.451</w:t>
            </w:r>
          </w:p>
        </w:tc>
        <w:tc>
          <w:tcPr>
            <w:tcW w:w="0" w:type="auto"/>
            <w:hideMark/>
          </w:tcPr>
          <w:p w14:paraId="7F01B808" w14:textId="77777777" w:rsidR="00ED0FF7" w:rsidRPr="00AA0962" w:rsidRDefault="00ED0FF7" w:rsidP="00591B89">
            <w:pPr>
              <w:rPr>
                <w:sz w:val="20"/>
                <w:szCs w:val="20"/>
              </w:rPr>
            </w:pPr>
            <w:r w:rsidRPr="00AA0962">
              <w:rPr>
                <w:sz w:val="20"/>
                <w:szCs w:val="20"/>
              </w:rPr>
              <w:t>-2.626</w:t>
            </w:r>
          </w:p>
        </w:tc>
        <w:tc>
          <w:tcPr>
            <w:tcW w:w="0" w:type="auto"/>
            <w:hideMark/>
          </w:tcPr>
          <w:p w14:paraId="7FFE0689" w14:textId="77777777" w:rsidR="00ED0FF7" w:rsidRPr="00AA0962" w:rsidRDefault="00ED0FF7" w:rsidP="00591B89">
            <w:pPr>
              <w:rPr>
                <w:sz w:val="20"/>
                <w:szCs w:val="20"/>
              </w:rPr>
            </w:pPr>
            <w:r w:rsidRPr="00AA0962">
              <w:rPr>
                <w:sz w:val="20"/>
                <w:szCs w:val="20"/>
              </w:rPr>
              <w:t>-2.199</w:t>
            </w:r>
          </w:p>
        </w:tc>
        <w:tc>
          <w:tcPr>
            <w:tcW w:w="0" w:type="auto"/>
            <w:hideMark/>
          </w:tcPr>
          <w:p w14:paraId="4F4DAABB" w14:textId="77777777" w:rsidR="00ED0FF7" w:rsidRPr="00AA0962" w:rsidRDefault="00ED0FF7" w:rsidP="00591B89">
            <w:pPr>
              <w:rPr>
                <w:sz w:val="20"/>
                <w:szCs w:val="20"/>
              </w:rPr>
            </w:pPr>
            <w:r w:rsidRPr="00AA0962">
              <w:rPr>
                <w:sz w:val="20"/>
                <w:szCs w:val="20"/>
              </w:rPr>
              <w:t>-1.617</w:t>
            </w:r>
          </w:p>
        </w:tc>
        <w:tc>
          <w:tcPr>
            <w:tcW w:w="0" w:type="auto"/>
            <w:hideMark/>
          </w:tcPr>
          <w:p w14:paraId="719BB69A" w14:textId="77777777" w:rsidR="00ED0FF7" w:rsidRPr="00AA0962" w:rsidRDefault="00ED0FF7" w:rsidP="00591B89">
            <w:pPr>
              <w:rPr>
                <w:sz w:val="20"/>
                <w:szCs w:val="20"/>
              </w:rPr>
            </w:pPr>
            <w:r w:rsidRPr="00AA0962">
              <w:rPr>
                <w:sz w:val="20"/>
                <w:szCs w:val="20"/>
              </w:rPr>
              <w:t>-0.817</w:t>
            </w:r>
          </w:p>
        </w:tc>
      </w:tr>
      <w:tr w:rsidR="00ED0FF7" w:rsidRPr="00AA0962" w14:paraId="268860A7" w14:textId="77777777" w:rsidTr="00591B89">
        <w:trPr>
          <w:jc w:val="center"/>
        </w:trPr>
        <w:tc>
          <w:tcPr>
            <w:tcW w:w="0" w:type="auto"/>
            <w:hideMark/>
          </w:tcPr>
          <w:p w14:paraId="40A6BCF0" w14:textId="77777777" w:rsidR="00ED0FF7" w:rsidRPr="00AA0962" w:rsidRDefault="00ED0FF7" w:rsidP="00591B89">
            <w:pPr>
              <w:rPr>
                <w:sz w:val="20"/>
                <w:szCs w:val="20"/>
              </w:rPr>
            </w:pPr>
            <w:r w:rsidRPr="00AA0962">
              <w:rPr>
                <w:sz w:val="20"/>
                <w:szCs w:val="20"/>
              </w:rPr>
              <w:t>P5</w:t>
            </w:r>
          </w:p>
        </w:tc>
        <w:tc>
          <w:tcPr>
            <w:tcW w:w="0" w:type="auto"/>
            <w:hideMark/>
          </w:tcPr>
          <w:p w14:paraId="57AB2CE9" w14:textId="77777777" w:rsidR="00ED0FF7" w:rsidRPr="00AA0962" w:rsidRDefault="00ED0FF7" w:rsidP="00591B89">
            <w:pPr>
              <w:rPr>
                <w:sz w:val="20"/>
                <w:szCs w:val="20"/>
              </w:rPr>
            </w:pPr>
            <w:r w:rsidRPr="00AA0962">
              <w:rPr>
                <w:sz w:val="20"/>
                <w:szCs w:val="20"/>
              </w:rPr>
              <w:t>3.213</w:t>
            </w:r>
          </w:p>
        </w:tc>
        <w:tc>
          <w:tcPr>
            <w:tcW w:w="0" w:type="auto"/>
            <w:hideMark/>
          </w:tcPr>
          <w:p w14:paraId="5CE6CBCC" w14:textId="77777777" w:rsidR="00ED0FF7" w:rsidRPr="00AA0962" w:rsidRDefault="00ED0FF7" w:rsidP="00591B89">
            <w:pPr>
              <w:rPr>
                <w:sz w:val="20"/>
                <w:szCs w:val="20"/>
              </w:rPr>
            </w:pPr>
            <w:r w:rsidRPr="00AA0962">
              <w:rPr>
                <w:sz w:val="20"/>
                <w:szCs w:val="20"/>
              </w:rPr>
              <w:t>-2.645</w:t>
            </w:r>
          </w:p>
        </w:tc>
        <w:tc>
          <w:tcPr>
            <w:tcW w:w="0" w:type="auto"/>
            <w:hideMark/>
          </w:tcPr>
          <w:p w14:paraId="1D253331" w14:textId="77777777" w:rsidR="00ED0FF7" w:rsidRPr="00AA0962" w:rsidRDefault="00ED0FF7" w:rsidP="00591B89">
            <w:pPr>
              <w:rPr>
                <w:sz w:val="20"/>
                <w:szCs w:val="20"/>
              </w:rPr>
            </w:pPr>
            <w:r w:rsidRPr="00AA0962">
              <w:rPr>
                <w:sz w:val="20"/>
                <w:szCs w:val="20"/>
              </w:rPr>
              <w:t>-2.227</w:t>
            </w:r>
          </w:p>
        </w:tc>
        <w:tc>
          <w:tcPr>
            <w:tcW w:w="0" w:type="auto"/>
            <w:hideMark/>
          </w:tcPr>
          <w:p w14:paraId="3729AFB9" w14:textId="77777777" w:rsidR="00ED0FF7" w:rsidRPr="00AA0962" w:rsidRDefault="00ED0FF7" w:rsidP="00591B89">
            <w:pPr>
              <w:rPr>
                <w:sz w:val="20"/>
                <w:szCs w:val="20"/>
              </w:rPr>
            </w:pPr>
            <w:r w:rsidRPr="00AA0962">
              <w:rPr>
                <w:sz w:val="20"/>
                <w:szCs w:val="20"/>
              </w:rPr>
              <w:t>-1.598</w:t>
            </w:r>
          </w:p>
        </w:tc>
        <w:tc>
          <w:tcPr>
            <w:tcW w:w="0" w:type="auto"/>
            <w:hideMark/>
          </w:tcPr>
          <w:p w14:paraId="55472CA4" w14:textId="77777777" w:rsidR="00ED0FF7" w:rsidRPr="00AA0962" w:rsidRDefault="00ED0FF7" w:rsidP="00591B89">
            <w:pPr>
              <w:rPr>
                <w:sz w:val="20"/>
                <w:szCs w:val="20"/>
              </w:rPr>
            </w:pPr>
            <w:r w:rsidRPr="00AA0962">
              <w:rPr>
                <w:sz w:val="20"/>
                <w:szCs w:val="20"/>
              </w:rPr>
              <w:t>-0.810</w:t>
            </w:r>
          </w:p>
        </w:tc>
      </w:tr>
      <w:tr w:rsidR="00ED0FF7" w:rsidRPr="00AA0962" w14:paraId="25FED02F" w14:textId="77777777" w:rsidTr="00591B89">
        <w:trPr>
          <w:jc w:val="center"/>
        </w:trPr>
        <w:tc>
          <w:tcPr>
            <w:tcW w:w="0" w:type="auto"/>
            <w:hideMark/>
          </w:tcPr>
          <w:p w14:paraId="58F0AEAC" w14:textId="77777777" w:rsidR="00ED0FF7" w:rsidRPr="00AA0962" w:rsidRDefault="00ED0FF7" w:rsidP="00591B89">
            <w:pPr>
              <w:rPr>
                <w:sz w:val="20"/>
                <w:szCs w:val="20"/>
              </w:rPr>
            </w:pPr>
            <w:r w:rsidRPr="00AA0962">
              <w:rPr>
                <w:sz w:val="20"/>
                <w:szCs w:val="20"/>
              </w:rPr>
              <w:t>P6</w:t>
            </w:r>
          </w:p>
        </w:tc>
        <w:tc>
          <w:tcPr>
            <w:tcW w:w="0" w:type="auto"/>
            <w:hideMark/>
          </w:tcPr>
          <w:p w14:paraId="2469EBAE" w14:textId="77777777" w:rsidR="00ED0FF7" w:rsidRPr="00AA0962" w:rsidRDefault="00ED0FF7" w:rsidP="00591B89">
            <w:pPr>
              <w:rPr>
                <w:sz w:val="20"/>
                <w:szCs w:val="20"/>
              </w:rPr>
            </w:pPr>
            <w:r w:rsidRPr="00AA0962">
              <w:rPr>
                <w:sz w:val="20"/>
                <w:szCs w:val="20"/>
              </w:rPr>
              <w:t>4.019</w:t>
            </w:r>
          </w:p>
        </w:tc>
        <w:tc>
          <w:tcPr>
            <w:tcW w:w="0" w:type="auto"/>
            <w:hideMark/>
          </w:tcPr>
          <w:p w14:paraId="0E833AF8" w14:textId="77777777" w:rsidR="00ED0FF7" w:rsidRPr="00AA0962" w:rsidRDefault="00ED0FF7" w:rsidP="00591B89">
            <w:pPr>
              <w:rPr>
                <w:sz w:val="20"/>
                <w:szCs w:val="20"/>
              </w:rPr>
            </w:pPr>
            <w:r w:rsidRPr="00AA0962">
              <w:rPr>
                <w:sz w:val="20"/>
                <w:szCs w:val="20"/>
              </w:rPr>
              <w:t>-2.413</w:t>
            </w:r>
          </w:p>
        </w:tc>
        <w:tc>
          <w:tcPr>
            <w:tcW w:w="0" w:type="auto"/>
            <w:hideMark/>
          </w:tcPr>
          <w:p w14:paraId="5B79FDE1" w14:textId="77777777" w:rsidR="00ED0FF7" w:rsidRPr="00AA0962" w:rsidRDefault="00ED0FF7" w:rsidP="00591B89">
            <w:pPr>
              <w:rPr>
                <w:sz w:val="20"/>
                <w:szCs w:val="20"/>
              </w:rPr>
            </w:pPr>
            <w:r w:rsidRPr="00AA0962">
              <w:rPr>
                <w:sz w:val="20"/>
                <w:szCs w:val="20"/>
              </w:rPr>
              <w:t>-1.974</w:t>
            </w:r>
          </w:p>
        </w:tc>
        <w:tc>
          <w:tcPr>
            <w:tcW w:w="0" w:type="auto"/>
            <w:hideMark/>
          </w:tcPr>
          <w:p w14:paraId="720D8D02" w14:textId="77777777" w:rsidR="00ED0FF7" w:rsidRPr="00AA0962" w:rsidRDefault="00ED0FF7" w:rsidP="00591B89">
            <w:pPr>
              <w:rPr>
                <w:sz w:val="20"/>
                <w:szCs w:val="20"/>
              </w:rPr>
            </w:pPr>
            <w:r w:rsidRPr="00AA0962">
              <w:rPr>
                <w:sz w:val="20"/>
                <w:szCs w:val="20"/>
              </w:rPr>
              <w:t>-1.424</w:t>
            </w:r>
          </w:p>
        </w:tc>
        <w:tc>
          <w:tcPr>
            <w:tcW w:w="0" w:type="auto"/>
            <w:hideMark/>
          </w:tcPr>
          <w:p w14:paraId="0CE771A0" w14:textId="77777777" w:rsidR="00ED0FF7" w:rsidRPr="00AA0962" w:rsidRDefault="00ED0FF7" w:rsidP="00591B89">
            <w:pPr>
              <w:rPr>
                <w:sz w:val="20"/>
                <w:szCs w:val="20"/>
              </w:rPr>
            </w:pPr>
            <w:r w:rsidRPr="00AA0962">
              <w:rPr>
                <w:sz w:val="20"/>
                <w:szCs w:val="20"/>
              </w:rPr>
              <w:t>-0.699</w:t>
            </w:r>
          </w:p>
        </w:tc>
      </w:tr>
      <w:tr w:rsidR="00ED0FF7" w:rsidRPr="00AA0962" w14:paraId="7C0D8BF7" w14:textId="77777777" w:rsidTr="00591B89">
        <w:trPr>
          <w:jc w:val="center"/>
        </w:trPr>
        <w:tc>
          <w:tcPr>
            <w:tcW w:w="0" w:type="auto"/>
            <w:hideMark/>
          </w:tcPr>
          <w:p w14:paraId="3B85525F" w14:textId="77777777" w:rsidR="00ED0FF7" w:rsidRPr="00AA0962" w:rsidRDefault="00ED0FF7" w:rsidP="00591B89">
            <w:pPr>
              <w:rPr>
                <w:sz w:val="20"/>
                <w:szCs w:val="20"/>
              </w:rPr>
            </w:pPr>
            <w:r w:rsidRPr="00AA0962">
              <w:rPr>
                <w:sz w:val="20"/>
                <w:szCs w:val="20"/>
              </w:rPr>
              <w:t>P7</w:t>
            </w:r>
          </w:p>
        </w:tc>
        <w:tc>
          <w:tcPr>
            <w:tcW w:w="0" w:type="auto"/>
            <w:hideMark/>
          </w:tcPr>
          <w:p w14:paraId="04B5E24E" w14:textId="77777777" w:rsidR="00ED0FF7" w:rsidRPr="00AA0962" w:rsidRDefault="00ED0FF7" w:rsidP="00591B89">
            <w:pPr>
              <w:rPr>
                <w:sz w:val="20"/>
                <w:szCs w:val="20"/>
              </w:rPr>
            </w:pPr>
            <w:r w:rsidRPr="00AA0962">
              <w:rPr>
                <w:sz w:val="20"/>
                <w:szCs w:val="20"/>
              </w:rPr>
              <w:t>4.213</w:t>
            </w:r>
          </w:p>
        </w:tc>
        <w:tc>
          <w:tcPr>
            <w:tcW w:w="0" w:type="auto"/>
            <w:hideMark/>
          </w:tcPr>
          <w:p w14:paraId="50B76B01" w14:textId="77777777" w:rsidR="00ED0FF7" w:rsidRPr="00AA0962" w:rsidRDefault="00ED0FF7" w:rsidP="00591B89">
            <w:pPr>
              <w:rPr>
                <w:sz w:val="20"/>
                <w:szCs w:val="20"/>
              </w:rPr>
            </w:pPr>
            <w:r w:rsidRPr="00AA0962">
              <w:rPr>
                <w:sz w:val="20"/>
                <w:szCs w:val="20"/>
              </w:rPr>
              <w:t>-2.591</w:t>
            </w:r>
          </w:p>
        </w:tc>
        <w:tc>
          <w:tcPr>
            <w:tcW w:w="0" w:type="auto"/>
            <w:hideMark/>
          </w:tcPr>
          <w:p w14:paraId="2790E6B2" w14:textId="77777777" w:rsidR="00ED0FF7" w:rsidRPr="00AA0962" w:rsidRDefault="00ED0FF7" w:rsidP="00591B89">
            <w:pPr>
              <w:rPr>
                <w:sz w:val="20"/>
                <w:szCs w:val="20"/>
              </w:rPr>
            </w:pPr>
            <w:r w:rsidRPr="00AA0962">
              <w:rPr>
                <w:sz w:val="20"/>
                <w:szCs w:val="20"/>
              </w:rPr>
              <w:t>-2.143</w:t>
            </w:r>
          </w:p>
        </w:tc>
        <w:tc>
          <w:tcPr>
            <w:tcW w:w="0" w:type="auto"/>
            <w:hideMark/>
          </w:tcPr>
          <w:p w14:paraId="7CEF12A0" w14:textId="77777777" w:rsidR="00ED0FF7" w:rsidRPr="00AA0962" w:rsidRDefault="00ED0FF7" w:rsidP="00591B89">
            <w:pPr>
              <w:rPr>
                <w:sz w:val="20"/>
                <w:szCs w:val="20"/>
              </w:rPr>
            </w:pPr>
            <w:r w:rsidRPr="00AA0962">
              <w:rPr>
                <w:sz w:val="20"/>
                <w:szCs w:val="20"/>
              </w:rPr>
              <w:t>-1.587</w:t>
            </w:r>
          </w:p>
        </w:tc>
        <w:tc>
          <w:tcPr>
            <w:tcW w:w="0" w:type="auto"/>
            <w:hideMark/>
          </w:tcPr>
          <w:p w14:paraId="7AAA8DC4" w14:textId="77777777" w:rsidR="00ED0FF7" w:rsidRPr="00AA0962" w:rsidRDefault="00ED0FF7" w:rsidP="00591B89">
            <w:pPr>
              <w:rPr>
                <w:sz w:val="20"/>
                <w:szCs w:val="20"/>
              </w:rPr>
            </w:pPr>
            <w:r w:rsidRPr="00AA0962">
              <w:rPr>
                <w:sz w:val="20"/>
                <w:szCs w:val="20"/>
              </w:rPr>
              <w:t>-0.773</w:t>
            </w:r>
          </w:p>
        </w:tc>
      </w:tr>
      <w:tr w:rsidR="00ED0FF7" w:rsidRPr="00AA0962" w14:paraId="6AD7A432" w14:textId="77777777" w:rsidTr="00591B89">
        <w:trPr>
          <w:jc w:val="center"/>
        </w:trPr>
        <w:tc>
          <w:tcPr>
            <w:tcW w:w="0" w:type="auto"/>
            <w:hideMark/>
          </w:tcPr>
          <w:p w14:paraId="2EBF74FF" w14:textId="77777777" w:rsidR="00ED0FF7" w:rsidRPr="00AA0962" w:rsidRDefault="00ED0FF7" w:rsidP="00591B89">
            <w:pPr>
              <w:rPr>
                <w:sz w:val="20"/>
                <w:szCs w:val="20"/>
              </w:rPr>
            </w:pPr>
            <w:r w:rsidRPr="00AA0962">
              <w:rPr>
                <w:sz w:val="20"/>
                <w:szCs w:val="20"/>
              </w:rPr>
              <w:t>P8</w:t>
            </w:r>
          </w:p>
        </w:tc>
        <w:tc>
          <w:tcPr>
            <w:tcW w:w="0" w:type="auto"/>
            <w:hideMark/>
          </w:tcPr>
          <w:p w14:paraId="01F834A1" w14:textId="77777777" w:rsidR="00ED0FF7" w:rsidRPr="00AA0962" w:rsidRDefault="00ED0FF7" w:rsidP="00591B89">
            <w:pPr>
              <w:rPr>
                <w:sz w:val="20"/>
                <w:szCs w:val="20"/>
              </w:rPr>
            </w:pPr>
            <w:r w:rsidRPr="00AA0962">
              <w:rPr>
                <w:sz w:val="20"/>
                <w:szCs w:val="20"/>
              </w:rPr>
              <w:t>3.225</w:t>
            </w:r>
          </w:p>
        </w:tc>
        <w:tc>
          <w:tcPr>
            <w:tcW w:w="0" w:type="auto"/>
            <w:hideMark/>
          </w:tcPr>
          <w:p w14:paraId="2A07BDBC" w14:textId="77777777" w:rsidR="00ED0FF7" w:rsidRPr="00AA0962" w:rsidRDefault="00ED0FF7" w:rsidP="00591B89">
            <w:pPr>
              <w:rPr>
                <w:sz w:val="20"/>
                <w:szCs w:val="20"/>
              </w:rPr>
            </w:pPr>
            <w:r w:rsidRPr="00AA0962">
              <w:rPr>
                <w:sz w:val="20"/>
                <w:szCs w:val="20"/>
              </w:rPr>
              <w:t>-2.628</w:t>
            </w:r>
          </w:p>
        </w:tc>
        <w:tc>
          <w:tcPr>
            <w:tcW w:w="0" w:type="auto"/>
            <w:hideMark/>
          </w:tcPr>
          <w:p w14:paraId="0606A673" w14:textId="77777777" w:rsidR="00ED0FF7" w:rsidRPr="00AA0962" w:rsidRDefault="00ED0FF7" w:rsidP="00591B89">
            <w:pPr>
              <w:rPr>
                <w:sz w:val="20"/>
                <w:szCs w:val="20"/>
              </w:rPr>
            </w:pPr>
            <w:r w:rsidRPr="00AA0962">
              <w:rPr>
                <w:sz w:val="20"/>
                <w:szCs w:val="20"/>
              </w:rPr>
              <w:t>-2.201</w:t>
            </w:r>
          </w:p>
        </w:tc>
        <w:tc>
          <w:tcPr>
            <w:tcW w:w="0" w:type="auto"/>
            <w:hideMark/>
          </w:tcPr>
          <w:p w14:paraId="482C4964" w14:textId="77777777" w:rsidR="00ED0FF7" w:rsidRPr="00AA0962" w:rsidRDefault="00ED0FF7" w:rsidP="00591B89">
            <w:pPr>
              <w:rPr>
                <w:sz w:val="20"/>
                <w:szCs w:val="20"/>
              </w:rPr>
            </w:pPr>
            <w:r w:rsidRPr="00AA0962">
              <w:rPr>
                <w:sz w:val="20"/>
                <w:szCs w:val="20"/>
              </w:rPr>
              <w:t>-1.635</w:t>
            </w:r>
          </w:p>
        </w:tc>
        <w:tc>
          <w:tcPr>
            <w:tcW w:w="0" w:type="auto"/>
            <w:hideMark/>
          </w:tcPr>
          <w:p w14:paraId="66086355" w14:textId="77777777" w:rsidR="00ED0FF7" w:rsidRPr="00AA0962" w:rsidRDefault="00ED0FF7" w:rsidP="00591B89">
            <w:pPr>
              <w:rPr>
                <w:sz w:val="20"/>
                <w:szCs w:val="20"/>
              </w:rPr>
            </w:pPr>
            <w:r w:rsidRPr="00AA0962">
              <w:rPr>
                <w:sz w:val="20"/>
                <w:szCs w:val="20"/>
              </w:rPr>
              <w:t>-0.827</w:t>
            </w:r>
          </w:p>
        </w:tc>
      </w:tr>
      <w:tr w:rsidR="00ED0FF7" w:rsidRPr="00AA0962" w14:paraId="76A66200" w14:textId="77777777" w:rsidTr="00591B89">
        <w:trPr>
          <w:jc w:val="center"/>
        </w:trPr>
        <w:tc>
          <w:tcPr>
            <w:tcW w:w="0" w:type="auto"/>
            <w:hideMark/>
          </w:tcPr>
          <w:p w14:paraId="6DC2F6B7" w14:textId="77777777" w:rsidR="00ED0FF7" w:rsidRPr="00AA0962" w:rsidRDefault="00ED0FF7" w:rsidP="00591B89">
            <w:pPr>
              <w:rPr>
                <w:sz w:val="20"/>
                <w:szCs w:val="20"/>
              </w:rPr>
            </w:pPr>
            <w:r w:rsidRPr="00AA0962">
              <w:rPr>
                <w:sz w:val="20"/>
                <w:szCs w:val="20"/>
              </w:rPr>
              <w:t>P9</w:t>
            </w:r>
          </w:p>
        </w:tc>
        <w:tc>
          <w:tcPr>
            <w:tcW w:w="0" w:type="auto"/>
            <w:hideMark/>
          </w:tcPr>
          <w:p w14:paraId="6B7FC18A" w14:textId="77777777" w:rsidR="00ED0FF7" w:rsidRPr="00AA0962" w:rsidRDefault="00ED0FF7" w:rsidP="00591B89">
            <w:pPr>
              <w:rPr>
                <w:sz w:val="20"/>
                <w:szCs w:val="20"/>
              </w:rPr>
            </w:pPr>
            <w:r w:rsidRPr="00AA0962">
              <w:rPr>
                <w:sz w:val="20"/>
                <w:szCs w:val="20"/>
              </w:rPr>
              <w:t>3.611</w:t>
            </w:r>
          </w:p>
        </w:tc>
        <w:tc>
          <w:tcPr>
            <w:tcW w:w="0" w:type="auto"/>
            <w:hideMark/>
          </w:tcPr>
          <w:p w14:paraId="1F30BD1A" w14:textId="77777777" w:rsidR="00ED0FF7" w:rsidRPr="00AA0962" w:rsidRDefault="00ED0FF7" w:rsidP="00591B89">
            <w:pPr>
              <w:rPr>
                <w:sz w:val="20"/>
                <w:szCs w:val="20"/>
              </w:rPr>
            </w:pPr>
            <w:r w:rsidRPr="00AA0962">
              <w:rPr>
                <w:sz w:val="20"/>
                <w:szCs w:val="20"/>
              </w:rPr>
              <w:t>-2.321</w:t>
            </w:r>
          </w:p>
        </w:tc>
        <w:tc>
          <w:tcPr>
            <w:tcW w:w="0" w:type="auto"/>
            <w:hideMark/>
          </w:tcPr>
          <w:p w14:paraId="2BD34C90" w14:textId="77777777" w:rsidR="00ED0FF7" w:rsidRPr="00AA0962" w:rsidRDefault="00ED0FF7" w:rsidP="00591B89">
            <w:pPr>
              <w:rPr>
                <w:sz w:val="20"/>
                <w:szCs w:val="20"/>
              </w:rPr>
            </w:pPr>
            <w:r w:rsidRPr="00AA0962">
              <w:rPr>
                <w:sz w:val="20"/>
                <w:szCs w:val="20"/>
              </w:rPr>
              <w:t>-2.015</w:t>
            </w:r>
          </w:p>
        </w:tc>
        <w:tc>
          <w:tcPr>
            <w:tcW w:w="0" w:type="auto"/>
            <w:hideMark/>
          </w:tcPr>
          <w:p w14:paraId="642CFA0A" w14:textId="77777777" w:rsidR="00ED0FF7" w:rsidRPr="00AA0962" w:rsidRDefault="00ED0FF7" w:rsidP="00591B89">
            <w:pPr>
              <w:rPr>
                <w:sz w:val="20"/>
                <w:szCs w:val="20"/>
              </w:rPr>
            </w:pPr>
            <w:r w:rsidRPr="00AA0962">
              <w:rPr>
                <w:sz w:val="20"/>
                <w:szCs w:val="20"/>
              </w:rPr>
              <w:t>-1.545</w:t>
            </w:r>
          </w:p>
        </w:tc>
        <w:tc>
          <w:tcPr>
            <w:tcW w:w="0" w:type="auto"/>
            <w:hideMark/>
          </w:tcPr>
          <w:p w14:paraId="2C8147A5" w14:textId="77777777" w:rsidR="00ED0FF7" w:rsidRPr="00AA0962" w:rsidRDefault="00ED0FF7" w:rsidP="00591B89">
            <w:pPr>
              <w:rPr>
                <w:sz w:val="20"/>
                <w:szCs w:val="20"/>
              </w:rPr>
            </w:pPr>
            <w:r w:rsidRPr="00AA0962">
              <w:rPr>
                <w:sz w:val="20"/>
                <w:szCs w:val="20"/>
              </w:rPr>
              <w:t>-0.943</w:t>
            </w:r>
          </w:p>
        </w:tc>
      </w:tr>
      <w:tr w:rsidR="00ED0FF7" w:rsidRPr="00AA0962" w14:paraId="3CDDFA6A" w14:textId="77777777" w:rsidTr="00591B89">
        <w:trPr>
          <w:jc w:val="center"/>
        </w:trPr>
        <w:tc>
          <w:tcPr>
            <w:tcW w:w="0" w:type="auto"/>
            <w:hideMark/>
          </w:tcPr>
          <w:p w14:paraId="680A8AC4" w14:textId="77777777" w:rsidR="00ED0FF7" w:rsidRPr="00AA0962" w:rsidRDefault="00ED0FF7" w:rsidP="00591B89">
            <w:pPr>
              <w:rPr>
                <w:sz w:val="20"/>
                <w:szCs w:val="20"/>
              </w:rPr>
            </w:pPr>
            <w:r w:rsidRPr="00AA0962">
              <w:rPr>
                <w:sz w:val="20"/>
                <w:szCs w:val="20"/>
              </w:rPr>
              <w:t>P10</w:t>
            </w:r>
          </w:p>
        </w:tc>
        <w:tc>
          <w:tcPr>
            <w:tcW w:w="0" w:type="auto"/>
            <w:hideMark/>
          </w:tcPr>
          <w:p w14:paraId="777A6947" w14:textId="77777777" w:rsidR="00ED0FF7" w:rsidRPr="00AA0962" w:rsidRDefault="00ED0FF7" w:rsidP="00591B89">
            <w:pPr>
              <w:rPr>
                <w:sz w:val="20"/>
                <w:szCs w:val="20"/>
              </w:rPr>
            </w:pPr>
            <w:r w:rsidRPr="00AA0962">
              <w:rPr>
                <w:sz w:val="20"/>
                <w:szCs w:val="20"/>
              </w:rPr>
              <w:t>3.687</w:t>
            </w:r>
          </w:p>
        </w:tc>
        <w:tc>
          <w:tcPr>
            <w:tcW w:w="0" w:type="auto"/>
            <w:hideMark/>
          </w:tcPr>
          <w:p w14:paraId="2E25AE19" w14:textId="77777777" w:rsidR="00ED0FF7" w:rsidRPr="00AA0962" w:rsidRDefault="00ED0FF7" w:rsidP="00591B89">
            <w:pPr>
              <w:rPr>
                <w:sz w:val="20"/>
                <w:szCs w:val="20"/>
              </w:rPr>
            </w:pPr>
            <w:r w:rsidRPr="00AA0962">
              <w:rPr>
                <w:sz w:val="20"/>
                <w:szCs w:val="20"/>
              </w:rPr>
              <w:t>-2.236</w:t>
            </w:r>
          </w:p>
        </w:tc>
        <w:tc>
          <w:tcPr>
            <w:tcW w:w="0" w:type="auto"/>
            <w:hideMark/>
          </w:tcPr>
          <w:p w14:paraId="7694BEBC" w14:textId="77777777" w:rsidR="00ED0FF7" w:rsidRPr="00AA0962" w:rsidRDefault="00ED0FF7" w:rsidP="00591B89">
            <w:pPr>
              <w:rPr>
                <w:sz w:val="20"/>
                <w:szCs w:val="20"/>
              </w:rPr>
            </w:pPr>
            <w:r w:rsidRPr="00AA0962">
              <w:rPr>
                <w:sz w:val="20"/>
                <w:szCs w:val="20"/>
              </w:rPr>
              <w:t>-1.941</w:t>
            </w:r>
          </w:p>
        </w:tc>
        <w:tc>
          <w:tcPr>
            <w:tcW w:w="0" w:type="auto"/>
            <w:hideMark/>
          </w:tcPr>
          <w:p w14:paraId="43662157" w14:textId="77777777" w:rsidR="00ED0FF7" w:rsidRPr="00AA0962" w:rsidRDefault="00ED0FF7" w:rsidP="00591B89">
            <w:pPr>
              <w:rPr>
                <w:sz w:val="20"/>
                <w:szCs w:val="20"/>
              </w:rPr>
            </w:pPr>
            <w:r w:rsidRPr="00AA0962">
              <w:rPr>
                <w:sz w:val="20"/>
                <w:szCs w:val="20"/>
              </w:rPr>
              <w:t>-1.461</w:t>
            </w:r>
          </w:p>
        </w:tc>
        <w:tc>
          <w:tcPr>
            <w:tcW w:w="0" w:type="auto"/>
            <w:hideMark/>
          </w:tcPr>
          <w:p w14:paraId="4019E7CA" w14:textId="77777777" w:rsidR="00ED0FF7" w:rsidRPr="00AA0962" w:rsidRDefault="00ED0FF7" w:rsidP="00591B89">
            <w:pPr>
              <w:rPr>
                <w:sz w:val="20"/>
                <w:szCs w:val="20"/>
              </w:rPr>
            </w:pPr>
            <w:r w:rsidRPr="00AA0962">
              <w:rPr>
                <w:sz w:val="20"/>
                <w:szCs w:val="20"/>
              </w:rPr>
              <w:t>-0.855</w:t>
            </w:r>
          </w:p>
        </w:tc>
      </w:tr>
      <w:tr w:rsidR="00ED0FF7" w:rsidRPr="00AA0962" w14:paraId="3CE5F42E" w14:textId="77777777" w:rsidTr="00591B89">
        <w:trPr>
          <w:jc w:val="center"/>
        </w:trPr>
        <w:tc>
          <w:tcPr>
            <w:tcW w:w="0" w:type="auto"/>
            <w:hideMark/>
          </w:tcPr>
          <w:p w14:paraId="2ADC79AB" w14:textId="77777777" w:rsidR="00ED0FF7" w:rsidRPr="00AA0962" w:rsidRDefault="00ED0FF7" w:rsidP="00591B89">
            <w:pPr>
              <w:rPr>
                <w:sz w:val="20"/>
                <w:szCs w:val="20"/>
              </w:rPr>
            </w:pPr>
            <w:r w:rsidRPr="00AA0962">
              <w:rPr>
                <w:sz w:val="20"/>
                <w:szCs w:val="20"/>
              </w:rPr>
              <w:t>P11</w:t>
            </w:r>
          </w:p>
        </w:tc>
        <w:tc>
          <w:tcPr>
            <w:tcW w:w="0" w:type="auto"/>
            <w:hideMark/>
          </w:tcPr>
          <w:p w14:paraId="673461B2" w14:textId="77777777" w:rsidR="00ED0FF7" w:rsidRPr="00AA0962" w:rsidRDefault="00ED0FF7" w:rsidP="00591B89">
            <w:pPr>
              <w:rPr>
                <w:sz w:val="20"/>
                <w:szCs w:val="20"/>
              </w:rPr>
            </w:pPr>
            <w:r w:rsidRPr="00AA0962">
              <w:rPr>
                <w:sz w:val="20"/>
                <w:szCs w:val="20"/>
              </w:rPr>
              <w:t>4.464</w:t>
            </w:r>
          </w:p>
        </w:tc>
        <w:tc>
          <w:tcPr>
            <w:tcW w:w="0" w:type="auto"/>
            <w:hideMark/>
          </w:tcPr>
          <w:p w14:paraId="5F94DBEE" w14:textId="77777777" w:rsidR="00ED0FF7" w:rsidRPr="00AA0962" w:rsidRDefault="00ED0FF7" w:rsidP="00591B89">
            <w:pPr>
              <w:rPr>
                <w:sz w:val="20"/>
                <w:szCs w:val="20"/>
              </w:rPr>
            </w:pPr>
            <w:r w:rsidRPr="00AA0962">
              <w:rPr>
                <w:sz w:val="20"/>
                <w:szCs w:val="20"/>
              </w:rPr>
              <w:t>-2.232</w:t>
            </w:r>
          </w:p>
        </w:tc>
        <w:tc>
          <w:tcPr>
            <w:tcW w:w="0" w:type="auto"/>
            <w:hideMark/>
          </w:tcPr>
          <w:p w14:paraId="6CC6135F" w14:textId="77777777" w:rsidR="00ED0FF7" w:rsidRPr="00AA0962" w:rsidRDefault="00ED0FF7" w:rsidP="00591B89">
            <w:pPr>
              <w:rPr>
                <w:sz w:val="20"/>
                <w:szCs w:val="20"/>
              </w:rPr>
            </w:pPr>
            <w:r w:rsidRPr="00AA0962">
              <w:rPr>
                <w:sz w:val="20"/>
                <w:szCs w:val="20"/>
              </w:rPr>
              <w:t>-1.940</w:t>
            </w:r>
          </w:p>
        </w:tc>
        <w:tc>
          <w:tcPr>
            <w:tcW w:w="0" w:type="auto"/>
            <w:hideMark/>
          </w:tcPr>
          <w:p w14:paraId="05E22285" w14:textId="77777777" w:rsidR="00ED0FF7" w:rsidRPr="00AA0962" w:rsidRDefault="00ED0FF7" w:rsidP="00591B89">
            <w:pPr>
              <w:rPr>
                <w:sz w:val="20"/>
                <w:szCs w:val="20"/>
              </w:rPr>
            </w:pPr>
            <w:r w:rsidRPr="00AA0962">
              <w:rPr>
                <w:sz w:val="20"/>
                <w:szCs w:val="20"/>
              </w:rPr>
              <w:t>-1.469</w:t>
            </w:r>
          </w:p>
        </w:tc>
        <w:tc>
          <w:tcPr>
            <w:tcW w:w="0" w:type="auto"/>
            <w:hideMark/>
          </w:tcPr>
          <w:p w14:paraId="4F52F74C" w14:textId="77777777" w:rsidR="00ED0FF7" w:rsidRPr="00AA0962" w:rsidRDefault="00ED0FF7" w:rsidP="00591B89">
            <w:pPr>
              <w:rPr>
                <w:sz w:val="20"/>
                <w:szCs w:val="20"/>
              </w:rPr>
            </w:pPr>
            <w:r w:rsidRPr="00AA0962">
              <w:rPr>
                <w:sz w:val="20"/>
                <w:szCs w:val="20"/>
              </w:rPr>
              <w:t>-0.855</w:t>
            </w:r>
          </w:p>
        </w:tc>
      </w:tr>
      <w:tr w:rsidR="00ED0FF7" w:rsidRPr="00AA0962" w14:paraId="41C7DB6D" w14:textId="77777777" w:rsidTr="00591B89">
        <w:trPr>
          <w:jc w:val="center"/>
        </w:trPr>
        <w:tc>
          <w:tcPr>
            <w:tcW w:w="0" w:type="auto"/>
            <w:hideMark/>
          </w:tcPr>
          <w:p w14:paraId="5CD54CD2" w14:textId="77777777" w:rsidR="00ED0FF7" w:rsidRPr="00AA0962" w:rsidRDefault="00ED0FF7" w:rsidP="00591B89">
            <w:pPr>
              <w:rPr>
                <w:sz w:val="20"/>
                <w:szCs w:val="20"/>
              </w:rPr>
            </w:pPr>
            <w:r w:rsidRPr="00AA0962">
              <w:rPr>
                <w:sz w:val="20"/>
                <w:szCs w:val="20"/>
              </w:rPr>
              <w:t>P12</w:t>
            </w:r>
          </w:p>
        </w:tc>
        <w:tc>
          <w:tcPr>
            <w:tcW w:w="0" w:type="auto"/>
            <w:hideMark/>
          </w:tcPr>
          <w:p w14:paraId="7DF0F265" w14:textId="77777777" w:rsidR="00ED0FF7" w:rsidRPr="00AA0962" w:rsidRDefault="00ED0FF7" w:rsidP="00591B89">
            <w:pPr>
              <w:rPr>
                <w:sz w:val="20"/>
                <w:szCs w:val="20"/>
              </w:rPr>
            </w:pPr>
            <w:r w:rsidRPr="00AA0962">
              <w:rPr>
                <w:sz w:val="20"/>
                <w:szCs w:val="20"/>
              </w:rPr>
              <w:t>4.474</w:t>
            </w:r>
          </w:p>
        </w:tc>
        <w:tc>
          <w:tcPr>
            <w:tcW w:w="0" w:type="auto"/>
            <w:hideMark/>
          </w:tcPr>
          <w:p w14:paraId="1F90124A" w14:textId="77777777" w:rsidR="00ED0FF7" w:rsidRPr="00AA0962" w:rsidRDefault="00ED0FF7" w:rsidP="00591B89">
            <w:pPr>
              <w:rPr>
                <w:sz w:val="20"/>
                <w:szCs w:val="20"/>
              </w:rPr>
            </w:pPr>
            <w:r w:rsidRPr="00AA0962">
              <w:rPr>
                <w:sz w:val="20"/>
                <w:szCs w:val="20"/>
              </w:rPr>
              <w:t>-2.267</w:t>
            </w:r>
          </w:p>
        </w:tc>
        <w:tc>
          <w:tcPr>
            <w:tcW w:w="0" w:type="auto"/>
            <w:hideMark/>
          </w:tcPr>
          <w:p w14:paraId="751A75A0" w14:textId="77777777" w:rsidR="00ED0FF7" w:rsidRPr="00AA0962" w:rsidRDefault="00ED0FF7" w:rsidP="00591B89">
            <w:pPr>
              <w:rPr>
                <w:sz w:val="20"/>
                <w:szCs w:val="20"/>
              </w:rPr>
            </w:pPr>
            <w:r w:rsidRPr="00AA0962">
              <w:rPr>
                <w:sz w:val="20"/>
                <w:szCs w:val="20"/>
              </w:rPr>
              <w:t>-1.998</w:t>
            </w:r>
          </w:p>
        </w:tc>
        <w:tc>
          <w:tcPr>
            <w:tcW w:w="0" w:type="auto"/>
            <w:hideMark/>
          </w:tcPr>
          <w:p w14:paraId="131F65AD" w14:textId="77777777" w:rsidR="00ED0FF7" w:rsidRPr="00AA0962" w:rsidRDefault="00ED0FF7" w:rsidP="00591B89">
            <w:pPr>
              <w:rPr>
                <w:sz w:val="20"/>
                <w:szCs w:val="20"/>
              </w:rPr>
            </w:pPr>
            <w:r w:rsidRPr="00AA0962">
              <w:rPr>
                <w:sz w:val="20"/>
                <w:szCs w:val="20"/>
              </w:rPr>
              <w:t>-1.559</w:t>
            </w:r>
          </w:p>
        </w:tc>
        <w:tc>
          <w:tcPr>
            <w:tcW w:w="0" w:type="auto"/>
            <w:hideMark/>
          </w:tcPr>
          <w:p w14:paraId="368C5C90" w14:textId="77777777" w:rsidR="00ED0FF7" w:rsidRPr="00AA0962" w:rsidRDefault="00ED0FF7" w:rsidP="00591B89">
            <w:pPr>
              <w:rPr>
                <w:sz w:val="20"/>
                <w:szCs w:val="20"/>
              </w:rPr>
            </w:pPr>
            <w:r w:rsidRPr="00AA0962">
              <w:rPr>
                <w:sz w:val="20"/>
                <w:szCs w:val="20"/>
              </w:rPr>
              <w:t>-0.891</w:t>
            </w:r>
          </w:p>
        </w:tc>
      </w:tr>
      <w:tr w:rsidR="00ED0FF7" w:rsidRPr="00AA0962" w14:paraId="3A31974C" w14:textId="77777777" w:rsidTr="00591B89">
        <w:trPr>
          <w:jc w:val="center"/>
        </w:trPr>
        <w:tc>
          <w:tcPr>
            <w:tcW w:w="0" w:type="auto"/>
            <w:hideMark/>
          </w:tcPr>
          <w:p w14:paraId="2B39B9A5" w14:textId="77777777" w:rsidR="00ED0FF7" w:rsidRPr="00AA0962" w:rsidRDefault="00ED0FF7" w:rsidP="00591B89">
            <w:pPr>
              <w:rPr>
                <w:sz w:val="20"/>
                <w:szCs w:val="20"/>
              </w:rPr>
            </w:pPr>
            <w:r w:rsidRPr="00AA0962">
              <w:rPr>
                <w:sz w:val="20"/>
                <w:szCs w:val="20"/>
              </w:rPr>
              <w:t>P13</w:t>
            </w:r>
          </w:p>
        </w:tc>
        <w:tc>
          <w:tcPr>
            <w:tcW w:w="0" w:type="auto"/>
            <w:hideMark/>
          </w:tcPr>
          <w:p w14:paraId="6093A8A2" w14:textId="77777777" w:rsidR="00ED0FF7" w:rsidRPr="00AA0962" w:rsidRDefault="00ED0FF7" w:rsidP="00591B89">
            <w:pPr>
              <w:rPr>
                <w:sz w:val="20"/>
                <w:szCs w:val="20"/>
              </w:rPr>
            </w:pPr>
            <w:r w:rsidRPr="00AA0962">
              <w:rPr>
                <w:sz w:val="20"/>
                <w:szCs w:val="20"/>
              </w:rPr>
              <w:t>2.756</w:t>
            </w:r>
          </w:p>
        </w:tc>
        <w:tc>
          <w:tcPr>
            <w:tcW w:w="0" w:type="auto"/>
            <w:hideMark/>
          </w:tcPr>
          <w:p w14:paraId="1BB949D0" w14:textId="77777777" w:rsidR="00ED0FF7" w:rsidRPr="00AA0962" w:rsidRDefault="00ED0FF7" w:rsidP="00591B89">
            <w:pPr>
              <w:rPr>
                <w:sz w:val="20"/>
                <w:szCs w:val="20"/>
              </w:rPr>
            </w:pPr>
            <w:r w:rsidRPr="00AA0962">
              <w:rPr>
                <w:sz w:val="20"/>
                <w:szCs w:val="20"/>
              </w:rPr>
              <w:t>-2.145</w:t>
            </w:r>
          </w:p>
        </w:tc>
        <w:tc>
          <w:tcPr>
            <w:tcW w:w="0" w:type="auto"/>
            <w:hideMark/>
          </w:tcPr>
          <w:p w14:paraId="2E5166D0" w14:textId="77777777" w:rsidR="00ED0FF7" w:rsidRPr="00AA0962" w:rsidRDefault="00ED0FF7" w:rsidP="00591B89">
            <w:pPr>
              <w:rPr>
                <w:sz w:val="20"/>
                <w:szCs w:val="20"/>
              </w:rPr>
            </w:pPr>
            <w:r w:rsidRPr="00AA0962">
              <w:rPr>
                <w:sz w:val="20"/>
                <w:szCs w:val="20"/>
              </w:rPr>
              <w:t>-1.903</w:t>
            </w:r>
          </w:p>
        </w:tc>
        <w:tc>
          <w:tcPr>
            <w:tcW w:w="0" w:type="auto"/>
            <w:hideMark/>
          </w:tcPr>
          <w:p w14:paraId="03E20086" w14:textId="77777777" w:rsidR="00ED0FF7" w:rsidRPr="00AA0962" w:rsidRDefault="00ED0FF7" w:rsidP="00591B89">
            <w:pPr>
              <w:rPr>
                <w:sz w:val="20"/>
                <w:szCs w:val="20"/>
              </w:rPr>
            </w:pPr>
            <w:r w:rsidRPr="00AA0962">
              <w:rPr>
                <w:sz w:val="20"/>
                <w:szCs w:val="20"/>
              </w:rPr>
              <w:t>-1.443</w:t>
            </w:r>
          </w:p>
        </w:tc>
        <w:tc>
          <w:tcPr>
            <w:tcW w:w="0" w:type="auto"/>
            <w:hideMark/>
          </w:tcPr>
          <w:p w14:paraId="103AC8AF" w14:textId="77777777" w:rsidR="00ED0FF7" w:rsidRPr="00AA0962" w:rsidRDefault="00ED0FF7" w:rsidP="00591B89">
            <w:pPr>
              <w:rPr>
                <w:sz w:val="20"/>
                <w:szCs w:val="20"/>
              </w:rPr>
            </w:pPr>
            <w:r w:rsidRPr="00AA0962">
              <w:rPr>
                <w:sz w:val="20"/>
                <w:szCs w:val="20"/>
              </w:rPr>
              <w:t>-0.851</w:t>
            </w:r>
          </w:p>
        </w:tc>
      </w:tr>
    </w:tbl>
    <w:p w14:paraId="0EC3CB4C" w14:textId="77777777" w:rsidR="00ED0FF7" w:rsidRDefault="00ED0FF7" w:rsidP="000F1163">
      <w:pPr>
        <w:pBdr>
          <w:top w:val="nil"/>
          <w:left w:val="nil"/>
          <w:bottom w:val="nil"/>
          <w:right w:val="nil"/>
          <w:between w:val="nil"/>
        </w:pBdr>
        <w:jc w:val="both"/>
        <w:rPr>
          <w:rFonts w:ascii="Roboto" w:eastAsia="Roboto" w:hAnsi="Roboto" w:cs="Roboto"/>
          <w:color w:val="000000"/>
          <w:sz w:val="20"/>
          <w:szCs w:val="20"/>
        </w:rPr>
      </w:pPr>
    </w:p>
    <w:p w14:paraId="1CC3F302" w14:textId="31737119" w:rsidR="00ED0FF7" w:rsidRDefault="00ED0FF7" w:rsidP="00ED0FF7">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xml:space="preserve">. </w:t>
      </w:r>
      <w:r w:rsidR="00EE5309" w:rsidRPr="00EE5309">
        <w:rPr>
          <w:rFonts w:ascii="Roboto" w:eastAsia="Roboto" w:hAnsi="Roboto" w:cs="Roboto"/>
          <w:sz w:val="20"/>
          <w:szCs w:val="20"/>
        </w:rPr>
        <w:t>Relación entre la discriminación de los ítems según TCT y GRM</w:t>
      </w:r>
      <w:r>
        <w:rPr>
          <w:rFonts w:ascii="Roboto" w:eastAsia="Roboto" w:hAnsi="Roboto" w:cs="Roboto"/>
          <w:sz w:val="20"/>
          <w:szCs w:val="20"/>
        </w:rPr>
        <w:t>.</w:t>
      </w:r>
    </w:p>
    <w:p w14:paraId="6845DE78" w14:textId="77777777" w:rsidR="0025533C" w:rsidRDefault="0025533C" w:rsidP="000F1163">
      <w:pPr>
        <w:pBdr>
          <w:top w:val="nil"/>
          <w:left w:val="nil"/>
          <w:bottom w:val="nil"/>
          <w:right w:val="nil"/>
          <w:between w:val="nil"/>
        </w:pBdr>
        <w:jc w:val="both"/>
        <w:rPr>
          <w:rFonts w:ascii="Roboto" w:eastAsia="Roboto" w:hAnsi="Roboto" w:cs="Roboto"/>
          <w:color w:val="000000"/>
          <w:sz w:val="20"/>
          <w:szCs w:val="20"/>
        </w:rPr>
      </w:pPr>
    </w:p>
    <w:p w14:paraId="245EA18F" w14:textId="08A0365B" w:rsidR="0025533C" w:rsidRDefault="00EE5309" w:rsidP="00EE5309">
      <w:pPr>
        <w:pBdr>
          <w:top w:val="nil"/>
          <w:left w:val="nil"/>
          <w:bottom w:val="nil"/>
          <w:right w:val="nil"/>
          <w:between w:val="nil"/>
        </w:pBdr>
        <w:jc w:val="center"/>
        <w:rPr>
          <w:rFonts w:ascii="Roboto" w:eastAsia="Roboto" w:hAnsi="Roboto" w:cs="Roboto"/>
          <w:color w:val="000000"/>
          <w:sz w:val="20"/>
          <w:szCs w:val="20"/>
        </w:rPr>
      </w:pPr>
      <w:r w:rsidRPr="001A27AF">
        <w:rPr>
          <w:noProof/>
        </w:rPr>
        <w:drawing>
          <wp:inline distT="0" distB="0" distL="0" distR="0" wp14:anchorId="0551EA59" wp14:editId="32980F08">
            <wp:extent cx="2921457" cy="3168713"/>
            <wp:effectExtent l="0" t="0" r="635" b="2540"/>
            <wp:docPr id="112997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9777" name=""/>
                    <pic:cNvPicPr/>
                  </pic:nvPicPr>
                  <pic:blipFill>
                    <a:blip r:embed="rId9"/>
                    <a:stretch>
                      <a:fillRect/>
                    </a:stretch>
                  </pic:blipFill>
                  <pic:spPr>
                    <a:xfrm>
                      <a:off x="0" y="0"/>
                      <a:ext cx="2921457" cy="3168713"/>
                    </a:xfrm>
                    <a:prstGeom prst="rect">
                      <a:avLst/>
                    </a:prstGeom>
                  </pic:spPr>
                </pic:pic>
              </a:graphicData>
            </a:graphic>
          </wp:inline>
        </w:drawing>
      </w:r>
    </w:p>
    <w:p w14:paraId="1535E35F" w14:textId="77777777" w:rsidR="0025533C" w:rsidRPr="000F1163" w:rsidRDefault="0025533C" w:rsidP="000F1163">
      <w:pPr>
        <w:pBdr>
          <w:top w:val="nil"/>
          <w:left w:val="nil"/>
          <w:bottom w:val="nil"/>
          <w:right w:val="nil"/>
          <w:between w:val="nil"/>
        </w:pBdr>
        <w:jc w:val="both"/>
        <w:rPr>
          <w:rFonts w:ascii="Roboto" w:eastAsia="Roboto" w:hAnsi="Roboto" w:cs="Roboto"/>
          <w:color w:val="000000"/>
          <w:sz w:val="20"/>
          <w:szCs w:val="20"/>
        </w:rPr>
      </w:pPr>
    </w:p>
    <w:p w14:paraId="7A938E27" w14:textId="77777777" w:rsidR="004D1CE1" w:rsidRDefault="004D1CE1">
      <w:pPr>
        <w:pBdr>
          <w:top w:val="nil"/>
          <w:left w:val="nil"/>
          <w:bottom w:val="nil"/>
          <w:right w:val="nil"/>
          <w:between w:val="nil"/>
        </w:pBdr>
        <w:jc w:val="both"/>
        <w:rPr>
          <w:rFonts w:ascii="Roboto" w:eastAsia="Roboto" w:hAnsi="Roboto" w:cs="Roboto"/>
          <w:b/>
          <w:bCs/>
          <w:color w:val="000000"/>
          <w:sz w:val="20"/>
          <w:szCs w:val="20"/>
        </w:rPr>
      </w:pPr>
    </w:p>
    <w:p w14:paraId="09C15772" w14:textId="75C10F88" w:rsidR="004D1CE1" w:rsidRDefault="000F1163">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DISCUSIONES Y CONCLUSIONES</w:t>
      </w:r>
    </w:p>
    <w:p w14:paraId="2EC564B7" w14:textId="77777777"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Los resultados confirman que el instrumento es confiable y presenta una estructura interna consistente. Sin embargo, el análisis conjunto de TCT y TRI revela limitaciones importantes que no son visibles mediante métricas tradicionales. La alta consistencia interna, lejos de ser únicamente una fortaleza, sugiere también una posible redundancia entre ítems, lo que reduce la capacidad del instrumento para captar matices en la experiencia de aprendizaje.</w:t>
      </w:r>
    </w:p>
    <w:p w14:paraId="65B591DA" w14:textId="77777777"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 xml:space="preserve">El hallazgo más relevante es la presencia de un efecto techo sistemático. La concentración de respuestas en las categorías superiores y la ubicación negativa de los </w:t>
      </w:r>
      <w:r w:rsidRPr="000F1163">
        <w:rPr>
          <w:rFonts w:ascii="Roboto" w:eastAsia="Roboto" w:hAnsi="Roboto" w:cs="Roboto"/>
          <w:color w:val="000000"/>
          <w:sz w:val="20"/>
          <w:szCs w:val="20"/>
        </w:rPr>
        <w:t>parámetros de dificultad indican que el instrumento mide con mayor precisión niveles bajos de la habilidad latente, pero pierde sensibilidad en niveles altos. Esto implica que, aunque el cuestionario confirma una percepción positiva generalizada, no permite diferenciar adecuadamente entre experiencias de aprendizaje altamente satisfactorias.</w:t>
      </w:r>
    </w:p>
    <w:p w14:paraId="01A93C14" w14:textId="77777777"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Desde una perspectiva psicométrica, este comportamiento limita la función diagnóstica del instrumento. Desde una perspectiva educativa, implica que las decisiones basadas en estos datos pueden estar sustentadas en una visión parcial del fenómeno, en la que las diferencias reales entre cursos, docentes o experiencias quedan atenuadas.</w:t>
      </w:r>
    </w:p>
    <w:p w14:paraId="5472839C" w14:textId="77777777"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La comparación entre TCT y TRI mostró una alta coherencia en la identificación de ítems más y menos discriminativos, lo que refuerza la estabilidad del instrumento. No obstante, la TRI aporta un nivel de análisis más profundo al permitir observar la distribución de la información a lo largo del continuo de habilidad, evidenciando zonas de baja precisión que la TCT no detecta.</w:t>
      </w:r>
    </w:p>
    <w:p w14:paraId="482FE84A" w14:textId="4991248E"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 xml:space="preserve">En términos de mejora, los resultados sugieren la necesidad de </w:t>
      </w:r>
      <w:r w:rsidR="00033367">
        <w:rPr>
          <w:rFonts w:ascii="Roboto" w:eastAsia="Roboto" w:hAnsi="Roboto" w:cs="Roboto"/>
          <w:color w:val="000000"/>
          <w:sz w:val="20"/>
          <w:szCs w:val="20"/>
        </w:rPr>
        <w:t>ajustar</w:t>
      </w:r>
      <w:r w:rsidRPr="000F1163">
        <w:rPr>
          <w:rFonts w:ascii="Roboto" w:eastAsia="Roboto" w:hAnsi="Roboto" w:cs="Roboto"/>
          <w:color w:val="000000"/>
          <w:sz w:val="20"/>
          <w:szCs w:val="20"/>
        </w:rPr>
        <w:t xml:space="preserve"> el instrumento incorporando ítems que permitan captar niveles más exigentes de la experiencia de aprendizaje. Asimismo, se recomienda complementar la evaluación perceptual con indicadores observables del desempeño, como participación, cumplimiento de actividades o interacción en la plataforma, con el fin de construir una medición más integral</w:t>
      </w:r>
      <w:r w:rsidR="00033367">
        <w:rPr>
          <w:rFonts w:ascii="Roboto" w:eastAsia="Roboto" w:hAnsi="Roboto" w:cs="Roboto"/>
          <w:color w:val="000000"/>
          <w:sz w:val="20"/>
          <w:szCs w:val="20"/>
        </w:rPr>
        <w:t>, que será la segunda fase de este proyecto.</w:t>
      </w:r>
    </w:p>
    <w:p w14:paraId="70EF4468" w14:textId="77777777" w:rsidR="000F1163" w:rsidRPr="000F1163" w:rsidRDefault="000F1163" w:rsidP="000F1163">
      <w:pPr>
        <w:pBdr>
          <w:top w:val="nil"/>
          <w:left w:val="nil"/>
          <w:bottom w:val="nil"/>
          <w:right w:val="nil"/>
          <w:between w:val="nil"/>
        </w:pBdr>
        <w:jc w:val="both"/>
        <w:rPr>
          <w:rFonts w:ascii="Roboto" w:eastAsia="Roboto" w:hAnsi="Roboto" w:cs="Roboto"/>
          <w:color w:val="000000"/>
          <w:sz w:val="20"/>
          <w:szCs w:val="20"/>
        </w:rPr>
      </w:pPr>
      <w:r w:rsidRPr="000F1163">
        <w:rPr>
          <w:rFonts w:ascii="Roboto" w:eastAsia="Roboto" w:hAnsi="Roboto" w:cs="Roboto"/>
          <w:color w:val="000000"/>
          <w:sz w:val="20"/>
          <w:szCs w:val="20"/>
        </w:rPr>
        <w:t>Este estudio demuestra que la aplicación del Modelo de Respuesta Graduada no solo valida instrumentos, sino que permite identificar sus limitaciones estructurales y orientar su mejora. En el contexto de la educación en línea, donde la evaluación de la experiencia del estudiante es clave para la calidad institucional, el uso de modelos de TRI representa una herramienta fundamental para avanzar hacia mediciones más precisas, interpretables y útiles para la toma de decisiones.</w:t>
      </w:r>
    </w:p>
    <w:p w14:paraId="2934F4A9" w14:textId="77777777" w:rsidR="004D1CE1" w:rsidRDefault="004D1CE1">
      <w:pPr>
        <w:jc w:val="both"/>
        <w:rPr>
          <w:rFonts w:ascii="Roboto" w:eastAsia="Roboto" w:hAnsi="Roboto" w:cs="Roboto"/>
          <w:sz w:val="20"/>
          <w:szCs w:val="20"/>
        </w:rPr>
      </w:pPr>
    </w:p>
    <w:p w14:paraId="6F9AAE9D" w14:textId="012BD57E" w:rsidR="004D1CE1" w:rsidRDefault="00000000">
      <w:pPr>
        <w:jc w:val="both"/>
        <w:rPr>
          <w:rFonts w:ascii="Roboto" w:eastAsia="Roboto" w:hAnsi="Roboto" w:cs="Roboto"/>
          <w:b/>
          <w:bCs/>
          <w:sz w:val="20"/>
          <w:szCs w:val="20"/>
        </w:rPr>
      </w:pPr>
      <w:r>
        <w:rPr>
          <w:rFonts w:ascii="Roboto" w:eastAsia="Roboto" w:hAnsi="Roboto" w:cs="Roboto"/>
          <w:b/>
          <w:bCs/>
          <w:sz w:val="20"/>
          <w:szCs w:val="20"/>
        </w:rPr>
        <w:t xml:space="preserve">REFERENCIAS </w:t>
      </w:r>
    </w:p>
    <w:p w14:paraId="7B10F2B8" w14:textId="3F7A5EA4" w:rsidR="004A031B" w:rsidRDefault="004A031B" w:rsidP="000F1163">
      <w:pPr>
        <w:rPr>
          <w:rFonts w:ascii="Roboto" w:eastAsia="Roboto" w:hAnsi="Roboto" w:cs="Roboto"/>
          <w:sz w:val="20"/>
          <w:szCs w:val="20"/>
        </w:rPr>
      </w:pPr>
      <w:r w:rsidRPr="004A031B">
        <w:rPr>
          <w:rFonts w:ascii="Roboto" w:eastAsia="Roboto" w:hAnsi="Roboto" w:cs="Roboto"/>
          <w:sz w:val="20"/>
          <w:szCs w:val="20"/>
        </w:rPr>
        <w:t>Arbaugh, J. B. (2010). </w:t>
      </w:r>
      <w:r w:rsidRPr="004A031B">
        <w:rPr>
          <w:rFonts w:ascii="Roboto" w:eastAsia="Roboto" w:hAnsi="Roboto" w:cs="Roboto"/>
          <w:i/>
          <w:iCs/>
          <w:sz w:val="20"/>
          <w:szCs w:val="20"/>
        </w:rPr>
        <w:t>Online and blended business education for the 21st century: Instructional advances and learning outcomes</w:t>
      </w:r>
      <w:r w:rsidRPr="004A031B">
        <w:rPr>
          <w:rFonts w:ascii="Roboto" w:eastAsia="Roboto" w:hAnsi="Roboto" w:cs="Roboto"/>
          <w:sz w:val="20"/>
          <w:szCs w:val="20"/>
        </w:rPr>
        <w:t>.</w:t>
      </w:r>
      <w:r w:rsidR="0025533C">
        <w:rPr>
          <w:rFonts w:ascii="Roboto" w:eastAsia="Roboto" w:hAnsi="Roboto" w:cs="Roboto"/>
          <w:sz w:val="20"/>
          <w:szCs w:val="20"/>
        </w:rPr>
        <w:t xml:space="preserve"> </w:t>
      </w:r>
      <w:hyperlink r:id="rId10" w:history="1">
        <w:r w:rsidR="0025533C" w:rsidRPr="00C02E7A">
          <w:rPr>
            <w:rStyle w:val="Hipervnculo"/>
            <w:rFonts w:ascii="Roboto" w:eastAsia="Roboto" w:hAnsi="Roboto" w:cs="Roboto"/>
            <w:sz w:val="20"/>
            <w:szCs w:val="20"/>
          </w:rPr>
          <w:t>https://doi.org/10.4018/978-1-61520-963-2</w:t>
        </w:r>
      </w:hyperlink>
      <w:r w:rsidR="0025533C">
        <w:rPr>
          <w:rFonts w:ascii="Roboto" w:eastAsia="Roboto" w:hAnsi="Roboto" w:cs="Roboto"/>
          <w:sz w:val="20"/>
          <w:szCs w:val="20"/>
        </w:rPr>
        <w:t xml:space="preserve"> </w:t>
      </w:r>
    </w:p>
    <w:p w14:paraId="2D7E4CD8" w14:textId="68CB52BD" w:rsidR="000F1163" w:rsidRPr="000F1163" w:rsidRDefault="000F1163" w:rsidP="000F1163">
      <w:pPr>
        <w:rPr>
          <w:rFonts w:ascii="Roboto" w:eastAsia="Roboto" w:hAnsi="Roboto" w:cs="Roboto"/>
          <w:sz w:val="20"/>
          <w:szCs w:val="20"/>
        </w:rPr>
      </w:pPr>
      <w:r w:rsidRPr="000F1163">
        <w:rPr>
          <w:rFonts w:ascii="Roboto" w:eastAsia="Roboto" w:hAnsi="Roboto" w:cs="Roboto"/>
          <w:sz w:val="20"/>
          <w:szCs w:val="20"/>
        </w:rPr>
        <w:t>Garrison, D. R., Anderson, T., &amp; Archer, W. (2000).</w:t>
      </w:r>
      <w:r w:rsidR="0008579A">
        <w:rPr>
          <w:rFonts w:ascii="Roboto" w:eastAsia="Roboto" w:hAnsi="Roboto" w:cs="Roboto"/>
          <w:sz w:val="20"/>
          <w:szCs w:val="20"/>
        </w:rPr>
        <w:t xml:space="preserve"> </w:t>
      </w:r>
      <w:r w:rsidR="0008579A" w:rsidRPr="0008579A">
        <w:rPr>
          <w:rFonts w:ascii="Roboto" w:eastAsia="Roboto" w:hAnsi="Roboto" w:cs="Roboto"/>
          <w:sz w:val="20"/>
          <w:szCs w:val="20"/>
        </w:rPr>
        <w:t>Critical inquiry in a text-based environment: Computer conferencing in higher education</w:t>
      </w:r>
      <w:r w:rsidR="0008579A">
        <w:rPr>
          <w:rFonts w:ascii="Roboto" w:eastAsia="Roboto" w:hAnsi="Roboto" w:cs="Roboto"/>
          <w:sz w:val="20"/>
          <w:szCs w:val="20"/>
        </w:rPr>
        <w:t>.</w:t>
      </w:r>
      <w:r w:rsidRPr="000F1163">
        <w:rPr>
          <w:rFonts w:ascii="Roboto" w:eastAsia="Roboto" w:hAnsi="Roboto" w:cs="Roboto"/>
          <w:sz w:val="20"/>
          <w:szCs w:val="20"/>
        </w:rPr>
        <w:t xml:space="preserve"> </w:t>
      </w:r>
      <w:r w:rsidRPr="000F1163">
        <w:rPr>
          <w:rFonts w:ascii="Roboto" w:eastAsia="Roboto" w:hAnsi="Roboto" w:cs="Roboto"/>
          <w:i/>
          <w:iCs/>
          <w:sz w:val="20"/>
          <w:szCs w:val="20"/>
        </w:rPr>
        <w:t>The Internet and Higher Education</w:t>
      </w:r>
      <w:r w:rsidRPr="000F1163">
        <w:rPr>
          <w:rFonts w:ascii="Roboto" w:eastAsia="Roboto" w:hAnsi="Roboto" w:cs="Roboto"/>
          <w:sz w:val="20"/>
          <w:szCs w:val="20"/>
        </w:rPr>
        <w:t>, 2(2–3), 87–105.</w:t>
      </w:r>
      <w:r w:rsidR="0025533C">
        <w:rPr>
          <w:rFonts w:ascii="Roboto" w:eastAsia="Roboto" w:hAnsi="Roboto" w:cs="Roboto"/>
          <w:sz w:val="20"/>
          <w:szCs w:val="20"/>
        </w:rPr>
        <w:t xml:space="preserve"> </w:t>
      </w:r>
      <w:hyperlink r:id="rId11" w:history="1">
        <w:r w:rsidR="0025533C" w:rsidRPr="00C02E7A">
          <w:rPr>
            <w:rStyle w:val="Hipervnculo"/>
            <w:rFonts w:ascii="Roboto" w:eastAsia="Roboto" w:hAnsi="Roboto" w:cs="Roboto"/>
            <w:sz w:val="20"/>
            <w:szCs w:val="20"/>
          </w:rPr>
          <w:t>https://doi.org/10.1016/S1096-7516(00)00016-6</w:t>
        </w:r>
      </w:hyperlink>
      <w:r w:rsidR="0025533C">
        <w:rPr>
          <w:rFonts w:ascii="Roboto" w:eastAsia="Roboto" w:hAnsi="Roboto" w:cs="Roboto"/>
          <w:sz w:val="20"/>
          <w:szCs w:val="20"/>
        </w:rPr>
        <w:t xml:space="preserve"> </w:t>
      </w:r>
      <w:r w:rsidRPr="000F1163">
        <w:rPr>
          <w:rFonts w:ascii="Roboto" w:eastAsia="Roboto" w:hAnsi="Roboto" w:cs="Roboto"/>
          <w:sz w:val="20"/>
          <w:szCs w:val="20"/>
        </w:rPr>
        <w:br/>
      </w:r>
      <w:r w:rsidR="0025533C" w:rsidRPr="0025533C">
        <w:rPr>
          <w:rFonts w:ascii="Roboto" w:eastAsia="Roboto" w:hAnsi="Roboto" w:cs="Roboto"/>
          <w:sz w:val="20"/>
          <w:szCs w:val="20"/>
        </w:rPr>
        <w:t>Moore, M. G. (1989). Three types of interaction. </w:t>
      </w:r>
      <w:r w:rsidR="0025533C" w:rsidRPr="0025533C">
        <w:rPr>
          <w:rFonts w:ascii="Roboto" w:eastAsia="Roboto" w:hAnsi="Roboto" w:cs="Roboto"/>
          <w:i/>
          <w:iCs/>
          <w:sz w:val="20"/>
          <w:szCs w:val="20"/>
        </w:rPr>
        <w:t>The American Journal of Distance Education, 3</w:t>
      </w:r>
      <w:r w:rsidR="0025533C" w:rsidRPr="0025533C">
        <w:rPr>
          <w:rFonts w:ascii="Roboto" w:eastAsia="Roboto" w:hAnsi="Roboto" w:cs="Roboto"/>
          <w:sz w:val="20"/>
          <w:szCs w:val="20"/>
        </w:rPr>
        <w:t>(2), 1–6. </w:t>
      </w:r>
      <w:hyperlink r:id="rId12" w:history="1">
        <w:r w:rsidR="0025533C" w:rsidRPr="00C02E7A">
          <w:rPr>
            <w:rStyle w:val="Hipervnculo"/>
            <w:rFonts w:ascii="Roboto" w:eastAsia="Roboto" w:hAnsi="Roboto" w:cs="Roboto"/>
            <w:sz w:val="20"/>
            <w:szCs w:val="20"/>
          </w:rPr>
          <w:t>https://doi.org/10.1080/08923648909526659</w:t>
        </w:r>
      </w:hyperlink>
      <w:r w:rsidR="0025533C">
        <w:rPr>
          <w:rFonts w:ascii="Roboto" w:eastAsia="Roboto" w:hAnsi="Roboto" w:cs="Roboto"/>
          <w:sz w:val="20"/>
          <w:szCs w:val="20"/>
        </w:rPr>
        <w:t xml:space="preserve"> </w:t>
      </w:r>
      <w:r w:rsidRPr="000F1163">
        <w:rPr>
          <w:rFonts w:ascii="Roboto" w:eastAsia="Roboto" w:hAnsi="Roboto" w:cs="Roboto"/>
          <w:sz w:val="20"/>
          <w:szCs w:val="20"/>
        </w:rPr>
        <w:br/>
        <w:t xml:space="preserve">Muñiz, J. (2010). </w:t>
      </w:r>
      <w:r w:rsidRPr="000F1163">
        <w:rPr>
          <w:rFonts w:ascii="Roboto" w:eastAsia="Roboto" w:hAnsi="Roboto" w:cs="Roboto"/>
          <w:i/>
          <w:iCs/>
          <w:sz w:val="20"/>
          <w:szCs w:val="20"/>
        </w:rPr>
        <w:t>Psicometría</w:t>
      </w:r>
      <w:r w:rsidRPr="000F1163">
        <w:rPr>
          <w:rFonts w:ascii="Roboto" w:eastAsia="Roboto" w:hAnsi="Roboto" w:cs="Roboto"/>
          <w:sz w:val="20"/>
          <w:szCs w:val="20"/>
        </w:rPr>
        <w:t>. Universitas.</w:t>
      </w:r>
      <w:r w:rsidRPr="000F1163">
        <w:rPr>
          <w:rFonts w:ascii="Roboto" w:eastAsia="Roboto" w:hAnsi="Roboto" w:cs="Roboto"/>
          <w:sz w:val="20"/>
          <w:szCs w:val="20"/>
        </w:rPr>
        <w:br/>
        <w:t xml:space="preserve">Samejima, F. (1969). </w:t>
      </w:r>
      <w:r w:rsidRPr="000F1163">
        <w:rPr>
          <w:rFonts w:ascii="Roboto" w:eastAsia="Roboto" w:hAnsi="Roboto" w:cs="Roboto"/>
          <w:i/>
          <w:iCs/>
          <w:sz w:val="20"/>
          <w:szCs w:val="20"/>
        </w:rPr>
        <w:t>Psychometrika</w:t>
      </w:r>
      <w:r w:rsidRPr="000F1163">
        <w:rPr>
          <w:rFonts w:ascii="Roboto" w:eastAsia="Roboto" w:hAnsi="Roboto" w:cs="Roboto"/>
          <w:sz w:val="20"/>
          <w:szCs w:val="20"/>
        </w:rPr>
        <w:t>, 34(4), 100–114.</w:t>
      </w:r>
    </w:p>
    <w:p w14:paraId="77239834" w14:textId="332091CC" w:rsidR="004D1CE1" w:rsidRDefault="0025533C">
      <w:pPr>
        <w:jc w:val="both"/>
        <w:rPr>
          <w:rFonts w:ascii="Roboto" w:eastAsia="Roboto" w:hAnsi="Roboto" w:cs="Roboto"/>
          <w:sz w:val="20"/>
          <w:szCs w:val="20"/>
        </w:rPr>
      </w:pPr>
      <w:hyperlink r:id="rId13" w:tgtFrame="_new" w:history="1">
        <w:r w:rsidRPr="0025533C">
          <w:rPr>
            <w:rStyle w:val="Hipervnculo"/>
            <w:rFonts w:ascii="Roboto" w:eastAsia="Roboto" w:hAnsi="Roboto" w:cs="Roboto"/>
            <w:sz w:val="20"/>
            <w:szCs w:val="20"/>
          </w:rPr>
          <w:t>https://doi.org/10.1007/BF03372160</w:t>
        </w:r>
      </w:hyperlink>
    </w:p>
    <w:p w14:paraId="2B92FAC7" w14:textId="09A9F761" w:rsidR="004D1CE1" w:rsidRDefault="0025533C">
      <w:pPr>
        <w:jc w:val="both"/>
        <w:rPr>
          <w:rFonts w:ascii="Roboto" w:eastAsia="Roboto" w:hAnsi="Roboto" w:cs="Roboto"/>
          <w:sz w:val="20"/>
          <w:szCs w:val="20"/>
        </w:rPr>
      </w:pPr>
      <w:r w:rsidRPr="0025533C">
        <w:rPr>
          <w:rFonts w:ascii="Roboto" w:eastAsia="Roboto" w:hAnsi="Roboto" w:cs="Roboto"/>
          <w:sz w:val="20"/>
          <w:szCs w:val="20"/>
        </w:rPr>
        <w:t>Samejima, F. (1997). Graded response model. En W. J. van der Linden &amp; R. K. Hambleton (Eds.), </w:t>
      </w:r>
      <w:r w:rsidRPr="0025533C">
        <w:rPr>
          <w:rFonts w:ascii="Roboto" w:eastAsia="Roboto" w:hAnsi="Roboto" w:cs="Roboto"/>
          <w:i/>
          <w:iCs/>
          <w:sz w:val="20"/>
          <w:szCs w:val="20"/>
        </w:rPr>
        <w:t>Handbook of modern item response theory</w:t>
      </w:r>
      <w:r w:rsidRPr="0025533C">
        <w:rPr>
          <w:rFonts w:ascii="Roboto" w:eastAsia="Roboto" w:hAnsi="Roboto" w:cs="Roboto"/>
          <w:sz w:val="20"/>
          <w:szCs w:val="20"/>
        </w:rPr>
        <w:t> (pp. 85–100). Springer</w:t>
      </w:r>
      <w:r>
        <w:rPr>
          <w:rFonts w:ascii="Roboto" w:eastAsia="Roboto" w:hAnsi="Roboto" w:cs="Roboto"/>
          <w:sz w:val="20"/>
          <w:szCs w:val="20"/>
        </w:rPr>
        <w:t>.</w:t>
      </w:r>
    </w:p>
    <w:p w14:paraId="0BEAC8DC" w14:textId="77777777" w:rsidR="004D1CE1" w:rsidRDefault="004D1CE1">
      <w:pPr>
        <w:jc w:val="both"/>
        <w:rPr>
          <w:rFonts w:ascii="Roboto" w:eastAsia="Roboto" w:hAnsi="Roboto" w:cs="Roboto"/>
          <w:sz w:val="20"/>
          <w:szCs w:val="20"/>
        </w:rPr>
        <w:sectPr w:rsidR="004D1CE1" w:rsidSect="000F1163">
          <w:type w:val="continuous"/>
          <w:pgSz w:w="11906" w:h="16838"/>
          <w:pgMar w:top="1134" w:right="851" w:bottom="1134" w:left="851" w:header="357" w:footer="720" w:gutter="0"/>
          <w:cols w:num="2" w:space="720" w:equalWidth="0">
            <w:col w:w="4934" w:space="335"/>
            <w:col w:w="4934" w:space="0"/>
          </w:cols>
        </w:sectPr>
      </w:pPr>
    </w:p>
    <w:p w14:paraId="49284490" w14:textId="77777777" w:rsidR="004D1CE1" w:rsidRDefault="00000000" w:rsidP="00EE5309">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28DB1B56" w14:textId="77777777" w:rsidR="004D1CE1"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8B46F9B" w14:textId="77777777" w:rsidR="004D1CE1"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3D2A8472" w14:textId="77777777"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2327DBEA" w14:textId="77777777" w:rsidR="004D1CE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4B2C52F5" w14:textId="77777777"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7E776E9F" w14:textId="77777777" w:rsidR="004D1CE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46DBC000" w14:textId="77777777"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77618B99" w14:textId="77777777" w:rsidR="004D1CE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74357759" w14:textId="77777777"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42307A75" w14:textId="77777777" w:rsidR="004D1CE1"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58D6AE59" w14:textId="77777777" w:rsidR="004D1CE1"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3EEB6FFD" w14:textId="77777777" w:rsidR="004D1CE1"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693406B6" w14:textId="77777777" w:rsidR="004D1CE1"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0BF2711A" w14:textId="77777777" w:rsidR="004D1CE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6EE9A505" w14:textId="77777777"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146CA1F6" w14:textId="77777777" w:rsidR="004D1CE1"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268E187C" w14:textId="77777777" w:rsidR="004D1CE1"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44E16C7" w14:textId="77777777" w:rsidR="004D1CE1"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32CC9FF1" w14:textId="77777777" w:rsidR="004D1CE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6F20BD9C" w14:textId="77777777"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5616FA70" w14:textId="77777777" w:rsidR="004D1CE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4A9282C3" w14:textId="77777777"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1AF5824" w14:textId="5B16C185" w:rsidR="004D1CE1" w:rsidRDefault="00000000">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6ED54D18" w14:textId="77777777" w:rsidR="004D1CE1" w:rsidRDefault="00000000" w:rsidP="00EE5309">
      <w:pPr>
        <w:spacing w:before="240" w:after="240"/>
        <w:rPr>
          <w:rFonts w:ascii="Roboto" w:eastAsia="Roboto" w:hAnsi="Roboto" w:cs="Roboto"/>
          <w:sz w:val="20"/>
          <w:szCs w:val="20"/>
        </w:rPr>
      </w:pPr>
      <w:r>
        <w:rPr>
          <w:rFonts w:ascii="Roboto" w:eastAsia="Roboto" w:hAnsi="Roboto" w:cs="Roboto"/>
          <w:b/>
          <w:bCs/>
          <w:sz w:val="20"/>
          <w:szCs w:val="20"/>
        </w:rPr>
        <w:lastRenderedPageBreak/>
        <w:t>Autor responsable: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p>
    <w:sectPr w:rsidR="004D1CE1">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65DB99" w14:textId="77777777" w:rsidR="006B6B5A" w:rsidRDefault="006B6B5A">
      <w:r>
        <w:separator/>
      </w:r>
    </w:p>
  </w:endnote>
  <w:endnote w:type="continuationSeparator" w:id="0">
    <w:p w14:paraId="6B1CDE93" w14:textId="77777777" w:rsidR="006B6B5A" w:rsidRDefault="006B6B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02FEBD2C-B5DF-8041-A9F5-8ACAA02F1C65}"/>
    <w:embedBold r:id="rId2" w:fontKey="{4ED6278F-8862-974F-9BAC-0B7C4D11C789}"/>
    <w:embedItalic r:id="rId3" w:fontKey="{D554EFBC-DAC0-7945-9674-EB62E9DDECBA}"/>
  </w:font>
  <w:font w:name="Calibri">
    <w:panose1 w:val="020F0502020204030204"/>
    <w:charset w:val="00"/>
    <w:family w:val="swiss"/>
    <w:pitch w:val="variable"/>
    <w:sig w:usb0="E0002AFF" w:usb1="C000247B" w:usb2="00000009" w:usb3="00000000" w:csb0="000001FF" w:csb1="00000000"/>
    <w:embedRegular r:id="rId4" w:fontKey="{BACD5A82-76E3-9846-A00A-26A5F39B8445}"/>
    <w:embedBold r:id="rId5" w:fontKey="{7620856A-27B4-6848-8A6A-91640B7CF45C}"/>
  </w:font>
  <w:font w:name="Georgia">
    <w:panose1 w:val="02040502050405020303"/>
    <w:charset w:val="00"/>
    <w:family w:val="roman"/>
    <w:pitch w:val="variable"/>
    <w:sig w:usb0="00000287" w:usb1="00000000" w:usb2="00000000" w:usb3="00000000" w:csb0="0000009F" w:csb1="00000000"/>
    <w:embedItalic r:id="rId6" w:fontKey="{48D9CEC4-3653-1A46-832E-6B7FF2736256}"/>
  </w:font>
  <w:font w:name="Roboto">
    <w:panose1 w:val="02000000000000000000"/>
    <w:charset w:val="00"/>
    <w:family w:val="auto"/>
    <w:pitch w:val="variable"/>
    <w:sig w:usb0="E0000AFF" w:usb1="5000217F" w:usb2="00000021" w:usb3="00000000" w:csb0="0000019F" w:csb1="00000000"/>
    <w:embedRegular r:id="rId7" w:fontKey="{C97D9440-F23B-2A49-AF7A-81B060FFC4BE}"/>
    <w:embedBold r:id="rId8" w:fontKey="{F41CC495-498A-4146-92EC-0C53277A84C5}"/>
    <w:embedItalic r:id="rId9" w:fontKey="{6C623A3F-195A-304E-ABDB-0B1061A1274C}"/>
  </w:font>
  <w:font w:name="Calibri Light">
    <w:panose1 w:val="020F0302020204030204"/>
    <w:charset w:val="00"/>
    <w:family w:val="swiss"/>
    <w:pitch w:val="variable"/>
    <w:sig w:usb0="E0002AFF" w:usb1="C000247B" w:usb2="00000009" w:usb3="00000000" w:csb0="000001FF" w:csb1="00000000"/>
    <w:embedRegular r:id="rId10" w:fontKey="{D2F3CC88-9E81-054A-96E7-361E9D47438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FF0F81" w14:textId="77777777" w:rsidR="006B6B5A" w:rsidRDefault="006B6B5A">
      <w:r>
        <w:separator/>
      </w:r>
    </w:p>
  </w:footnote>
  <w:footnote w:type="continuationSeparator" w:id="0">
    <w:p w14:paraId="10898D7F" w14:textId="77777777" w:rsidR="006B6B5A" w:rsidRDefault="006B6B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E57283" w14:textId="77777777" w:rsidR="004D1CE1" w:rsidRDefault="004D1CE1">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4D1CE1" w14:paraId="2E9482A9" w14:textId="77777777">
      <w:trPr>
        <w:trHeight w:val="345"/>
        <w:jc w:val="center"/>
      </w:trPr>
      <w:tc>
        <w:tcPr>
          <w:tcW w:w="6306" w:type="dxa"/>
          <w:vAlign w:val="center"/>
        </w:tcPr>
        <w:p w14:paraId="0666BE05" w14:textId="77777777" w:rsidR="004D1CE1" w:rsidRDefault="004D1CE1">
          <w:pPr>
            <w:jc w:val="center"/>
            <w:rPr>
              <w:i/>
              <w:iCs/>
              <w:sz w:val="18"/>
              <w:szCs w:val="18"/>
            </w:rPr>
          </w:pPr>
        </w:p>
      </w:tc>
    </w:tr>
  </w:tbl>
  <w:p w14:paraId="126553C1" w14:textId="77777777" w:rsidR="004D1CE1" w:rsidRDefault="004D1CE1">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362EAD"/>
    <w:multiLevelType w:val="multilevel"/>
    <w:tmpl w:val="C0ECA1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C451E3C"/>
    <w:multiLevelType w:val="multilevel"/>
    <w:tmpl w:val="185CE9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92671905">
    <w:abstractNumId w:val="0"/>
  </w:num>
  <w:num w:numId="2" w16cid:durableId="18108256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CE1"/>
    <w:rsid w:val="00033367"/>
    <w:rsid w:val="0008579A"/>
    <w:rsid w:val="000F1163"/>
    <w:rsid w:val="0025533C"/>
    <w:rsid w:val="004A031B"/>
    <w:rsid w:val="004D1CE1"/>
    <w:rsid w:val="006B6B5A"/>
    <w:rsid w:val="006F0FE4"/>
    <w:rsid w:val="00C653E1"/>
    <w:rsid w:val="00D104F3"/>
    <w:rsid w:val="00ED0FF7"/>
    <w:rsid w:val="00EE530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BFEBE"/>
  <w15:docId w15:val="{5AA118D9-0F14-DF4C-97CA-C530015DE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customStyle="1" w:styleId="apple-converted-space">
    <w:name w:val="apple-converted-space"/>
    <w:basedOn w:val="Fuentedeprrafopredeter"/>
    <w:rsid w:val="0025533C"/>
  </w:style>
  <w:style w:type="character" w:styleId="nfasis">
    <w:name w:val="Emphasis"/>
    <w:basedOn w:val="Fuentedeprrafopredeter"/>
    <w:uiPriority w:val="20"/>
    <w:qFormat/>
    <w:rsid w:val="0025533C"/>
    <w:rPr>
      <w:i/>
      <w:iCs/>
    </w:rPr>
  </w:style>
  <w:style w:type="table" w:styleId="Tablaconcuadrcula">
    <w:name w:val="Table Grid"/>
    <w:basedOn w:val="Tablanormal"/>
    <w:uiPriority w:val="39"/>
    <w:rsid w:val="00ED0FF7"/>
    <w:rPr>
      <w:rFonts w:asciiTheme="minorHAnsi" w:eastAsiaTheme="minorHAnsi" w:hAnsiTheme="minorHAnsi" w:cstheme="minorBidi"/>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007/BF0337216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80/0892364890952665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S1096-7516(00)00016-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4018/978-1-61520-963-2"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1947</Words>
  <Characters>10711</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Lorena Garelli</cp:lastModifiedBy>
  <cp:revision>2</cp:revision>
  <dcterms:created xsi:type="dcterms:W3CDTF">2026-03-31T17:55:00Z</dcterms:created>
  <dcterms:modified xsi:type="dcterms:W3CDTF">2026-03-31T17:55:00Z</dcterms:modified>
</cp:coreProperties>
</file>