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2C89DA" w14:textId="33771AA1" w:rsidR="003E0A86" w:rsidRDefault="0079146F" w:rsidP="00C36399">
      <w:pPr>
        <w:pBdr>
          <w:top w:val="nil"/>
          <w:left w:val="nil"/>
          <w:bottom w:val="nil"/>
          <w:right w:val="nil"/>
          <w:between w:val="nil"/>
        </w:pBdr>
        <w:spacing w:before="120" w:after="120"/>
        <w:jc w:val="center"/>
        <w:rPr>
          <w:rFonts w:ascii="Roboto" w:eastAsia="Roboto" w:hAnsi="Roboto" w:cs="Roboto"/>
          <w:b/>
          <w:bCs/>
          <w:color w:val="000000"/>
        </w:rPr>
      </w:pPr>
      <w:r w:rsidRPr="0079146F">
        <w:rPr>
          <w:rFonts w:ascii="Roboto" w:eastAsia="Roboto" w:hAnsi="Roboto" w:cs="Roboto"/>
          <w:b/>
          <w:bCs/>
          <w:color w:val="000000"/>
        </w:rPr>
        <w:t>Bacterias promotoras de crecimiento vegetal como alternativa a agroquímicos en suelos kársticos de la península de Yucatán</w:t>
      </w:r>
    </w:p>
    <w:p w14:paraId="1C9C662C" w14:textId="795CE562" w:rsidR="00C36399" w:rsidRPr="00C36399" w:rsidRDefault="00203250" w:rsidP="00C36399">
      <w:pPr>
        <w:pBdr>
          <w:top w:val="nil"/>
          <w:left w:val="nil"/>
          <w:bottom w:val="nil"/>
          <w:right w:val="nil"/>
          <w:between w:val="nil"/>
        </w:pBdr>
        <w:spacing w:before="120" w:after="120"/>
        <w:jc w:val="center"/>
        <w:rPr>
          <w:rFonts w:ascii="Roboto" w:eastAsia="Roboto" w:hAnsi="Roboto" w:cs="Roboto"/>
          <w:b/>
          <w:bCs/>
          <w:color w:val="000000"/>
          <w:sz w:val="20"/>
          <w:szCs w:val="20"/>
        </w:rPr>
      </w:pPr>
      <w:r w:rsidRPr="00203250">
        <w:rPr>
          <w:rFonts w:ascii="Roboto" w:eastAsia="Roboto" w:hAnsi="Roboto" w:cs="Roboto"/>
          <w:b/>
          <w:bCs/>
          <w:color w:val="000000"/>
          <w:sz w:val="20"/>
          <w:szCs w:val="20"/>
        </w:rPr>
        <w:t>Ruiz-Arjona</w:t>
      </w:r>
      <w:r>
        <w:rPr>
          <w:rFonts w:ascii="Roboto" w:eastAsia="Roboto" w:hAnsi="Roboto" w:cs="Roboto"/>
          <w:b/>
          <w:bCs/>
          <w:color w:val="000000"/>
          <w:sz w:val="20"/>
          <w:szCs w:val="20"/>
        </w:rPr>
        <w:t xml:space="preserve"> G.</w:t>
      </w:r>
      <w:r w:rsidRPr="00C36399">
        <w:rPr>
          <w:rFonts w:ascii="Roboto" w:eastAsia="Roboto" w:hAnsi="Roboto" w:cs="Roboto"/>
          <w:b/>
          <w:bCs/>
          <w:color w:val="000000"/>
          <w:sz w:val="20"/>
          <w:szCs w:val="20"/>
        </w:rPr>
        <w:t>¹</w:t>
      </w:r>
      <w:r w:rsidRPr="00203250">
        <w:rPr>
          <w:rFonts w:ascii="Roboto" w:eastAsia="Roboto" w:hAnsi="Roboto" w:cs="Roboto"/>
          <w:b/>
          <w:bCs/>
          <w:color w:val="000000"/>
          <w:sz w:val="20"/>
          <w:szCs w:val="20"/>
        </w:rPr>
        <w:t>, Pezzarossi-Paz</w:t>
      </w:r>
      <w:r>
        <w:rPr>
          <w:rFonts w:ascii="Roboto" w:eastAsia="Roboto" w:hAnsi="Roboto" w:cs="Roboto"/>
          <w:b/>
          <w:bCs/>
          <w:color w:val="000000"/>
          <w:sz w:val="20"/>
          <w:szCs w:val="20"/>
        </w:rPr>
        <w:t xml:space="preserve"> G.</w:t>
      </w:r>
      <w:r w:rsidRPr="00C36399">
        <w:rPr>
          <w:rFonts w:ascii="Roboto" w:eastAsia="Roboto" w:hAnsi="Roboto" w:cs="Roboto"/>
          <w:b/>
          <w:bCs/>
          <w:color w:val="000000"/>
          <w:sz w:val="20"/>
          <w:szCs w:val="20"/>
        </w:rPr>
        <w:t>¹</w:t>
      </w:r>
      <w:r>
        <w:rPr>
          <w:rFonts w:ascii="Roboto" w:eastAsia="Roboto" w:hAnsi="Roboto" w:cs="Roboto"/>
          <w:b/>
          <w:bCs/>
          <w:color w:val="000000"/>
          <w:sz w:val="20"/>
          <w:szCs w:val="20"/>
        </w:rPr>
        <w:t xml:space="preserve">, </w:t>
      </w:r>
      <w:r w:rsidR="00C36399" w:rsidRPr="00C36399">
        <w:rPr>
          <w:rFonts w:ascii="Roboto" w:eastAsia="Roboto" w:hAnsi="Roboto" w:cs="Roboto"/>
          <w:b/>
          <w:bCs/>
          <w:color w:val="000000"/>
          <w:sz w:val="20"/>
          <w:szCs w:val="20"/>
        </w:rPr>
        <w:t>Cortés-Velázquez A.², Nexticapan-Garcéz A.², Pijeira-Fernández G.</w:t>
      </w:r>
      <w:r w:rsidR="0079146F" w:rsidRPr="00C36399">
        <w:rPr>
          <w:rFonts w:ascii="Roboto" w:eastAsia="Roboto" w:hAnsi="Roboto" w:cs="Roboto"/>
          <w:b/>
          <w:bCs/>
          <w:color w:val="000000"/>
          <w:sz w:val="20"/>
          <w:szCs w:val="20"/>
        </w:rPr>
        <w:t>²</w:t>
      </w:r>
      <w:r w:rsidR="00C36399" w:rsidRPr="00C36399">
        <w:rPr>
          <w:rFonts w:ascii="Roboto" w:eastAsia="Roboto" w:hAnsi="Roboto" w:cs="Roboto"/>
          <w:b/>
          <w:bCs/>
          <w:color w:val="000000"/>
          <w:sz w:val="20"/>
          <w:szCs w:val="20"/>
        </w:rPr>
        <w:t>, Tec-Sánchez J.A.¹</w:t>
      </w:r>
      <w:r w:rsidR="0079146F">
        <w:rPr>
          <w:rFonts w:ascii="Roboto" w:eastAsia="Roboto" w:hAnsi="Roboto" w:cs="Roboto"/>
          <w:b/>
          <w:bCs/>
          <w:color w:val="000000"/>
          <w:sz w:val="20"/>
          <w:szCs w:val="20"/>
        </w:rPr>
        <w:t xml:space="preserve">, </w:t>
      </w:r>
      <w:r w:rsidR="0079146F" w:rsidRPr="00C36399">
        <w:rPr>
          <w:rFonts w:ascii="Roboto" w:eastAsia="Roboto" w:hAnsi="Roboto" w:cs="Roboto"/>
          <w:b/>
          <w:bCs/>
          <w:color w:val="000000"/>
          <w:sz w:val="20"/>
          <w:szCs w:val="20"/>
        </w:rPr>
        <w:t>Magaña-Álvarez A.²</w:t>
      </w:r>
      <w:r w:rsidR="00C8092D">
        <w:rPr>
          <w:rFonts w:ascii="Roboto" w:eastAsia="Roboto" w:hAnsi="Roboto" w:cs="Roboto"/>
          <w:b/>
          <w:bCs/>
          <w:color w:val="000000"/>
          <w:sz w:val="20"/>
          <w:szCs w:val="20"/>
        </w:rPr>
        <w:t xml:space="preserve">, </w:t>
      </w:r>
      <w:r w:rsidR="00C8092D" w:rsidRPr="00C36399">
        <w:rPr>
          <w:rFonts w:ascii="Roboto" w:eastAsia="Roboto" w:hAnsi="Roboto" w:cs="Roboto"/>
          <w:b/>
          <w:bCs/>
          <w:color w:val="000000"/>
          <w:sz w:val="20"/>
          <w:szCs w:val="20"/>
        </w:rPr>
        <w:t>García-Cámara I.¹</w:t>
      </w:r>
      <w:r w:rsidR="00C8092D">
        <w:rPr>
          <w:rFonts w:ascii="Roboto" w:eastAsia="Roboto" w:hAnsi="Roboto" w:cs="Roboto"/>
          <w:b/>
          <w:bCs/>
          <w:color w:val="000000"/>
          <w:sz w:val="20"/>
          <w:szCs w:val="20"/>
        </w:rPr>
        <w:t>*</w:t>
      </w:r>
      <w:r w:rsidR="00C36399" w:rsidRPr="00C36399">
        <w:rPr>
          <w:rFonts w:ascii="Roboto" w:eastAsia="Roboto" w:hAnsi="Roboto" w:cs="Roboto"/>
          <w:b/>
          <w:bCs/>
          <w:color w:val="000000"/>
          <w:sz w:val="20"/>
          <w:szCs w:val="20"/>
        </w:rPr>
        <w:t xml:space="preserve"> </w:t>
      </w:r>
    </w:p>
    <w:p w14:paraId="37085C02" w14:textId="7BD8DFAD" w:rsidR="00C36399" w:rsidRPr="00C36399" w:rsidRDefault="00C8092D" w:rsidP="00C36399">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w:t>
      </w:r>
      <w:r w:rsidR="00C36399" w:rsidRPr="00C36399">
        <w:rPr>
          <w:rFonts w:ascii="Roboto" w:eastAsia="Roboto" w:hAnsi="Roboto" w:cs="Roboto"/>
          <w:b/>
          <w:bCs/>
          <w:color w:val="000000"/>
          <w:sz w:val="20"/>
          <w:szCs w:val="20"/>
        </w:rPr>
        <w:t>¹Universidad Anáhuac Mayab</w:t>
      </w:r>
      <w:r w:rsidR="00C36399">
        <w:rPr>
          <w:rFonts w:ascii="Roboto" w:eastAsia="Roboto" w:hAnsi="Roboto" w:cs="Roboto"/>
          <w:b/>
          <w:bCs/>
          <w:color w:val="000000"/>
          <w:sz w:val="20"/>
          <w:szCs w:val="20"/>
        </w:rPr>
        <w:t>,</w:t>
      </w:r>
      <w:r w:rsidR="0079146F">
        <w:rPr>
          <w:rFonts w:ascii="Roboto" w:eastAsia="Roboto" w:hAnsi="Roboto" w:cs="Roboto"/>
          <w:b/>
          <w:bCs/>
          <w:color w:val="000000"/>
          <w:sz w:val="20"/>
          <w:szCs w:val="20"/>
        </w:rPr>
        <w:t xml:space="preserve">ORCID </w:t>
      </w:r>
      <w:r w:rsidR="0079146F" w:rsidRPr="0079146F">
        <w:rPr>
          <w:rFonts w:ascii="Roboto" w:eastAsia="Roboto" w:hAnsi="Roboto" w:cs="Roboto"/>
          <w:b/>
          <w:bCs/>
          <w:color w:val="000000"/>
          <w:sz w:val="20"/>
          <w:szCs w:val="20"/>
        </w:rPr>
        <w:t>0000-0002-6986-4814</w:t>
      </w:r>
    </w:p>
    <w:p w14:paraId="1FB1796E" w14:textId="7AA6F054" w:rsidR="00C36399" w:rsidRPr="00C36399" w:rsidRDefault="00C36399" w:rsidP="00C36399">
      <w:pPr>
        <w:pBdr>
          <w:top w:val="nil"/>
          <w:left w:val="nil"/>
          <w:bottom w:val="nil"/>
          <w:right w:val="nil"/>
          <w:between w:val="nil"/>
        </w:pBdr>
        <w:spacing w:before="120" w:after="120"/>
        <w:jc w:val="center"/>
        <w:rPr>
          <w:rFonts w:ascii="Roboto" w:eastAsia="Roboto" w:hAnsi="Roboto" w:cs="Roboto"/>
          <w:b/>
          <w:bCs/>
          <w:color w:val="000000"/>
          <w:sz w:val="20"/>
          <w:szCs w:val="20"/>
        </w:rPr>
      </w:pPr>
      <w:r w:rsidRPr="00C36399">
        <w:rPr>
          <w:rFonts w:ascii="Roboto" w:eastAsia="Roboto" w:hAnsi="Roboto" w:cs="Roboto"/>
          <w:b/>
          <w:bCs/>
          <w:color w:val="000000"/>
          <w:sz w:val="20"/>
          <w:szCs w:val="20"/>
        </w:rPr>
        <w:t>²Centro de Investigación Científica de Yucatán A.C.</w:t>
      </w:r>
    </w:p>
    <w:p w14:paraId="0A11CE10" w14:textId="77777777" w:rsidR="007179ED" w:rsidRDefault="00582818">
      <w:pPr>
        <w:spacing w:before="60"/>
        <w:jc w:val="center"/>
        <w:rPr>
          <w:rFonts w:ascii="Roboto" w:eastAsia="Roboto" w:hAnsi="Roboto" w:cs="Roboto"/>
          <w:sz w:val="18"/>
          <w:szCs w:val="18"/>
        </w:rPr>
        <w:sectPr w:rsidR="007179ED">
          <w:headerReference w:type="default" r:id="rId8"/>
          <w:pgSz w:w="11906" w:h="16838"/>
          <w:pgMar w:top="851" w:right="851" w:bottom="828" w:left="851" w:header="357" w:footer="720" w:gutter="0"/>
          <w:pgNumType w:start="1"/>
          <w:cols w:space="720"/>
        </w:sectPr>
      </w:pPr>
      <w:r>
        <w:rPr>
          <w:noProof/>
        </w:rPr>
        <w:pict w14:anchorId="5917E91E">
          <v:rect id="_x0000_i1025" alt="" style="width:441.9pt;height:.05pt;mso-width-percent:0;mso-height-percent:0;mso-width-percent:0;mso-height-percent:0" o:hralign="center" o:hrstd="t" o:hr="t" fillcolor="#a0a0a0" stroked="f"/>
        </w:pict>
      </w:r>
    </w:p>
    <w:p w14:paraId="5031EDC7" w14:textId="77777777" w:rsidR="001057DF" w:rsidRDefault="001057DF" w:rsidP="00C36399">
      <w:pPr>
        <w:pBdr>
          <w:top w:val="nil"/>
          <w:left w:val="nil"/>
          <w:bottom w:val="nil"/>
          <w:right w:val="nil"/>
          <w:between w:val="nil"/>
        </w:pBdr>
        <w:jc w:val="both"/>
        <w:rPr>
          <w:rFonts w:ascii="Roboto" w:eastAsia="Roboto" w:hAnsi="Roboto" w:cs="Roboto"/>
          <w:b/>
          <w:bCs/>
          <w:color w:val="000000"/>
          <w:sz w:val="20"/>
          <w:szCs w:val="20"/>
        </w:rPr>
      </w:pPr>
    </w:p>
    <w:p w14:paraId="03E6B0C9" w14:textId="01A5C98E" w:rsidR="00C36399" w:rsidRPr="00C36399" w:rsidRDefault="00C36399" w:rsidP="00C36399">
      <w:pPr>
        <w:pBdr>
          <w:top w:val="nil"/>
          <w:left w:val="nil"/>
          <w:bottom w:val="nil"/>
          <w:right w:val="nil"/>
          <w:between w:val="nil"/>
        </w:pBdr>
        <w:jc w:val="both"/>
        <w:rPr>
          <w:rFonts w:ascii="Roboto" w:eastAsia="Roboto" w:hAnsi="Roboto" w:cs="Roboto"/>
          <w:b/>
          <w:bCs/>
          <w:color w:val="000000"/>
          <w:sz w:val="20"/>
          <w:szCs w:val="20"/>
        </w:rPr>
      </w:pPr>
      <w:r w:rsidRPr="00C36399">
        <w:rPr>
          <w:rFonts w:ascii="Roboto" w:eastAsia="Roboto" w:hAnsi="Roboto" w:cs="Roboto"/>
          <w:b/>
          <w:bCs/>
          <w:color w:val="000000"/>
          <w:sz w:val="20"/>
          <w:szCs w:val="20"/>
        </w:rPr>
        <w:t>INTRODUCCIÓN</w:t>
      </w:r>
    </w:p>
    <w:p w14:paraId="14AD2F85" w14:textId="79C6A736" w:rsidR="0079146F" w:rsidRPr="0079146F" w:rsidRDefault="0079146F" w:rsidP="0079146F">
      <w:pPr>
        <w:pBdr>
          <w:top w:val="nil"/>
          <w:left w:val="nil"/>
          <w:bottom w:val="nil"/>
          <w:right w:val="nil"/>
          <w:between w:val="nil"/>
        </w:pBdr>
        <w:jc w:val="both"/>
        <w:rPr>
          <w:rFonts w:ascii="Roboto" w:eastAsia="Roboto" w:hAnsi="Roboto" w:cs="Roboto"/>
          <w:color w:val="000000"/>
          <w:sz w:val="20"/>
          <w:szCs w:val="20"/>
        </w:rPr>
      </w:pPr>
      <w:r w:rsidRPr="0079146F">
        <w:rPr>
          <w:rFonts w:ascii="Roboto" w:eastAsia="Roboto" w:hAnsi="Roboto" w:cs="Roboto"/>
          <w:color w:val="000000"/>
          <w:sz w:val="20"/>
          <w:szCs w:val="20"/>
        </w:rPr>
        <w:t>El uso intensivo de fertilizantes y plaguicidas en la agricultura moderna ha generado impactos negativos significativos en la salud humana y en el ambiente, particularmente en regiones con suelos kársticos, caracterizados por su alta permeabilidad y susceptibilidad a la lixiviación de compuestos químicos hacia los mantos acuíferos. Esta dinámica incrementa el riesgo de contaminación hídrica y compromete la sostenibilidad de los sistemas productivos agrícolas (FAO, 2019).</w:t>
      </w:r>
    </w:p>
    <w:p w14:paraId="76E07E2F" w14:textId="5509C464" w:rsidR="0079146F" w:rsidRPr="0079146F" w:rsidRDefault="0079146F" w:rsidP="0079146F">
      <w:pPr>
        <w:pBdr>
          <w:top w:val="nil"/>
          <w:left w:val="nil"/>
          <w:bottom w:val="nil"/>
          <w:right w:val="nil"/>
          <w:between w:val="nil"/>
        </w:pBdr>
        <w:jc w:val="both"/>
        <w:rPr>
          <w:rFonts w:ascii="Roboto" w:eastAsia="Roboto" w:hAnsi="Roboto" w:cs="Roboto"/>
          <w:color w:val="000000"/>
          <w:sz w:val="20"/>
          <w:szCs w:val="20"/>
        </w:rPr>
      </w:pPr>
      <w:r w:rsidRPr="0079146F">
        <w:rPr>
          <w:rFonts w:ascii="Roboto" w:eastAsia="Roboto" w:hAnsi="Roboto" w:cs="Roboto"/>
          <w:color w:val="000000"/>
          <w:sz w:val="20"/>
          <w:szCs w:val="20"/>
        </w:rPr>
        <w:t>En este contexto, las bacterias promotoras de crecimiento vegetal (PGPB) han emergido como una alternativa biotecnológica viable, debido a su capacidad para mejorar la disponibilidad de nutrientes y promover el crecimiento vegetal mediante diversos mecanismos, como la fijación biológica de nitrógeno, la solubilización de fosfatos y la producción de fitohormonas y otros metabolitos bioactivos (Vessey, 2003; Timofeeva et al., 2024).</w:t>
      </w:r>
    </w:p>
    <w:p w14:paraId="63022B48" w14:textId="1215031C" w:rsidR="0079146F" w:rsidRDefault="0079146F" w:rsidP="0079146F">
      <w:pPr>
        <w:pBdr>
          <w:top w:val="nil"/>
          <w:left w:val="nil"/>
          <w:bottom w:val="nil"/>
          <w:right w:val="nil"/>
          <w:between w:val="nil"/>
        </w:pBdr>
        <w:jc w:val="both"/>
        <w:rPr>
          <w:rFonts w:ascii="Roboto" w:eastAsia="Roboto" w:hAnsi="Roboto" w:cs="Roboto"/>
          <w:color w:val="000000"/>
          <w:sz w:val="20"/>
          <w:szCs w:val="20"/>
        </w:rPr>
      </w:pPr>
      <w:r w:rsidRPr="0079146F">
        <w:rPr>
          <w:rFonts w:ascii="Roboto" w:eastAsia="Roboto" w:hAnsi="Roboto" w:cs="Roboto"/>
          <w:color w:val="000000"/>
          <w:sz w:val="20"/>
          <w:szCs w:val="20"/>
        </w:rPr>
        <w:t>La rizósfera de cultivos de importancia económica, como el limón persa (</w:t>
      </w:r>
      <w:r w:rsidRPr="0079146F">
        <w:rPr>
          <w:rFonts w:ascii="Roboto" w:eastAsia="Roboto" w:hAnsi="Roboto" w:cs="Roboto"/>
          <w:i/>
          <w:iCs/>
          <w:color w:val="000000"/>
          <w:sz w:val="20"/>
          <w:szCs w:val="20"/>
        </w:rPr>
        <w:t>Citrus latifolia</w:t>
      </w:r>
      <w:r w:rsidRPr="0079146F">
        <w:rPr>
          <w:rFonts w:ascii="Roboto" w:eastAsia="Roboto" w:hAnsi="Roboto" w:cs="Roboto"/>
          <w:color w:val="000000"/>
          <w:sz w:val="20"/>
          <w:szCs w:val="20"/>
        </w:rPr>
        <w:t>), representa un reservorio relevante de microorganismos con potencial funcional, particularmente en suelos de baja fertilidad como los de la península de Yucatán. No obstante, es necesario no solo caracterizar estas bacterias, sino también evaluar su efecto directo sobre el crecimiento vegetal en condiciones controladas, a fin de validar su potencial como biofertilizantes.</w:t>
      </w:r>
    </w:p>
    <w:p w14:paraId="23BDD316" w14:textId="77777777" w:rsidR="0079146F" w:rsidRDefault="0079146F" w:rsidP="0079146F">
      <w:pPr>
        <w:pBdr>
          <w:top w:val="nil"/>
          <w:left w:val="nil"/>
          <w:bottom w:val="nil"/>
          <w:right w:val="nil"/>
          <w:between w:val="nil"/>
        </w:pBdr>
        <w:jc w:val="both"/>
        <w:rPr>
          <w:rFonts w:ascii="Roboto" w:eastAsia="Roboto" w:hAnsi="Roboto" w:cs="Roboto"/>
          <w:b/>
          <w:bCs/>
          <w:color w:val="000000"/>
          <w:sz w:val="20"/>
          <w:szCs w:val="20"/>
        </w:rPr>
      </w:pPr>
    </w:p>
    <w:p w14:paraId="0115FDD7" w14:textId="7F5255A4" w:rsidR="007179ED" w:rsidRDefault="00C36399">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OBJETIVO</w:t>
      </w:r>
    </w:p>
    <w:p w14:paraId="73D5AF23" w14:textId="4504DB85" w:rsidR="0079146F" w:rsidRDefault="0079146F">
      <w:pPr>
        <w:pBdr>
          <w:top w:val="nil"/>
          <w:left w:val="nil"/>
          <w:bottom w:val="nil"/>
          <w:right w:val="nil"/>
          <w:between w:val="nil"/>
        </w:pBdr>
        <w:jc w:val="both"/>
        <w:rPr>
          <w:rFonts w:ascii="Roboto" w:eastAsia="Roboto" w:hAnsi="Roboto" w:cs="Roboto"/>
          <w:color w:val="000000"/>
          <w:sz w:val="20"/>
          <w:szCs w:val="20"/>
        </w:rPr>
      </w:pPr>
      <w:r w:rsidRPr="0079146F">
        <w:rPr>
          <w:rFonts w:ascii="Roboto" w:eastAsia="Roboto" w:hAnsi="Roboto" w:cs="Roboto"/>
          <w:color w:val="000000"/>
          <w:sz w:val="20"/>
          <w:szCs w:val="20"/>
        </w:rPr>
        <w:t>Evaluar el potencial de bacterias rizosféricas como alternativa sostenible a los agroquímicos, mediante la integración de su caracterización funcional (fijación de nitrógeno y solubilización de fosfato) y su efecto promotor de crecimiento en plántulas.</w:t>
      </w:r>
    </w:p>
    <w:p w14:paraId="630A0BAA" w14:textId="77777777" w:rsidR="0079146F" w:rsidRDefault="0079146F">
      <w:pPr>
        <w:pBdr>
          <w:top w:val="nil"/>
          <w:left w:val="nil"/>
          <w:bottom w:val="nil"/>
          <w:right w:val="nil"/>
          <w:between w:val="nil"/>
        </w:pBdr>
        <w:jc w:val="both"/>
        <w:rPr>
          <w:rFonts w:ascii="Roboto" w:eastAsia="Roboto" w:hAnsi="Roboto" w:cs="Roboto"/>
          <w:b/>
          <w:bCs/>
          <w:color w:val="000000"/>
          <w:sz w:val="20"/>
          <w:szCs w:val="20"/>
        </w:rPr>
      </w:pPr>
    </w:p>
    <w:p w14:paraId="5819433C" w14:textId="77777777" w:rsidR="00C36399" w:rsidRPr="00C36399" w:rsidRDefault="00C36399" w:rsidP="00C36399">
      <w:pPr>
        <w:pBdr>
          <w:top w:val="nil"/>
          <w:left w:val="nil"/>
          <w:bottom w:val="nil"/>
          <w:right w:val="nil"/>
          <w:between w:val="nil"/>
        </w:pBdr>
        <w:jc w:val="both"/>
        <w:rPr>
          <w:rFonts w:ascii="Roboto" w:eastAsia="Roboto" w:hAnsi="Roboto" w:cs="Roboto"/>
          <w:b/>
          <w:bCs/>
          <w:color w:val="000000"/>
          <w:sz w:val="20"/>
          <w:szCs w:val="20"/>
        </w:rPr>
      </w:pPr>
      <w:r w:rsidRPr="00C36399">
        <w:rPr>
          <w:rFonts w:ascii="Roboto" w:eastAsia="Roboto" w:hAnsi="Roboto" w:cs="Roboto"/>
          <w:b/>
          <w:bCs/>
          <w:color w:val="000000"/>
          <w:sz w:val="20"/>
          <w:szCs w:val="20"/>
        </w:rPr>
        <w:t>METODOLOGÍA</w:t>
      </w:r>
    </w:p>
    <w:p w14:paraId="7C4830A1" w14:textId="72C0213E" w:rsidR="0079146F" w:rsidRPr="0079146F" w:rsidRDefault="0079146F" w:rsidP="0079146F">
      <w:pPr>
        <w:pBdr>
          <w:top w:val="nil"/>
          <w:left w:val="nil"/>
          <w:bottom w:val="nil"/>
          <w:right w:val="nil"/>
          <w:between w:val="nil"/>
        </w:pBdr>
        <w:jc w:val="both"/>
        <w:rPr>
          <w:rFonts w:ascii="Roboto" w:eastAsia="Roboto" w:hAnsi="Roboto" w:cs="Roboto"/>
          <w:color w:val="000000"/>
          <w:sz w:val="20"/>
          <w:szCs w:val="20"/>
        </w:rPr>
      </w:pPr>
      <w:r w:rsidRPr="0079146F">
        <w:rPr>
          <w:rFonts w:ascii="Roboto" w:eastAsia="Roboto" w:hAnsi="Roboto" w:cs="Roboto"/>
          <w:color w:val="000000"/>
          <w:sz w:val="20"/>
          <w:szCs w:val="20"/>
        </w:rPr>
        <w:t>Las cepas bacterianas previamente aisladas de la rizósfera de limón persa fueron reactivadas en medios de cultivo Luria-Bertani (LB) y Nutrient Broth Yeast extract (NBY), incubándose a 37 °C durante 7 días. Posteriormente, se realizó su subcultivo en medio líquido LB para obtener suspensiones bacterianas destinadas a la inoculación vegetal.</w:t>
      </w:r>
    </w:p>
    <w:p w14:paraId="0FF51DF2" w14:textId="77777777" w:rsidR="001057DF" w:rsidRDefault="0079146F" w:rsidP="0079146F">
      <w:pPr>
        <w:pBdr>
          <w:top w:val="nil"/>
          <w:left w:val="nil"/>
          <w:bottom w:val="nil"/>
          <w:right w:val="nil"/>
          <w:between w:val="nil"/>
        </w:pBdr>
        <w:jc w:val="both"/>
        <w:rPr>
          <w:rFonts w:ascii="Roboto" w:eastAsia="Roboto" w:hAnsi="Roboto" w:cs="Roboto"/>
          <w:i/>
          <w:iCs/>
          <w:color w:val="000000"/>
          <w:sz w:val="20"/>
          <w:szCs w:val="20"/>
        </w:rPr>
      </w:pPr>
      <w:r w:rsidRPr="0079146F">
        <w:rPr>
          <w:rFonts w:ascii="Roboto" w:eastAsia="Roboto" w:hAnsi="Roboto" w:cs="Roboto"/>
          <w:color w:val="000000"/>
          <w:sz w:val="20"/>
          <w:szCs w:val="20"/>
        </w:rPr>
        <w:t>Las suspensiones se ajustaron a una concentración de 0.5 en la escala de McFarland (~1.5 × 10⁸ UFC/mL) y se aplicaron directamente a plántulas de sandía (</w:t>
      </w:r>
      <w:r w:rsidRPr="0079146F">
        <w:rPr>
          <w:rFonts w:ascii="Roboto" w:eastAsia="Roboto" w:hAnsi="Roboto" w:cs="Roboto"/>
          <w:i/>
          <w:iCs/>
          <w:color w:val="000000"/>
          <w:sz w:val="20"/>
          <w:szCs w:val="20"/>
        </w:rPr>
        <w:t xml:space="preserve">Citrullus </w:t>
      </w:r>
    </w:p>
    <w:p w14:paraId="652C62CE" w14:textId="77777777" w:rsidR="001057DF" w:rsidRDefault="001057DF" w:rsidP="0079146F">
      <w:pPr>
        <w:pBdr>
          <w:top w:val="nil"/>
          <w:left w:val="nil"/>
          <w:bottom w:val="nil"/>
          <w:right w:val="nil"/>
          <w:between w:val="nil"/>
        </w:pBdr>
        <w:jc w:val="both"/>
        <w:rPr>
          <w:rFonts w:ascii="Roboto" w:eastAsia="Roboto" w:hAnsi="Roboto" w:cs="Roboto"/>
          <w:i/>
          <w:iCs/>
          <w:color w:val="000000"/>
          <w:sz w:val="20"/>
          <w:szCs w:val="20"/>
        </w:rPr>
      </w:pPr>
    </w:p>
    <w:p w14:paraId="02B53F8C" w14:textId="77777777" w:rsidR="00203250" w:rsidRDefault="00203250" w:rsidP="0079146F">
      <w:pPr>
        <w:pBdr>
          <w:top w:val="nil"/>
          <w:left w:val="nil"/>
          <w:bottom w:val="nil"/>
          <w:right w:val="nil"/>
          <w:between w:val="nil"/>
        </w:pBdr>
        <w:jc w:val="both"/>
        <w:rPr>
          <w:rFonts w:ascii="Roboto" w:eastAsia="Roboto" w:hAnsi="Roboto" w:cs="Roboto"/>
          <w:i/>
          <w:iCs/>
          <w:color w:val="000000"/>
          <w:sz w:val="20"/>
          <w:szCs w:val="20"/>
        </w:rPr>
      </w:pPr>
    </w:p>
    <w:p w14:paraId="6609ECC7" w14:textId="77777777" w:rsidR="00203250" w:rsidRDefault="00203250" w:rsidP="0079146F">
      <w:pPr>
        <w:pBdr>
          <w:top w:val="nil"/>
          <w:left w:val="nil"/>
          <w:bottom w:val="nil"/>
          <w:right w:val="nil"/>
          <w:between w:val="nil"/>
        </w:pBdr>
        <w:jc w:val="both"/>
        <w:rPr>
          <w:rFonts w:ascii="Roboto" w:eastAsia="Roboto" w:hAnsi="Roboto" w:cs="Roboto"/>
          <w:i/>
          <w:iCs/>
          <w:color w:val="000000"/>
          <w:sz w:val="20"/>
          <w:szCs w:val="20"/>
        </w:rPr>
      </w:pPr>
    </w:p>
    <w:p w14:paraId="57A189AC" w14:textId="77777777" w:rsidR="00203250" w:rsidRDefault="00203250" w:rsidP="0079146F">
      <w:pPr>
        <w:pBdr>
          <w:top w:val="nil"/>
          <w:left w:val="nil"/>
          <w:bottom w:val="nil"/>
          <w:right w:val="nil"/>
          <w:between w:val="nil"/>
        </w:pBdr>
        <w:jc w:val="both"/>
        <w:rPr>
          <w:rFonts w:ascii="Roboto" w:eastAsia="Roboto" w:hAnsi="Roboto" w:cs="Roboto"/>
          <w:i/>
          <w:iCs/>
          <w:color w:val="000000"/>
          <w:sz w:val="20"/>
          <w:szCs w:val="20"/>
        </w:rPr>
      </w:pPr>
    </w:p>
    <w:p w14:paraId="2C72F19A" w14:textId="25CD7F83" w:rsidR="0079146F" w:rsidRPr="0079146F" w:rsidRDefault="0079146F" w:rsidP="0079146F">
      <w:pPr>
        <w:pBdr>
          <w:top w:val="nil"/>
          <w:left w:val="nil"/>
          <w:bottom w:val="nil"/>
          <w:right w:val="nil"/>
          <w:between w:val="nil"/>
        </w:pBdr>
        <w:jc w:val="both"/>
        <w:rPr>
          <w:rFonts w:ascii="Roboto" w:eastAsia="Roboto" w:hAnsi="Roboto" w:cs="Roboto"/>
          <w:color w:val="000000"/>
          <w:sz w:val="20"/>
          <w:szCs w:val="20"/>
        </w:rPr>
      </w:pPr>
      <w:r w:rsidRPr="0079146F">
        <w:rPr>
          <w:rFonts w:ascii="Roboto" w:eastAsia="Roboto" w:hAnsi="Roboto" w:cs="Roboto"/>
          <w:i/>
          <w:iCs/>
          <w:color w:val="000000"/>
          <w:sz w:val="20"/>
          <w:szCs w:val="20"/>
        </w:rPr>
        <w:t>lanatus</w:t>
      </w:r>
      <w:r w:rsidRPr="0079146F">
        <w:rPr>
          <w:rFonts w:ascii="Roboto" w:eastAsia="Roboto" w:hAnsi="Roboto" w:cs="Roboto"/>
          <w:color w:val="000000"/>
          <w:sz w:val="20"/>
          <w:szCs w:val="20"/>
        </w:rPr>
        <w:t>), distribuyendo 10 mL por planta en la zona rizosférica, asegurando la humectación del sustrato en un radio aproximado de 5 cm alrededor del tallo.</w:t>
      </w:r>
    </w:p>
    <w:p w14:paraId="50091143" w14:textId="10F800C5" w:rsidR="003E0A86" w:rsidRDefault="0079146F" w:rsidP="0079146F">
      <w:pPr>
        <w:pBdr>
          <w:top w:val="nil"/>
          <w:left w:val="nil"/>
          <w:bottom w:val="nil"/>
          <w:right w:val="nil"/>
          <w:between w:val="nil"/>
        </w:pBdr>
        <w:jc w:val="both"/>
        <w:rPr>
          <w:rFonts w:ascii="Roboto" w:eastAsia="Roboto" w:hAnsi="Roboto" w:cs="Roboto"/>
          <w:color w:val="000000"/>
          <w:sz w:val="20"/>
          <w:szCs w:val="20"/>
        </w:rPr>
      </w:pPr>
      <w:r w:rsidRPr="0079146F">
        <w:rPr>
          <w:rFonts w:ascii="Roboto" w:eastAsia="Roboto" w:hAnsi="Roboto" w:cs="Roboto"/>
          <w:color w:val="000000"/>
          <w:sz w:val="20"/>
          <w:szCs w:val="20"/>
        </w:rPr>
        <w:t>Para la evaluación del efecto promotor de crecimiento, se midieron variables morfológicas y biométricas tanto aéreas como radicales. En la parte aérea se registró la longitud de la planta, número de ramificaciones, área foliar (mediante medidor de área foliar), así como peso fresco y seco. Para la evaluación radical, las raíces fueron cuidadosamente lavadas para eliminar el sustrato, determinándose su peso fresco, volumen por desplazamiento de agua y peso seco tras secado en estufa a 55 °C durante 7 días.</w:t>
      </w:r>
    </w:p>
    <w:p w14:paraId="40AE2C50" w14:textId="77777777" w:rsidR="0079146F" w:rsidRDefault="0079146F" w:rsidP="0079146F">
      <w:pPr>
        <w:pBdr>
          <w:top w:val="nil"/>
          <w:left w:val="nil"/>
          <w:bottom w:val="nil"/>
          <w:right w:val="nil"/>
          <w:between w:val="nil"/>
        </w:pBdr>
        <w:jc w:val="both"/>
        <w:rPr>
          <w:rFonts w:ascii="Roboto" w:eastAsia="Roboto" w:hAnsi="Roboto" w:cs="Roboto"/>
          <w:color w:val="000000"/>
          <w:sz w:val="20"/>
          <w:szCs w:val="20"/>
        </w:rPr>
      </w:pPr>
    </w:p>
    <w:p w14:paraId="48D477CE" w14:textId="58EEDA22" w:rsidR="007179ED" w:rsidRDefault="00C36399">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RESULTADOS</w:t>
      </w:r>
    </w:p>
    <w:p w14:paraId="6D6251F9" w14:textId="4FEAADF6" w:rsidR="001057DF" w:rsidRDefault="0079146F" w:rsidP="0079146F">
      <w:pPr>
        <w:keepNext/>
        <w:jc w:val="both"/>
        <w:rPr>
          <w:rFonts w:ascii="Roboto" w:eastAsia="Roboto" w:hAnsi="Roboto" w:cs="Roboto"/>
          <w:color w:val="000000"/>
          <w:sz w:val="20"/>
          <w:szCs w:val="20"/>
        </w:rPr>
      </w:pPr>
      <w:r w:rsidRPr="0079146F">
        <w:rPr>
          <w:rFonts w:ascii="Roboto" w:eastAsia="Roboto" w:hAnsi="Roboto" w:cs="Roboto"/>
          <w:color w:val="000000"/>
          <w:sz w:val="20"/>
          <w:szCs w:val="20"/>
        </w:rPr>
        <w:t>Los resultados mostraron diferencias entre los tratamientos evaluados. La cepa M2D2O presentó un incremento en la longitud promedio de las plantas (133.7 cm) en comparación con el grupo control (110.5 cm). Por su parte, la cepa M1D3C mostró un mayor efecto sobre variables asociadas a biomasa y desarrollo foliar, destacando el aumento en el área foliar (1243.5 cm²), peso aéreo fresco (58.9 g) y volumen radicular (2.6 cm³).</w:t>
      </w:r>
    </w:p>
    <w:p w14:paraId="0FB59FDE" w14:textId="792084E4" w:rsidR="001057DF" w:rsidRDefault="001057DF" w:rsidP="001057DF">
      <w:pPr>
        <w:keepNext/>
        <w:jc w:val="both"/>
        <w:rPr>
          <w:rFonts w:ascii="Roboto" w:eastAsia="Roboto" w:hAnsi="Roboto" w:cs="Roboto"/>
          <w:sz w:val="20"/>
          <w:szCs w:val="20"/>
        </w:rPr>
      </w:pPr>
      <w:r>
        <w:rPr>
          <w:rFonts w:ascii="Roboto" w:eastAsia="Roboto" w:hAnsi="Roboto" w:cs="Roboto"/>
          <w:b/>
          <w:bCs/>
          <w:sz w:val="20"/>
          <w:szCs w:val="20"/>
        </w:rPr>
        <w:t>Tabla 1.</w:t>
      </w:r>
      <w:r>
        <w:rPr>
          <w:rFonts w:ascii="Roboto" w:eastAsia="Roboto" w:hAnsi="Roboto" w:cs="Roboto"/>
          <w:sz w:val="20"/>
          <w:szCs w:val="20"/>
        </w:rPr>
        <w:t xml:space="preserve"> </w:t>
      </w:r>
      <w:r w:rsidRPr="0079146F">
        <w:rPr>
          <w:rFonts w:ascii="Roboto" w:eastAsia="Roboto" w:hAnsi="Roboto" w:cs="Roboto"/>
          <w:sz w:val="20"/>
          <w:szCs w:val="20"/>
        </w:rPr>
        <w:t>Promedios de variables morfológicas y biométricas en plántulas de Citrullus lanatus bajo diferentes tratamientos bacterianos.</w:t>
      </w:r>
    </w:p>
    <w:tbl>
      <w:tblPr>
        <w:tblW w:w="4934" w:type="dxa"/>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2410"/>
        <w:gridCol w:w="898"/>
        <w:gridCol w:w="810"/>
        <w:gridCol w:w="816"/>
      </w:tblGrid>
      <w:tr w:rsidR="001057DF" w:rsidRPr="001057DF" w14:paraId="478661C0" w14:textId="77777777" w:rsidTr="00556948">
        <w:trPr>
          <w:tblHeader/>
          <w:tblCellSpacing w:w="15" w:type="dxa"/>
        </w:trPr>
        <w:tc>
          <w:tcPr>
            <w:tcW w:w="2365" w:type="dxa"/>
            <w:tcBorders>
              <w:bottom w:val="single" w:sz="4" w:space="0" w:color="auto"/>
            </w:tcBorders>
            <w:vAlign w:val="center"/>
            <w:hideMark/>
          </w:tcPr>
          <w:p w14:paraId="45C2BF2C" w14:textId="77777777" w:rsidR="001057DF" w:rsidRPr="001057DF" w:rsidRDefault="001057DF" w:rsidP="00556948">
            <w:pPr>
              <w:jc w:val="center"/>
              <w:rPr>
                <w:rFonts w:ascii="Roboto" w:hAnsi="Roboto"/>
                <w:b/>
                <w:bCs/>
                <w:color w:val="000000"/>
                <w:sz w:val="18"/>
                <w:szCs w:val="18"/>
              </w:rPr>
            </w:pPr>
            <w:r w:rsidRPr="001057DF">
              <w:rPr>
                <w:rFonts w:ascii="Roboto" w:hAnsi="Roboto"/>
                <w:b/>
                <w:bCs/>
                <w:color w:val="000000"/>
                <w:sz w:val="18"/>
                <w:szCs w:val="18"/>
              </w:rPr>
              <w:t>Variable</w:t>
            </w:r>
          </w:p>
        </w:tc>
        <w:tc>
          <w:tcPr>
            <w:tcW w:w="868" w:type="dxa"/>
            <w:tcBorders>
              <w:bottom w:val="single" w:sz="4" w:space="0" w:color="auto"/>
            </w:tcBorders>
            <w:vAlign w:val="center"/>
            <w:hideMark/>
          </w:tcPr>
          <w:p w14:paraId="5B2CC550" w14:textId="77777777" w:rsidR="001057DF" w:rsidRPr="001057DF" w:rsidRDefault="001057DF" w:rsidP="00556948">
            <w:pPr>
              <w:jc w:val="center"/>
              <w:rPr>
                <w:rFonts w:ascii="Roboto" w:hAnsi="Roboto"/>
                <w:b/>
                <w:bCs/>
                <w:color w:val="000000"/>
                <w:sz w:val="18"/>
                <w:szCs w:val="18"/>
              </w:rPr>
            </w:pPr>
            <w:r w:rsidRPr="001057DF">
              <w:rPr>
                <w:rFonts w:ascii="Roboto" w:hAnsi="Roboto"/>
                <w:b/>
                <w:bCs/>
                <w:color w:val="000000"/>
                <w:sz w:val="18"/>
                <w:szCs w:val="18"/>
              </w:rPr>
              <w:t>Control</w:t>
            </w:r>
          </w:p>
        </w:tc>
        <w:tc>
          <w:tcPr>
            <w:tcW w:w="0" w:type="auto"/>
            <w:tcBorders>
              <w:bottom w:val="single" w:sz="4" w:space="0" w:color="auto"/>
            </w:tcBorders>
            <w:vAlign w:val="center"/>
            <w:hideMark/>
          </w:tcPr>
          <w:p w14:paraId="5F9A6F18" w14:textId="77777777" w:rsidR="001057DF" w:rsidRPr="001057DF" w:rsidRDefault="001057DF" w:rsidP="00556948">
            <w:pPr>
              <w:jc w:val="center"/>
              <w:rPr>
                <w:rFonts w:ascii="Roboto" w:hAnsi="Roboto"/>
                <w:b/>
                <w:bCs/>
                <w:color w:val="000000"/>
                <w:sz w:val="18"/>
                <w:szCs w:val="18"/>
              </w:rPr>
            </w:pPr>
            <w:r w:rsidRPr="001057DF">
              <w:rPr>
                <w:rFonts w:ascii="Roboto" w:hAnsi="Roboto"/>
                <w:b/>
                <w:bCs/>
                <w:color w:val="000000"/>
                <w:sz w:val="18"/>
                <w:szCs w:val="18"/>
              </w:rPr>
              <w:t>M2D2O</w:t>
            </w:r>
          </w:p>
        </w:tc>
        <w:tc>
          <w:tcPr>
            <w:tcW w:w="0" w:type="auto"/>
            <w:tcBorders>
              <w:bottom w:val="single" w:sz="4" w:space="0" w:color="auto"/>
            </w:tcBorders>
            <w:vAlign w:val="center"/>
            <w:hideMark/>
          </w:tcPr>
          <w:p w14:paraId="42A4CE2D" w14:textId="77777777" w:rsidR="001057DF" w:rsidRPr="001057DF" w:rsidRDefault="001057DF" w:rsidP="00556948">
            <w:pPr>
              <w:jc w:val="center"/>
              <w:rPr>
                <w:rFonts w:ascii="Roboto" w:hAnsi="Roboto"/>
                <w:b/>
                <w:bCs/>
                <w:color w:val="000000"/>
                <w:sz w:val="18"/>
                <w:szCs w:val="18"/>
              </w:rPr>
            </w:pPr>
            <w:r w:rsidRPr="001057DF">
              <w:rPr>
                <w:rFonts w:ascii="Roboto" w:hAnsi="Roboto"/>
                <w:b/>
                <w:bCs/>
                <w:color w:val="000000"/>
                <w:sz w:val="18"/>
                <w:szCs w:val="18"/>
              </w:rPr>
              <w:t>M1D3C</w:t>
            </w:r>
          </w:p>
        </w:tc>
      </w:tr>
      <w:tr w:rsidR="001057DF" w:rsidRPr="001057DF" w14:paraId="700BD4F8" w14:textId="77777777" w:rsidTr="00556948">
        <w:trPr>
          <w:tblCellSpacing w:w="15" w:type="dxa"/>
        </w:trPr>
        <w:tc>
          <w:tcPr>
            <w:tcW w:w="2365" w:type="dxa"/>
            <w:vAlign w:val="center"/>
            <w:hideMark/>
          </w:tcPr>
          <w:p w14:paraId="0960CE95"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Longitud (cm)</w:t>
            </w:r>
          </w:p>
        </w:tc>
        <w:tc>
          <w:tcPr>
            <w:tcW w:w="868" w:type="dxa"/>
            <w:vAlign w:val="center"/>
            <w:hideMark/>
          </w:tcPr>
          <w:p w14:paraId="61E1D6B6"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110.5</w:t>
            </w:r>
          </w:p>
        </w:tc>
        <w:tc>
          <w:tcPr>
            <w:tcW w:w="0" w:type="auto"/>
            <w:vAlign w:val="center"/>
            <w:hideMark/>
          </w:tcPr>
          <w:p w14:paraId="2FF6E0E1"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133.7</w:t>
            </w:r>
          </w:p>
        </w:tc>
        <w:tc>
          <w:tcPr>
            <w:tcW w:w="0" w:type="auto"/>
            <w:vAlign w:val="center"/>
            <w:hideMark/>
          </w:tcPr>
          <w:p w14:paraId="2D1DECA2"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117.8</w:t>
            </w:r>
          </w:p>
        </w:tc>
      </w:tr>
      <w:tr w:rsidR="001057DF" w:rsidRPr="001057DF" w14:paraId="21DEA5B6" w14:textId="77777777" w:rsidTr="00556948">
        <w:trPr>
          <w:tblCellSpacing w:w="15" w:type="dxa"/>
        </w:trPr>
        <w:tc>
          <w:tcPr>
            <w:tcW w:w="2365" w:type="dxa"/>
            <w:vAlign w:val="center"/>
            <w:hideMark/>
          </w:tcPr>
          <w:p w14:paraId="10F6314C"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Ramificaciones</w:t>
            </w:r>
          </w:p>
        </w:tc>
        <w:tc>
          <w:tcPr>
            <w:tcW w:w="868" w:type="dxa"/>
            <w:vAlign w:val="center"/>
            <w:hideMark/>
          </w:tcPr>
          <w:p w14:paraId="4FCDE62F"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3.0</w:t>
            </w:r>
          </w:p>
        </w:tc>
        <w:tc>
          <w:tcPr>
            <w:tcW w:w="0" w:type="auto"/>
            <w:vAlign w:val="center"/>
            <w:hideMark/>
          </w:tcPr>
          <w:p w14:paraId="29046E0B"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3.25</w:t>
            </w:r>
          </w:p>
        </w:tc>
        <w:tc>
          <w:tcPr>
            <w:tcW w:w="0" w:type="auto"/>
            <w:vAlign w:val="center"/>
            <w:hideMark/>
          </w:tcPr>
          <w:p w14:paraId="29FE7516"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3.8</w:t>
            </w:r>
          </w:p>
        </w:tc>
      </w:tr>
      <w:tr w:rsidR="001057DF" w:rsidRPr="001057DF" w14:paraId="76CBC878" w14:textId="77777777" w:rsidTr="00556948">
        <w:trPr>
          <w:tblCellSpacing w:w="15" w:type="dxa"/>
        </w:trPr>
        <w:tc>
          <w:tcPr>
            <w:tcW w:w="2365" w:type="dxa"/>
            <w:vAlign w:val="center"/>
            <w:hideMark/>
          </w:tcPr>
          <w:p w14:paraId="7587ECFD"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Área foliar (cm²)</w:t>
            </w:r>
          </w:p>
        </w:tc>
        <w:tc>
          <w:tcPr>
            <w:tcW w:w="868" w:type="dxa"/>
            <w:vAlign w:val="center"/>
            <w:hideMark/>
          </w:tcPr>
          <w:p w14:paraId="7A9B96C0"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1051.1</w:t>
            </w:r>
          </w:p>
        </w:tc>
        <w:tc>
          <w:tcPr>
            <w:tcW w:w="0" w:type="auto"/>
            <w:vAlign w:val="center"/>
            <w:hideMark/>
          </w:tcPr>
          <w:p w14:paraId="3DF332B8"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1182.8</w:t>
            </w:r>
          </w:p>
        </w:tc>
        <w:tc>
          <w:tcPr>
            <w:tcW w:w="0" w:type="auto"/>
            <w:vAlign w:val="center"/>
            <w:hideMark/>
          </w:tcPr>
          <w:p w14:paraId="35ED9722"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1243.5</w:t>
            </w:r>
          </w:p>
        </w:tc>
      </w:tr>
      <w:tr w:rsidR="001057DF" w:rsidRPr="001057DF" w14:paraId="209858F8" w14:textId="77777777" w:rsidTr="00556948">
        <w:trPr>
          <w:tblCellSpacing w:w="15" w:type="dxa"/>
        </w:trPr>
        <w:tc>
          <w:tcPr>
            <w:tcW w:w="2365" w:type="dxa"/>
            <w:vAlign w:val="center"/>
            <w:hideMark/>
          </w:tcPr>
          <w:p w14:paraId="02D68AA0"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Peso aéreo fresco (g)</w:t>
            </w:r>
          </w:p>
        </w:tc>
        <w:tc>
          <w:tcPr>
            <w:tcW w:w="868" w:type="dxa"/>
            <w:vAlign w:val="center"/>
            <w:hideMark/>
          </w:tcPr>
          <w:p w14:paraId="7B90C64E"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50.9</w:t>
            </w:r>
          </w:p>
        </w:tc>
        <w:tc>
          <w:tcPr>
            <w:tcW w:w="0" w:type="auto"/>
            <w:vAlign w:val="center"/>
            <w:hideMark/>
          </w:tcPr>
          <w:p w14:paraId="7C14A8A7"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53.7</w:t>
            </w:r>
          </w:p>
        </w:tc>
        <w:tc>
          <w:tcPr>
            <w:tcW w:w="0" w:type="auto"/>
            <w:vAlign w:val="center"/>
            <w:hideMark/>
          </w:tcPr>
          <w:p w14:paraId="3F970B46"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58.9</w:t>
            </w:r>
          </w:p>
        </w:tc>
      </w:tr>
      <w:tr w:rsidR="001057DF" w:rsidRPr="001057DF" w14:paraId="4005E784" w14:textId="77777777" w:rsidTr="00556948">
        <w:trPr>
          <w:tblCellSpacing w:w="15" w:type="dxa"/>
        </w:trPr>
        <w:tc>
          <w:tcPr>
            <w:tcW w:w="2365" w:type="dxa"/>
            <w:vAlign w:val="center"/>
            <w:hideMark/>
          </w:tcPr>
          <w:p w14:paraId="0F99E216"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Peso aéreo seco (g)</w:t>
            </w:r>
          </w:p>
        </w:tc>
        <w:tc>
          <w:tcPr>
            <w:tcW w:w="868" w:type="dxa"/>
            <w:vAlign w:val="center"/>
            <w:hideMark/>
          </w:tcPr>
          <w:p w14:paraId="1D831E1E"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6.4</w:t>
            </w:r>
          </w:p>
        </w:tc>
        <w:tc>
          <w:tcPr>
            <w:tcW w:w="0" w:type="auto"/>
            <w:vAlign w:val="center"/>
            <w:hideMark/>
          </w:tcPr>
          <w:p w14:paraId="4A271A3F"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5.8</w:t>
            </w:r>
          </w:p>
        </w:tc>
        <w:tc>
          <w:tcPr>
            <w:tcW w:w="0" w:type="auto"/>
            <w:vAlign w:val="center"/>
            <w:hideMark/>
          </w:tcPr>
          <w:p w14:paraId="5926C950"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6.3</w:t>
            </w:r>
          </w:p>
        </w:tc>
      </w:tr>
      <w:tr w:rsidR="001057DF" w:rsidRPr="001057DF" w14:paraId="6432B05B" w14:textId="77777777" w:rsidTr="00556948">
        <w:trPr>
          <w:tblCellSpacing w:w="15" w:type="dxa"/>
        </w:trPr>
        <w:tc>
          <w:tcPr>
            <w:tcW w:w="2365" w:type="dxa"/>
            <w:vAlign w:val="center"/>
            <w:hideMark/>
          </w:tcPr>
          <w:p w14:paraId="3D8F8A8B"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Peso radicular fresco (g)</w:t>
            </w:r>
          </w:p>
        </w:tc>
        <w:tc>
          <w:tcPr>
            <w:tcW w:w="868" w:type="dxa"/>
            <w:vAlign w:val="center"/>
            <w:hideMark/>
          </w:tcPr>
          <w:p w14:paraId="46C2DD4C"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1.8</w:t>
            </w:r>
          </w:p>
        </w:tc>
        <w:tc>
          <w:tcPr>
            <w:tcW w:w="0" w:type="auto"/>
            <w:vAlign w:val="center"/>
            <w:hideMark/>
          </w:tcPr>
          <w:p w14:paraId="3CB08E8B"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1.4</w:t>
            </w:r>
          </w:p>
        </w:tc>
        <w:tc>
          <w:tcPr>
            <w:tcW w:w="0" w:type="auto"/>
            <w:vAlign w:val="center"/>
            <w:hideMark/>
          </w:tcPr>
          <w:p w14:paraId="5C592D7B"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2.3</w:t>
            </w:r>
          </w:p>
        </w:tc>
      </w:tr>
      <w:tr w:rsidR="001057DF" w:rsidRPr="001057DF" w14:paraId="1D05A589" w14:textId="77777777" w:rsidTr="00556948">
        <w:trPr>
          <w:tblCellSpacing w:w="15" w:type="dxa"/>
        </w:trPr>
        <w:tc>
          <w:tcPr>
            <w:tcW w:w="2365" w:type="dxa"/>
            <w:vAlign w:val="center"/>
            <w:hideMark/>
          </w:tcPr>
          <w:p w14:paraId="07A489C0"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Peso radicular seco (g)</w:t>
            </w:r>
          </w:p>
        </w:tc>
        <w:tc>
          <w:tcPr>
            <w:tcW w:w="868" w:type="dxa"/>
            <w:vAlign w:val="center"/>
            <w:hideMark/>
          </w:tcPr>
          <w:p w14:paraId="4E45336F"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0.4</w:t>
            </w:r>
          </w:p>
        </w:tc>
        <w:tc>
          <w:tcPr>
            <w:tcW w:w="0" w:type="auto"/>
            <w:vAlign w:val="center"/>
            <w:hideMark/>
          </w:tcPr>
          <w:p w14:paraId="4FD31B5D"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0.3</w:t>
            </w:r>
          </w:p>
        </w:tc>
        <w:tc>
          <w:tcPr>
            <w:tcW w:w="0" w:type="auto"/>
            <w:vAlign w:val="center"/>
            <w:hideMark/>
          </w:tcPr>
          <w:p w14:paraId="70CDAA28"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0.3</w:t>
            </w:r>
          </w:p>
        </w:tc>
      </w:tr>
      <w:tr w:rsidR="001057DF" w:rsidRPr="001057DF" w14:paraId="080373E3" w14:textId="77777777" w:rsidTr="00556948">
        <w:trPr>
          <w:tblCellSpacing w:w="15" w:type="dxa"/>
        </w:trPr>
        <w:tc>
          <w:tcPr>
            <w:tcW w:w="2365" w:type="dxa"/>
            <w:vAlign w:val="center"/>
            <w:hideMark/>
          </w:tcPr>
          <w:p w14:paraId="7CAC4CE9"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Volumen radicular (cm³)</w:t>
            </w:r>
          </w:p>
        </w:tc>
        <w:tc>
          <w:tcPr>
            <w:tcW w:w="868" w:type="dxa"/>
            <w:vAlign w:val="center"/>
            <w:hideMark/>
          </w:tcPr>
          <w:p w14:paraId="790F862B"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2.1</w:t>
            </w:r>
          </w:p>
        </w:tc>
        <w:tc>
          <w:tcPr>
            <w:tcW w:w="0" w:type="auto"/>
            <w:vAlign w:val="center"/>
            <w:hideMark/>
          </w:tcPr>
          <w:p w14:paraId="639B25AA"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1.7</w:t>
            </w:r>
          </w:p>
        </w:tc>
        <w:tc>
          <w:tcPr>
            <w:tcW w:w="0" w:type="auto"/>
            <w:vAlign w:val="center"/>
            <w:hideMark/>
          </w:tcPr>
          <w:p w14:paraId="5200E950" w14:textId="77777777" w:rsidR="001057DF" w:rsidRPr="001057DF" w:rsidRDefault="001057DF" w:rsidP="00556948">
            <w:pPr>
              <w:rPr>
                <w:rFonts w:ascii="Roboto" w:hAnsi="Roboto"/>
                <w:color w:val="000000"/>
                <w:sz w:val="18"/>
                <w:szCs w:val="18"/>
              </w:rPr>
            </w:pPr>
            <w:r w:rsidRPr="001057DF">
              <w:rPr>
                <w:rFonts w:ascii="Roboto" w:hAnsi="Roboto"/>
                <w:color w:val="000000"/>
                <w:sz w:val="18"/>
                <w:szCs w:val="18"/>
              </w:rPr>
              <w:t>2.6</w:t>
            </w:r>
          </w:p>
        </w:tc>
      </w:tr>
    </w:tbl>
    <w:p w14:paraId="3094619B" w14:textId="68A20F9A" w:rsidR="003E0A86" w:rsidRDefault="0079146F" w:rsidP="0079146F">
      <w:pPr>
        <w:keepNext/>
        <w:jc w:val="both"/>
        <w:rPr>
          <w:rFonts w:ascii="Roboto" w:eastAsia="Roboto" w:hAnsi="Roboto" w:cs="Roboto"/>
          <w:color w:val="000000"/>
          <w:sz w:val="20"/>
          <w:szCs w:val="20"/>
        </w:rPr>
      </w:pPr>
      <w:r w:rsidRPr="0079146F">
        <w:rPr>
          <w:rFonts w:ascii="Roboto" w:eastAsia="Roboto" w:hAnsi="Roboto" w:cs="Roboto"/>
          <w:color w:val="000000"/>
          <w:sz w:val="20"/>
          <w:szCs w:val="20"/>
        </w:rPr>
        <w:t xml:space="preserve">En conjunto, ambos tratamientos bacterianos promovieron el crecimiento vegetal en comparación con el control, aunque con efectos diferenciados según la variable evaluada (Tabla </w:t>
      </w:r>
      <w:r w:rsidR="005154C7">
        <w:rPr>
          <w:rFonts w:ascii="Roboto" w:eastAsia="Roboto" w:hAnsi="Roboto" w:cs="Roboto"/>
          <w:color w:val="000000"/>
          <w:sz w:val="20"/>
          <w:szCs w:val="20"/>
        </w:rPr>
        <w:t>1, Figura 1</w:t>
      </w:r>
      <w:r w:rsidRPr="0079146F">
        <w:rPr>
          <w:rFonts w:ascii="Roboto" w:eastAsia="Roboto" w:hAnsi="Roboto" w:cs="Roboto"/>
          <w:color w:val="000000"/>
          <w:sz w:val="20"/>
          <w:szCs w:val="20"/>
        </w:rPr>
        <w:t>).</w:t>
      </w:r>
    </w:p>
    <w:p w14:paraId="6E7F9087" w14:textId="77777777" w:rsidR="0079146F" w:rsidRDefault="0079146F" w:rsidP="0079146F">
      <w:pPr>
        <w:keepNext/>
        <w:jc w:val="both"/>
        <w:rPr>
          <w:rFonts w:ascii="Roboto" w:eastAsia="Roboto" w:hAnsi="Roboto" w:cs="Roboto"/>
          <w:color w:val="000000"/>
          <w:sz w:val="20"/>
          <w:szCs w:val="20"/>
        </w:rPr>
      </w:pPr>
    </w:p>
    <w:p w14:paraId="393FA628" w14:textId="77777777" w:rsidR="007179ED" w:rsidRDefault="007179ED">
      <w:pPr>
        <w:tabs>
          <w:tab w:val="left" w:pos="284"/>
        </w:tabs>
        <w:ind w:left="284" w:hanging="284"/>
        <w:jc w:val="both"/>
        <w:rPr>
          <w:rFonts w:ascii="Roboto" w:eastAsia="Roboto" w:hAnsi="Roboto" w:cs="Roboto"/>
          <w:sz w:val="20"/>
          <w:szCs w:val="20"/>
        </w:rPr>
      </w:pPr>
    </w:p>
    <w:p w14:paraId="59D61510" w14:textId="15D1F8EF" w:rsidR="007179ED" w:rsidRDefault="0079146F">
      <w:pPr>
        <w:jc w:val="center"/>
        <w:rPr>
          <w:rFonts w:ascii="Roboto" w:eastAsia="Roboto" w:hAnsi="Roboto" w:cs="Roboto"/>
          <w:b/>
          <w:bCs/>
          <w:sz w:val="20"/>
          <w:szCs w:val="20"/>
        </w:rPr>
      </w:pPr>
      <w:r>
        <w:rPr>
          <w:noProof/>
        </w:rPr>
        <w:lastRenderedPageBreak/>
        <w:drawing>
          <wp:inline distT="114300" distB="114300" distL="114300" distR="114300" wp14:anchorId="703B310E" wp14:editId="1305C374">
            <wp:extent cx="3161211" cy="1338943"/>
            <wp:effectExtent l="0" t="0" r="127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3185495" cy="1349229"/>
                    </a:xfrm>
                    <a:prstGeom prst="rect">
                      <a:avLst/>
                    </a:prstGeom>
                    <a:ln/>
                  </pic:spPr>
                </pic:pic>
              </a:graphicData>
            </a:graphic>
          </wp:inline>
        </w:drawing>
      </w:r>
    </w:p>
    <w:p w14:paraId="04F2DA10" w14:textId="36E2686E" w:rsidR="007179ED" w:rsidRDefault="00000000">
      <w:pPr>
        <w:jc w:val="both"/>
        <w:rPr>
          <w:rFonts w:ascii="Roboto" w:eastAsia="Roboto" w:hAnsi="Roboto" w:cs="Roboto"/>
          <w:sz w:val="20"/>
          <w:szCs w:val="20"/>
        </w:rPr>
      </w:pPr>
      <w:r>
        <w:rPr>
          <w:rFonts w:ascii="Roboto" w:eastAsia="Roboto" w:hAnsi="Roboto" w:cs="Roboto"/>
          <w:b/>
          <w:bCs/>
          <w:sz w:val="20"/>
          <w:szCs w:val="20"/>
        </w:rPr>
        <w:t>Figura 1</w:t>
      </w:r>
      <w:r>
        <w:rPr>
          <w:rFonts w:ascii="Roboto" w:eastAsia="Roboto" w:hAnsi="Roboto" w:cs="Roboto"/>
          <w:sz w:val="20"/>
          <w:szCs w:val="20"/>
        </w:rPr>
        <w:t xml:space="preserve">. </w:t>
      </w:r>
      <w:r w:rsidR="0079146F" w:rsidRPr="0079146F">
        <w:rPr>
          <w:rFonts w:ascii="Roboto" w:eastAsia="Roboto" w:hAnsi="Roboto" w:cs="Roboto"/>
          <w:sz w:val="20"/>
          <w:szCs w:val="20"/>
        </w:rPr>
        <w:t xml:space="preserve">Efecto de la inoculación con bacterias promotoras de crecimiento vegetal (PGPB) en plántulas de </w:t>
      </w:r>
      <w:r w:rsidR="0079146F" w:rsidRPr="0079146F">
        <w:rPr>
          <w:rFonts w:ascii="Roboto" w:eastAsia="Roboto" w:hAnsi="Roboto" w:cs="Roboto"/>
          <w:i/>
          <w:iCs/>
          <w:sz w:val="20"/>
          <w:szCs w:val="20"/>
        </w:rPr>
        <w:t>Citrullus lanatus</w:t>
      </w:r>
      <w:r w:rsidR="0079146F" w:rsidRPr="0079146F">
        <w:rPr>
          <w:rFonts w:ascii="Roboto" w:eastAsia="Roboto" w:hAnsi="Roboto" w:cs="Roboto"/>
          <w:sz w:val="20"/>
          <w:szCs w:val="20"/>
        </w:rPr>
        <w:t xml:space="preserve"> bajo condiciones controladas.</w:t>
      </w:r>
    </w:p>
    <w:p w14:paraId="73A443B8" w14:textId="77777777" w:rsidR="007179ED" w:rsidRDefault="007179ED">
      <w:pPr>
        <w:pBdr>
          <w:top w:val="nil"/>
          <w:left w:val="nil"/>
          <w:bottom w:val="nil"/>
          <w:right w:val="nil"/>
          <w:between w:val="nil"/>
        </w:pBdr>
        <w:jc w:val="both"/>
        <w:rPr>
          <w:rFonts w:ascii="Roboto" w:eastAsia="Roboto" w:hAnsi="Roboto" w:cs="Roboto"/>
          <w:color w:val="000000"/>
          <w:sz w:val="20"/>
          <w:szCs w:val="20"/>
        </w:rPr>
      </w:pPr>
    </w:p>
    <w:p w14:paraId="73D99D82" w14:textId="77777777" w:rsidR="00C36399" w:rsidRDefault="00C36399">
      <w:pPr>
        <w:jc w:val="both"/>
        <w:rPr>
          <w:rFonts w:ascii="Roboto" w:eastAsia="Roboto" w:hAnsi="Roboto" w:cs="Roboto"/>
          <w:b/>
          <w:bCs/>
          <w:sz w:val="20"/>
          <w:szCs w:val="20"/>
        </w:rPr>
      </w:pPr>
      <w:r w:rsidRPr="00C36399">
        <w:rPr>
          <w:rFonts w:ascii="Roboto" w:eastAsia="Roboto" w:hAnsi="Roboto" w:cs="Roboto"/>
          <w:b/>
          <w:bCs/>
          <w:sz w:val="20"/>
          <w:szCs w:val="20"/>
        </w:rPr>
        <w:t>CONCLUSIONES</w:t>
      </w:r>
    </w:p>
    <w:p w14:paraId="09305A14" w14:textId="619A0B65" w:rsidR="001057DF" w:rsidRPr="001057DF" w:rsidRDefault="001057DF" w:rsidP="001057DF">
      <w:pPr>
        <w:jc w:val="both"/>
        <w:rPr>
          <w:rFonts w:ascii="Roboto" w:eastAsia="Roboto" w:hAnsi="Roboto" w:cs="Roboto"/>
          <w:sz w:val="20"/>
          <w:szCs w:val="20"/>
        </w:rPr>
      </w:pPr>
      <w:r w:rsidRPr="001057DF">
        <w:rPr>
          <w:rFonts w:ascii="Roboto" w:eastAsia="Roboto" w:hAnsi="Roboto" w:cs="Roboto"/>
          <w:sz w:val="20"/>
          <w:szCs w:val="20"/>
        </w:rPr>
        <w:t xml:space="preserve">Las cepas bacterianas evaluadas demostraron un efecto promotor de crecimiento en plántulas de </w:t>
      </w:r>
      <w:r w:rsidRPr="00203250">
        <w:rPr>
          <w:rFonts w:ascii="Roboto" w:eastAsia="Roboto" w:hAnsi="Roboto" w:cs="Roboto"/>
          <w:i/>
          <w:iCs/>
          <w:sz w:val="20"/>
          <w:szCs w:val="20"/>
        </w:rPr>
        <w:t>C</w:t>
      </w:r>
      <w:r w:rsidR="00203250" w:rsidRPr="00203250">
        <w:rPr>
          <w:rFonts w:ascii="Roboto" w:eastAsia="Roboto" w:hAnsi="Roboto" w:cs="Roboto"/>
          <w:i/>
          <w:iCs/>
          <w:sz w:val="20"/>
          <w:szCs w:val="20"/>
        </w:rPr>
        <w:t>.</w:t>
      </w:r>
      <w:r w:rsidRPr="00203250">
        <w:rPr>
          <w:rFonts w:ascii="Roboto" w:eastAsia="Roboto" w:hAnsi="Roboto" w:cs="Roboto"/>
          <w:i/>
          <w:iCs/>
          <w:sz w:val="20"/>
          <w:szCs w:val="20"/>
        </w:rPr>
        <w:t xml:space="preserve"> lanatus</w:t>
      </w:r>
      <w:r w:rsidRPr="001057DF">
        <w:rPr>
          <w:rFonts w:ascii="Roboto" w:eastAsia="Roboto" w:hAnsi="Roboto" w:cs="Roboto"/>
          <w:sz w:val="20"/>
          <w:szCs w:val="20"/>
        </w:rPr>
        <w:t>, evidenciado por incrementos en variables morfológicas y biométricas en comparación con el grupo control. En particular, se observaron efectos diferenciados entre las cepas, donde M2D2O favoreció principalmente el crecimiento en longitud de la planta, mientras que M1D3C mostró un mayor impacto en variables asociadas a biomasa aérea y desarrollo radicular.</w:t>
      </w:r>
    </w:p>
    <w:p w14:paraId="50A91150" w14:textId="72110B3E" w:rsidR="00C36399" w:rsidRDefault="001057DF" w:rsidP="001057DF">
      <w:pPr>
        <w:jc w:val="both"/>
        <w:rPr>
          <w:rFonts w:ascii="Roboto" w:eastAsia="Roboto" w:hAnsi="Roboto" w:cs="Roboto"/>
          <w:sz w:val="20"/>
          <w:szCs w:val="20"/>
        </w:rPr>
      </w:pPr>
      <w:r w:rsidRPr="001057DF">
        <w:rPr>
          <w:rFonts w:ascii="Roboto" w:eastAsia="Roboto" w:hAnsi="Roboto" w:cs="Roboto"/>
          <w:sz w:val="20"/>
          <w:szCs w:val="20"/>
        </w:rPr>
        <w:t>Estos resultados, en conjunto con la caracterización funcional previa de las cepas, respaldan su potencial como bacterias promotoras de crecimiento vegetal. Asimismo, su uso representa una alternativa prometedora para la reducción del uso de agroquímicos, especialmente en suelos de baja fertilidad como los de la península de Yucatán.</w:t>
      </w:r>
    </w:p>
    <w:p w14:paraId="2CFD52A6" w14:textId="77777777" w:rsidR="001057DF" w:rsidRDefault="001057DF" w:rsidP="001057DF">
      <w:pPr>
        <w:jc w:val="both"/>
        <w:rPr>
          <w:rFonts w:ascii="Roboto" w:eastAsia="Roboto" w:hAnsi="Roboto" w:cs="Roboto"/>
          <w:sz w:val="20"/>
          <w:szCs w:val="20"/>
        </w:rPr>
      </w:pPr>
    </w:p>
    <w:p w14:paraId="72D4DD9A" w14:textId="754F02E5" w:rsidR="007179ED" w:rsidRDefault="00000000">
      <w:pPr>
        <w:jc w:val="both"/>
        <w:rPr>
          <w:rFonts w:ascii="Roboto" w:eastAsia="Roboto" w:hAnsi="Roboto" w:cs="Roboto"/>
          <w:b/>
          <w:bCs/>
          <w:sz w:val="20"/>
          <w:szCs w:val="20"/>
        </w:rPr>
      </w:pPr>
      <w:r>
        <w:rPr>
          <w:rFonts w:ascii="Roboto" w:eastAsia="Roboto" w:hAnsi="Roboto" w:cs="Roboto"/>
          <w:b/>
          <w:bCs/>
          <w:sz w:val="20"/>
          <w:szCs w:val="20"/>
        </w:rPr>
        <w:t>AGRADECIMIENTOS</w:t>
      </w:r>
    </w:p>
    <w:p w14:paraId="0439DA86" w14:textId="6ED38610" w:rsidR="007179ED" w:rsidRDefault="001057DF">
      <w:pPr>
        <w:jc w:val="both"/>
        <w:rPr>
          <w:rFonts w:ascii="Roboto" w:eastAsia="Roboto" w:hAnsi="Roboto" w:cs="Roboto"/>
          <w:sz w:val="20"/>
          <w:szCs w:val="20"/>
        </w:rPr>
      </w:pPr>
      <w:r w:rsidRPr="001057DF">
        <w:rPr>
          <w:rFonts w:ascii="Roboto" w:eastAsia="Roboto" w:hAnsi="Roboto" w:cs="Roboto"/>
          <w:sz w:val="20"/>
          <w:szCs w:val="20"/>
        </w:rPr>
        <w:t>Los autores agradecen a la Universidad Anáhuac Mayab y al Centro de Investigación Científica de Yucatán (CICY) por las facilidades otorgadas para el desarrollo de esta investigación. Asimismo, se reconoce el apoyo técnico del laboratorio y la participación de los estudiantes en las actividades experimentales.</w:t>
      </w:r>
    </w:p>
    <w:p w14:paraId="5D257928" w14:textId="77777777" w:rsidR="001057DF" w:rsidRDefault="001057DF">
      <w:pPr>
        <w:jc w:val="both"/>
        <w:rPr>
          <w:rFonts w:ascii="Roboto" w:eastAsia="Roboto" w:hAnsi="Roboto" w:cs="Roboto"/>
          <w:sz w:val="20"/>
          <w:szCs w:val="20"/>
        </w:rPr>
      </w:pPr>
    </w:p>
    <w:p w14:paraId="3A80F177" w14:textId="6F508DCD" w:rsidR="007179ED" w:rsidRDefault="00000000">
      <w:pPr>
        <w:jc w:val="both"/>
        <w:rPr>
          <w:rFonts w:ascii="Roboto" w:eastAsia="Roboto" w:hAnsi="Roboto" w:cs="Roboto"/>
          <w:b/>
          <w:bCs/>
          <w:sz w:val="20"/>
          <w:szCs w:val="20"/>
        </w:rPr>
      </w:pPr>
      <w:r>
        <w:rPr>
          <w:rFonts w:ascii="Roboto" w:eastAsia="Roboto" w:hAnsi="Roboto" w:cs="Roboto"/>
          <w:b/>
          <w:bCs/>
          <w:sz w:val="20"/>
          <w:szCs w:val="20"/>
        </w:rPr>
        <w:t>REFERENCIAS</w:t>
      </w:r>
    </w:p>
    <w:p w14:paraId="2F0B2C4B" w14:textId="6DB41707" w:rsidR="001057DF" w:rsidRPr="0079146F" w:rsidRDefault="0079146F" w:rsidP="0079146F">
      <w:pPr>
        <w:jc w:val="both"/>
        <w:rPr>
          <w:rFonts w:ascii="Roboto" w:eastAsia="Roboto" w:hAnsi="Roboto" w:cs="Roboto"/>
          <w:sz w:val="20"/>
          <w:szCs w:val="20"/>
        </w:rPr>
      </w:pPr>
      <w:r w:rsidRPr="0079146F">
        <w:rPr>
          <w:rFonts w:ascii="Roboto" w:eastAsia="Roboto" w:hAnsi="Roboto" w:cs="Roboto"/>
          <w:sz w:val="20"/>
          <w:szCs w:val="20"/>
        </w:rPr>
        <w:t>FAO. (2019).</w:t>
      </w:r>
      <w:r>
        <w:rPr>
          <w:rFonts w:ascii="Roboto" w:eastAsia="Roboto" w:hAnsi="Roboto" w:cs="Roboto"/>
          <w:sz w:val="20"/>
          <w:szCs w:val="20"/>
        </w:rPr>
        <w:t xml:space="preserve"> </w:t>
      </w:r>
      <w:r w:rsidRPr="0079146F">
        <w:rPr>
          <w:rFonts w:ascii="Roboto" w:eastAsia="Roboto" w:hAnsi="Roboto" w:cs="Roboto"/>
          <w:sz w:val="20"/>
          <w:szCs w:val="20"/>
        </w:rPr>
        <w:t>Integrated pest management and sustainable agriculture. Food and Agriculture Organization of the United Nations.</w:t>
      </w:r>
    </w:p>
    <w:p w14:paraId="1DED3448" w14:textId="028D0E66" w:rsidR="0079146F" w:rsidRPr="0079146F" w:rsidRDefault="0079146F" w:rsidP="0079146F">
      <w:pPr>
        <w:jc w:val="both"/>
        <w:rPr>
          <w:rFonts w:ascii="Roboto" w:eastAsia="Roboto" w:hAnsi="Roboto" w:cs="Roboto"/>
          <w:sz w:val="20"/>
          <w:szCs w:val="20"/>
        </w:rPr>
      </w:pPr>
      <w:r w:rsidRPr="0079146F">
        <w:rPr>
          <w:rFonts w:ascii="Roboto" w:eastAsia="Roboto" w:hAnsi="Roboto" w:cs="Roboto"/>
          <w:sz w:val="20"/>
          <w:szCs w:val="20"/>
        </w:rPr>
        <w:t>Vessey, J. K. (2003).</w:t>
      </w:r>
      <w:r>
        <w:rPr>
          <w:rFonts w:ascii="Roboto" w:eastAsia="Roboto" w:hAnsi="Roboto" w:cs="Roboto"/>
          <w:sz w:val="20"/>
          <w:szCs w:val="20"/>
        </w:rPr>
        <w:t xml:space="preserve"> </w:t>
      </w:r>
      <w:r w:rsidRPr="0079146F">
        <w:rPr>
          <w:rFonts w:ascii="Roboto" w:eastAsia="Roboto" w:hAnsi="Roboto" w:cs="Roboto"/>
          <w:sz w:val="20"/>
          <w:szCs w:val="20"/>
        </w:rPr>
        <w:t>Plant growth promoting rhizobacteria as biofertilizers. Plant and Soil, 255, 571–586.</w:t>
      </w:r>
    </w:p>
    <w:p w14:paraId="548F1FC0" w14:textId="30E4529E" w:rsidR="001057DF" w:rsidRPr="0079146F" w:rsidRDefault="001057DF" w:rsidP="0079146F">
      <w:pPr>
        <w:jc w:val="both"/>
        <w:rPr>
          <w:rFonts w:ascii="Roboto" w:eastAsia="Roboto" w:hAnsi="Roboto" w:cs="Roboto"/>
          <w:sz w:val="20"/>
          <w:szCs w:val="20"/>
        </w:rPr>
      </w:pPr>
      <w:hyperlink r:id="rId10" w:history="1">
        <w:r w:rsidRPr="0057497D">
          <w:rPr>
            <w:rStyle w:val="Hipervnculo"/>
            <w:rFonts w:ascii="Roboto" w:eastAsia="Roboto" w:hAnsi="Roboto" w:cs="Roboto"/>
            <w:sz w:val="20"/>
            <w:szCs w:val="20"/>
          </w:rPr>
          <w:t>https://doi.org/10.1023/A:1026037216893</w:t>
        </w:r>
      </w:hyperlink>
    </w:p>
    <w:p w14:paraId="7B04F68C" w14:textId="32175997" w:rsidR="0079146F" w:rsidRPr="0079146F" w:rsidRDefault="0079146F" w:rsidP="0079146F">
      <w:pPr>
        <w:jc w:val="both"/>
        <w:rPr>
          <w:rFonts w:ascii="Roboto" w:eastAsia="Roboto" w:hAnsi="Roboto" w:cs="Roboto"/>
          <w:sz w:val="20"/>
          <w:szCs w:val="20"/>
        </w:rPr>
      </w:pPr>
      <w:r w:rsidRPr="0079146F">
        <w:rPr>
          <w:rFonts w:ascii="Roboto" w:eastAsia="Roboto" w:hAnsi="Roboto" w:cs="Roboto"/>
          <w:sz w:val="20"/>
          <w:szCs w:val="20"/>
        </w:rPr>
        <w:t>Timofeeva, A. M., Galyamova, M. R., &amp; Sedykh, S. E. (2024).</w:t>
      </w:r>
      <w:r>
        <w:rPr>
          <w:rFonts w:ascii="Roboto" w:eastAsia="Roboto" w:hAnsi="Roboto" w:cs="Roboto"/>
          <w:sz w:val="20"/>
          <w:szCs w:val="20"/>
        </w:rPr>
        <w:t xml:space="preserve"> </w:t>
      </w:r>
      <w:r w:rsidRPr="0079146F">
        <w:rPr>
          <w:rFonts w:ascii="Roboto" w:eastAsia="Roboto" w:hAnsi="Roboto" w:cs="Roboto"/>
          <w:sz w:val="20"/>
          <w:szCs w:val="20"/>
        </w:rPr>
        <w:t>How do plant growth-promoting bacteria use plant hormones to regulate stress reactions? Plants, 13(17), 2371.</w:t>
      </w:r>
    </w:p>
    <w:p w14:paraId="309F9E54" w14:textId="0873577E" w:rsidR="007179ED" w:rsidRDefault="0079146F" w:rsidP="0079146F">
      <w:pPr>
        <w:jc w:val="both"/>
        <w:rPr>
          <w:rFonts w:ascii="Roboto" w:eastAsia="Roboto" w:hAnsi="Roboto" w:cs="Roboto"/>
          <w:sz w:val="20"/>
          <w:szCs w:val="20"/>
        </w:rPr>
      </w:pPr>
      <w:r w:rsidRPr="0079146F">
        <w:rPr>
          <w:rFonts w:ascii="Roboto" w:eastAsia="Roboto" w:hAnsi="Roboto" w:cs="Roboto"/>
          <w:sz w:val="20"/>
          <w:szCs w:val="20"/>
        </w:rPr>
        <w:t>https://doi.org/10.3390/plants13172371</w:t>
      </w:r>
    </w:p>
    <w:p w14:paraId="7689D72D" w14:textId="77777777" w:rsidR="007179ED" w:rsidRDefault="007179ED">
      <w:pPr>
        <w:jc w:val="both"/>
        <w:rPr>
          <w:rFonts w:ascii="Roboto" w:eastAsia="Roboto" w:hAnsi="Roboto" w:cs="Roboto"/>
          <w:sz w:val="20"/>
          <w:szCs w:val="20"/>
        </w:rPr>
        <w:sectPr w:rsidR="007179ED">
          <w:type w:val="continuous"/>
          <w:pgSz w:w="11906" w:h="16838"/>
          <w:pgMar w:top="1134" w:right="851" w:bottom="1134" w:left="851" w:header="357" w:footer="720" w:gutter="0"/>
          <w:cols w:num="2" w:space="720" w:equalWidth="0">
            <w:col w:w="4934" w:space="335"/>
            <w:col w:w="4934" w:space="0"/>
          </w:cols>
        </w:sectPr>
      </w:pPr>
    </w:p>
    <w:p w14:paraId="2110D14F" w14:textId="77777777" w:rsidR="007179ED"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1D3A9633" w14:textId="77777777" w:rsidR="007179ED"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6BA0D57A" w14:textId="77777777" w:rsidR="007179ED"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142A96F2"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40ED6B80" w14:textId="77777777" w:rsidR="007179E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6F41E012"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4D3DF2D2" w14:textId="77777777" w:rsidR="007179E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5C994BDD"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00003482" w14:textId="77777777" w:rsidR="007179E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22EAFCD3"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2BF1FAD4" w14:textId="77777777" w:rsidR="007179ED"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7D3065E9" w14:textId="77777777" w:rsidR="007179ED"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44C2A61D" w14:textId="77777777" w:rsidR="007179ED"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7A6B73C8" w14:textId="77777777" w:rsidR="007179ED"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0745CA47" w14:textId="77777777" w:rsidR="007179E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1B6DBA9F"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5B9D1B69" w14:textId="77777777" w:rsidR="007179ED"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35316715" w14:textId="77777777" w:rsidR="007179ED"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434C6599" w14:textId="77777777" w:rsidR="007179ED"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64E277AB" w14:textId="77777777" w:rsidR="007179E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5F15DA33"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6460B2C3" w14:textId="77777777" w:rsidR="007179ED"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6CB6D3AE"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3CE3A92E" w14:textId="77777777" w:rsidR="007179ED" w:rsidRDefault="00000000">
      <w:pPr>
        <w:spacing w:before="240" w:after="240"/>
        <w:jc w:val="both"/>
        <w:rPr>
          <w:rFonts w:ascii="Roboto" w:eastAsia="Roboto" w:hAnsi="Roboto" w:cs="Roboto"/>
          <w:sz w:val="20"/>
          <w:szCs w:val="20"/>
        </w:rPr>
      </w:pPr>
      <w:r>
        <w:rPr>
          <w:rFonts w:ascii="Roboto" w:eastAsia="Roboto" w:hAnsi="Roboto" w:cs="Roboto"/>
          <w:sz w:val="20"/>
          <w:szCs w:val="20"/>
        </w:rPr>
        <w:t>(  Marque con X  )  Declaro que he leído y acepto los términos de esta declaración y autorización de publicación.</w:t>
      </w:r>
    </w:p>
    <w:p w14:paraId="04DE2401" w14:textId="77777777" w:rsidR="007179ED" w:rsidRDefault="00000000">
      <w:pPr>
        <w:spacing w:before="240" w:after="240"/>
        <w:jc w:val="both"/>
        <w:rPr>
          <w:rFonts w:ascii="Roboto" w:eastAsia="Roboto" w:hAnsi="Roboto" w:cs="Roboto"/>
          <w:sz w:val="20"/>
          <w:szCs w:val="20"/>
        </w:rPr>
      </w:pPr>
      <w:r>
        <w:rPr>
          <w:rFonts w:ascii="Roboto" w:eastAsia="Roboto" w:hAnsi="Roboto" w:cs="Roboto"/>
          <w:b/>
          <w:bCs/>
          <w:sz w:val="20"/>
          <w:szCs w:val="20"/>
        </w:rPr>
        <w:lastRenderedPageBreak/>
        <w:t>Autor responsable:</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p>
    <w:sectPr w:rsidR="007179ED">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A9907F" w14:textId="77777777" w:rsidR="00582818" w:rsidRDefault="00582818">
      <w:r>
        <w:separator/>
      </w:r>
    </w:p>
  </w:endnote>
  <w:endnote w:type="continuationSeparator" w:id="0">
    <w:p w14:paraId="38280A4D" w14:textId="77777777" w:rsidR="00582818" w:rsidRDefault="005828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68EF2E02-367B-7246-912D-D964EE5EEDE7}"/>
    <w:embedBold r:id="rId2" w:fontKey="{01902E63-7098-F94C-85CD-517DD3256331}"/>
    <w:embedItalic r:id="rId3" w:fontKey="{48465164-D3A4-0141-B8AA-13E55AE289C2}"/>
  </w:font>
  <w:font w:name="Calibri">
    <w:panose1 w:val="020F0502020204030204"/>
    <w:charset w:val="00"/>
    <w:family w:val="swiss"/>
    <w:pitch w:val="variable"/>
    <w:sig w:usb0="E0002AFF" w:usb1="C000247B" w:usb2="00000009" w:usb3="00000000" w:csb0="000001FF" w:csb1="00000000"/>
    <w:embedRegular r:id="rId4" w:fontKey="{68E5BC2C-B288-1847-9035-EECBDE288ED2}"/>
  </w:font>
  <w:font w:name="Georgia">
    <w:panose1 w:val="02040502050405020303"/>
    <w:charset w:val="00"/>
    <w:family w:val="roman"/>
    <w:pitch w:val="variable"/>
    <w:sig w:usb0="00000287" w:usb1="00000000" w:usb2="00000000" w:usb3="00000000" w:csb0="0000009F" w:csb1="00000000"/>
    <w:embedItalic r:id="rId5" w:fontKey="{D167565D-B597-4F49-B127-81EFBA60C5D1}"/>
  </w:font>
  <w:font w:name="Arial">
    <w:panose1 w:val="020B0604020202020204"/>
    <w:charset w:val="00"/>
    <w:family w:val="swiss"/>
    <w:pitch w:val="variable"/>
    <w:sig w:usb0="E0002AFF" w:usb1="C0007843" w:usb2="00000009" w:usb3="00000000" w:csb0="000001FF" w:csb1="00000000"/>
    <w:embedRegular r:id="rId6" w:fontKey="{60CC4F23-8C99-2347-BAAA-DBE1DA681EA0}"/>
  </w:font>
  <w:font w:name="Roboto">
    <w:panose1 w:val="02000000000000000000"/>
    <w:charset w:val="00"/>
    <w:family w:val="auto"/>
    <w:pitch w:val="variable"/>
    <w:sig w:usb0="E0000AFF" w:usb1="5000217F" w:usb2="00000021" w:usb3="00000000" w:csb0="0000019F" w:csb1="00000000"/>
    <w:embedRegular r:id="rId7" w:fontKey="{96B80B28-FB76-274A-B7FC-2E2181CDD456}"/>
    <w:embedBold r:id="rId8" w:fontKey="{08718A1E-D568-0146-BA3D-AB595BC6A7ED}"/>
    <w:embedItalic r:id="rId9" w:fontKey="{B9802CB7-9AB6-8B4D-9360-106DD944620C}"/>
  </w:font>
  <w:font w:name="Calibri Light">
    <w:panose1 w:val="020F0302020204030204"/>
    <w:charset w:val="00"/>
    <w:family w:val="swiss"/>
    <w:pitch w:val="variable"/>
    <w:sig w:usb0="E0002AFF" w:usb1="C000247B" w:usb2="00000009" w:usb3="00000000" w:csb0="000001FF" w:csb1="00000000"/>
    <w:embedRegular r:id="rId10" w:fontKey="{BD641A61-8361-CE44-9887-FC81DF9886D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0B1A84" w14:textId="77777777" w:rsidR="00582818" w:rsidRDefault="00582818">
      <w:r>
        <w:separator/>
      </w:r>
    </w:p>
  </w:footnote>
  <w:footnote w:type="continuationSeparator" w:id="0">
    <w:p w14:paraId="4F61FE15" w14:textId="77777777" w:rsidR="00582818" w:rsidRDefault="005828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E503A" w14:textId="77777777" w:rsidR="007179ED" w:rsidRDefault="007179ED">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7179ED" w14:paraId="620718FE" w14:textId="77777777">
      <w:trPr>
        <w:trHeight w:val="345"/>
        <w:jc w:val="center"/>
      </w:trPr>
      <w:tc>
        <w:tcPr>
          <w:tcW w:w="6306" w:type="dxa"/>
          <w:vAlign w:val="center"/>
        </w:tcPr>
        <w:p w14:paraId="59D8822F" w14:textId="77777777" w:rsidR="007179ED" w:rsidRDefault="007179ED">
          <w:pPr>
            <w:jc w:val="center"/>
            <w:rPr>
              <w:i/>
              <w:iCs/>
              <w:sz w:val="18"/>
              <w:szCs w:val="18"/>
            </w:rPr>
          </w:pPr>
        </w:p>
      </w:tc>
    </w:tr>
  </w:tbl>
  <w:p w14:paraId="4556B2E5" w14:textId="77777777" w:rsidR="007179ED" w:rsidRDefault="007179ED">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482D34"/>
    <w:multiLevelType w:val="multilevel"/>
    <w:tmpl w:val="C34491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B6C2802"/>
    <w:multiLevelType w:val="multilevel"/>
    <w:tmpl w:val="2B5CF1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481116421">
    <w:abstractNumId w:val="1"/>
  </w:num>
  <w:num w:numId="2" w16cid:durableId="11430860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5"/>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79ED"/>
    <w:rsid w:val="001057DF"/>
    <w:rsid w:val="001F554D"/>
    <w:rsid w:val="00203250"/>
    <w:rsid w:val="003D48E6"/>
    <w:rsid w:val="003E0A86"/>
    <w:rsid w:val="005154C7"/>
    <w:rsid w:val="00582818"/>
    <w:rsid w:val="007179ED"/>
    <w:rsid w:val="0079146F"/>
    <w:rsid w:val="0086438A"/>
    <w:rsid w:val="00C36399"/>
    <w:rsid w:val="00C8092D"/>
    <w:rsid w:val="00C95A3C"/>
    <w:rsid w:val="00CD494A"/>
    <w:rsid w:val="00E73BA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24C607"/>
  <w15:docId w15:val="{A486AC54-6C4F-2846-ADF1-26F68D830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customStyle="1" w:styleId="p1">
    <w:name w:val="p1"/>
    <w:basedOn w:val="Normal"/>
    <w:rsid w:val="00C36399"/>
    <w:rPr>
      <w:rFonts w:ascii="Arial" w:hAnsi="Arial" w:cs="Arial"/>
      <w:color w:val="000000"/>
      <w:sz w:val="17"/>
      <w:szCs w:val="17"/>
    </w:rPr>
  </w:style>
  <w:style w:type="paragraph" w:customStyle="1" w:styleId="p2">
    <w:name w:val="p2"/>
    <w:basedOn w:val="Normal"/>
    <w:rsid w:val="00C36399"/>
    <w:rPr>
      <w:rFonts w:ascii="Arial" w:hAnsi="Arial" w:cs="Arial"/>
      <w:color w:val="103BC0"/>
      <w:sz w:val="17"/>
      <w:szCs w:val="17"/>
    </w:rPr>
  </w:style>
  <w:style w:type="character" w:customStyle="1" w:styleId="s1">
    <w:name w:val="s1"/>
    <w:basedOn w:val="Fuentedeprrafopredeter"/>
    <w:rsid w:val="00C36399"/>
    <w:rPr>
      <w:rFonts w:ascii="Arial" w:hAnsi="Arial" w:cs="Arial" w:hint="default"/>
      <w:sz w:val="11"/>
      <w:szCs w:val="11"/>
    </w:rPr>
  </w:style>
  <w:style w:type="character" w:customStyle="1" w:styleId="s2">
    <w:name w:val="s2"/>
    <w:basedOn w:val="Fuentedeprrafopredeter"/>
    <w:rsid w:val="00C36399"/>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641953">
      <w:bodyDiv w:val="1"/>
      <w:marLeft w:val="0"/>
      <w:marRight w:val="0"/>
      <w:marTop w:val="0"/>
      <w:marBottom w:val="0"/>
      <w:divBdr>
        <w:top w:val="none" w:sz="0" w:space="0" w:color="auto"/>
        <w:left w:val="none" w:sz="0" w:space="0" w:color="auto"/>
        <w:bottom w:val="none" w:sz="0" w:space="0" w:color="auto"/>
        <w:right w:val="none" w:sz="0" w:space="0" w:color="auto"/>
      </w:divBdr>
    </w:div>
    <w:div w:id="229115910">
      <w:bodyDiv w:val="1"/>
      <w:marLeft w:val="0"/>
      <w:marRight w:val="0"/>
      <w:marTop w:val="0"/>
      <w:marBottom w:val="0"/>
      <w:divBdr>
        <w:top w:val="none" w:sz="0" w:space="0" w:color="auto"/>
        <w:left w:val="none" w:sz="0" w:space="0" w:color="auto"/>
        <w:bottom w:val="none" w:sz="0" w:space="0" w:color="auto"/>
        <w:right w:val="none" w:sz="0" w:space="0" w:color="auto"/>
      </w:divBdr>
    </w:div>
    <w:div w:id="407271871">
      <w:bodyDiv w:val="1"/>
      <w:marLeft w:val="0"/>
      <w:marRight w:val="0"/>
      <w:marTop w:val="0"/>
      <w:marBottom w:val="0"/>
      <w:divBdr>
        <w:top w:val="none" w:sz="0" w:space="0" w:color="auto"/>
        <w:left w:val="none" w:sz="0" w:space="0" w:color="auto"/>
        <w:bottom w:val="none" w:sz="0" w:space="0" w:color="auto"/>
        <w:right w:val="none" w:sz="0" w:space="0" w:color="auto"/>
      </w:divBdr>
    </w:div>
    <w:div w:id="657197669">
      <w:bodyDiv w:val="1"/>
      <w:marLeft w:val="0"/>
      <w:marRight w:val="0"/>
      <w:marTop w:val="0"/>
      <w:marBottom w:val="0"/>
      <w:divBdr>
        <w:top w:val="none" w:sz="0" w:space="0" w:color="auto"/>
        <w:left w:val="none" w:sz="0" w:space="0" w:color="auto"/>
        <w:bottom w:val="none" w:sz="0" w:space="0" w:color="auto"/>
        <w:right w:val="none" w:sz="0" w:space="0" w:color="auto"/>
      </w:divBdr>
    </w:div>
    <w:div w:id="776143789">
      <w:bodyDiv w:val="1"/>
      <w:marLeft w:val="0"/>
      <w:marRight w:val="0"/>
      <w:marTop w:val="0"/>
      <w:marBottom w:val="0"/>
      <w:divBdr>
        <w:top w:val="none" w:sz="0" w:space="0" w:color="auto"/>
        <w:left w:val="none" w:sz="0" w:space="0" w:color="auto"/>
        <w:bottom w:val="none" w:sz="0" w:space="0" w:color="auto"/>
        <w:right w:val="none" w:sz="0" w:space="0" w:color="auto"/>
      </w:divBdr>
    </w:div>
    <w:div w:id="1193689146">
      <w:bodyDiv w:val="1"/>
      <w:marLeft w:val="0"/>
      <w:marRight w:val="0"/>
      <w:marTop w:val="0"/>
      <w:marBottom w:val="0"/>
      <w:divBdr>
        <w:top w:val="none" w:sz="0" w:space="0" w:color="auto"/>
        <w:left w:val="none" w:sz="0" w:space="0" w:color="auto"/>
        <w:bottom w:val="none" w:sz="0" w:space="0" w:color="auto"/>
        <w:right w:val="none" w:sz="0" w:space="0" w:color="auto"/>
      </w:divBdr>
    </w:div>
    <w:div w:id="1249734926">
      <w:bodyDiv w:val="1"/>
      <w:marLeft w:val="0"/>
      <w:marRight w:val="0"/>
      <w:marTop w:val="0"/>
      <w:marBottom w:val="0"/>
      <w:divBdr>
        <w:top w:val="none" w:sz="0" w:space="0" w:color="auto"/>
        <w:left w:val="none" w:sz="0" w:space="0" w:color="auto"/>
        <w:bottom w:val="none" w:sz="0" w:space="0" w:color="auto"/>
        <w:right w:val="none" w:sz="0" w:space="0" w:color="auto"/>
      </w:divBdr>
    </w:div>
    <w:div w:id="1465074669">
      <w:bodyDiv w:val="1"/>
      <w:marLeft w:val="0"/>
      <w:marRight w:val="0"/>
      <w:marTop w:val="0"/>
      <w:marBottom w:val="0"/>
      <w:divBdr>
        <w:top w:val="none" w:sz="0" w:space="0" w:color="auto"/>
        <w:left w:val="none" w:sz="0" w:space="0" w:color="auto"/>
        <w:bottom w:val="none" w:sz="0" w:space="0" w:color="auto"/>
        <w:right w:val="none" w:sz="0" w:space="0" w:color="auto"/>
      </w:divBdr>
    </w:div>
    <w:div w:id="1832720864">
      <w:bodyDiv w:val="1"/>
      <w:marLeft w:val="0"/>
      <w:marRight w:val="0"/>
      <w:marTop w:val="0"/>
      <w:marBottom w:val="0"/>
      <w:divBdr>
        <w:top w:val="none" w:sz="0" w:space="0" w:color="auto"/>
        <w:left w:val="none" w:sz="0" w:space="0" w:color="auto"/>
        <w:bottom w:val="none" w:sz="0" w:space="0" w:color="auto"/>
        <w:right w:val="none" w:sz="0" w:space="0" w:color="auto"/>
      </w:divBdr>
    </w:div>
    <w:div w:id="1909921236">
      <w:bodyDiv w:val="1"/>
      <w:marLeft w:val="0"/>
      <w:marRight w:val="0"/>
      <w:marTop w:val="0"/>
      <w:marBottom w:val="0"/>
      <w:divBdr>
        <w:top w:val="none" w:sz="0" w:space="0" w:color="auto"/>
        <w:left w:val="none" w:sz="0" w:space="0" w:color="auto"/>
        <w:bottom w:val="none" w:sz="0" w:space="0" w:color="auto"/>
        <w:right w:val="none" w:sz="0" w:space="0" w:color="auto"/>
      </w:divBdr>
    </w:div>
    <w:div w:id="1952588110">
      <w:bodyDiv w:val="1"/>
      <w:marLeft w:val="0"/>
      <w:marRight w:val="0"/>
      <w:marTop w:val="0"/>
      <w:marBottom w:val="0"/>
      <w:divBdr>
        <w:top w:val="none" w:sz="0" w:space="0" w:color="auto"/>
        <w:left w:val="none" w:sz="0" w:space="0" w:color="auto"/>
        <w:bottom w:val="none" w:sz="0" w:space="0" w:color="auto"/>
        <w:right w:val="none" w:sz="0" w:space="0" w:color="auto"/>
      </w:divBdr>
    </w:div>
    <w:div w:id="1967545362">
      <w:bodyDiv w:val="1"/>
      <w:marLeft w:val="0"/>
      <w:marRight w:val="0"/>
      <w:marTop w:val="0"/>
      <w:marBottom w:val="0"/>
      <w:divBdr>
        <w:top w:val="none" w:sz="0" w:space="0" w:color="auto"/>
        <w:left w:val="none" w:sz="0" w:space="0" w:color="auto"/>
        <w:bottom w:val="none" w:sz="0" w:space="0" w:color="auto"/>
        <w:right w:val="none" w:sz="0" w:space="0" w:color="auto"/>
      </w:divBdr>
    </w:div>
    <w:div w:id="19980711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org/10.1023/A:1026037216893" TargetMode="External"/><Relationship Id="rId4" Type="http://schemas.openxmlformats.org/officeDocument/2006/relationships/settings" Target="setting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4</Pages>
  <Words>1445</Words>
  <Characters>7951</Characters>
  <Application>Microsoft Office Word</Application>
  <DocSecurity>0</DocSecurity>
  <Lines>66</Lines>
  <Paragraphs>18</Paragraphs>
  <ScaleCrop>false</ScaleCrop>
  <Company/>
  <LinksUpToDate>false</LinksUpToDate>
  <CharactersWithSpaces>9378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Isabel García Cámara</cp:lastModifiedBy>
  <cp:revision>8</cp:revision>
  <dcterms:created xsi:type="dcterms:W3CDTF">2026-03-19T23:46:00Z</dcterms:created>
  <dcterms:modified xsi:type="dcterms:W3CDTF">2026-03-31T16:34:00Z</dcterms:modified>
</cp:coreProperties>
</file>