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1A82DB" w14:textId="77777777" w:rsidR="00274B42" w:rsidRDefault="00274B42" w:rsidP="00C36399">
      <w:pPr>
        <w:pBdr>
          <w:top w:val="nil"/>
          <w:left w:val="nil"/>
          <w:bottom w:val="nil"/>
          <w:right w:val="nil"/>
          <w:between w:val="nil"/>
        </w:pBdr>
        <w:spacing w:before="120" w:after="120"/>
        <w:jc w:val="center"/>
        <w:rPr>
          <w:rFonts w:ascii="Roboto" w:eastAsia="Roboto" w:hAnsi="Roboto" w:cs="Roboto"/>
          <w:b/>
          <w:bCs/>
          <w:color w:val="000000"/>
        </w:rPr>
      </w:pPr>
      <w:r w:rsidRPr="00274B42">
        <w:rPr>
          <w:rFonts w:ascii="Roboto" w:eastAsia="Roboto" w:hAnsi="Roboto" w:cs="Roboto"/>
          <w:b/>
          <w:bCs/>
          <w:color w:val="000000"/>
        </w:rPr>
        <w:t xml:space="preserve">Identificación molecular y diversidad de bacterias promotoras de crecimiento vegetal asociadas a la rizósfera de </w:t>
      </w:r>
      <w:r w:rsidRPr="00274B42">
        <w:rPr>
          <w:rFonts w:ascii="Roboto" w:eastAsia="Roboto" w:hAnsi="Roboto" w:cs="Roboto"/>
          <w:b/>
          <w:bCs/>
          <w:i/>
          <w:iCs/>
          <w:color w:val="000000"/>
        </w:rPr>
        <w:t>Citrus latifolia</w:t>
      </w:r>
    </w:p>
    <w:p w14:paraId="1C9C662C" w14:textId="0DECBFA7" w:rsidR="00C36399" w:rsidRPr="00C36399" w:rsidRDefault="00C36399" w:rsidP="00C36399">
      <w:pPr>
        <w:pBdr>
          <w:top w:val="nil"/>
          <w:left w:val="nil"/>
          <w:bottom w:val="nil"/>
          <w:right w:val="nil"/>
          <w:between w:val="nil"/>
        </w:pBdr>
        <w:spacing w:before="120" w:after="120"/>
        <w:jc w:val="center"/>
        <w:rPr>
          <w:rFonts w:ascii="Roboto" w:eastAsia="Roboto" w:hAnsi="Roboto" w:cs="Roboto"/>
          <w:b/>
          <w:bCs/>
          <w:color w:val="000000"/>
          <w:sz w:val="20"/>
          <w:szCs w:val="20"/>
        </w:rPr>
      </w:pPr>
      <w:r w:rsidRPr="00C36399">
        <w:rPr>
          <w:rFonts w:ascii="Roboto" w:eastAsia="Roboto" w:hAnsi="Roboto" w:cs="Roboto"/>
          <w:b/>
          <w:bCs/>
          <w:color w:val="000000"/>
          <w:sz w:val="20"/>
          <w:szCs w:val="20"/>
        </w:rPr>
        <w:t>Romero-Ávila M.¹, Hernández-Cruz X.¹, Cortés-Velázquez A.², Nexticapan-Garcéz A.², Pijeira-Fernández G.</w:t>
      </w:r>
      <w:r w:rsidR="00CF0F6D" w:rsidRPr="00C36399">
        <w:rPr>
          <w:rFonts w:ascii="Roboto" w:eastAsia="Roboto" w:hAnsi="Roboto" w:cs="Roboto"/>
          <w:b/>
          <w:bCs/>
          <w:color w:val="000000"/>
          <w:sz w:val="20"/>
          <w:szCs w:val="20"/>
        </w:rPr>
        <w:t>²</w:t>
      </w:r>
      <w:r w:rsidRPr="00C36399">
        <w:rPr>
          <w:rFonts w:ascii="Roboto" w:eastAsia="Roboto" w:hAnsi="Roboto" w:cs="Roboto"/>
          <w:b/>
          <w:bCs/>
          <w:color w:val="000000"/>
          <w:sz w:val="20"/>
          <w:szCs w:val="20"/>
        </w:rPr>
        <w:t>, Magaña-Álvarez A.², Tec-Sánchez J.A.¹</w:t>
      </w:r>
      <w:r w:rsidR="00F204F0">
        <w:rPr>
          <w:rFonts w:ascii="Roboto" w:eastAsia="Roboto" w:hAnsi="Roboto" w:cs="Roboto"/>
          <w:b/>
          <w:bCs/>
          <w:color w:val="000000"/>
          <w:sz w:val="20"/>
          <w:szCs w:val="20"/>
        </w:rPr>
        <w:t xml:space="preserve">, </w:t>
      </w:r>
      <w:r w:rsidR="00F204F0" w:rsidRPr="00C36399">
        <w:rPr>
          <w:rFonts w:ascii="Roboto" w:eastAsia="Roboto" w:hAnsi="Roboto" w:cs="Roboto"/>
          <w:b/>
          <w:bCs/>
          <w:color w:val="000000"/>
          <w:sz w:val="20"/>
          <w:szCs w:val="20"/>
        </w:rPr>
        <w:t>García-Cámara I.¹</w:t>
      </w:r>
      <w:r w:rsidR="00F204F0">
        <w:rPr>
          <w:rFonts w:ascii="Roboto" w:eastAsia="Roboto" w:hAnsi="Roboto" w:cs="Roboto"/>
          <w:b/>
          <w:bCs/>
          <w:color w:val="000000"/>
          <w:sz w:val="20"/>
          <w:szCs w:val="20"/>
        </w:rPr>
        <w:t>*</w:t>
      </w:r>
      <w:r w:rsidRPr="00C36399">
        <w:rPr>
          <w:rFonts w:ascii="Roboto" w:eastAsia="Roboto" w:hAnsi="Roboto" w:cs="Roboto"/>
          <w:b/>
          <w:bCs/>
          <w:color w:val="000000"/>
          <w:sz w:val="20"/>
          <w:szCs w:val="20"/>
        </w:rPr>
        <w:t xml:space="preserve"> </w:t>
      </w:r>
    </w:p>
    <w:p w14:paraId="6FB7336B" w14:textId="28A0748E" w:rsidR="00274B42" w:rsidRPr="00C36399" w:rsidRDefault="00274B42" w:rsidP="00274B42">
      <w:pPr>
        <w:pBdr>
          <w:top w:val="nil"/>
          <w:left w:val="nil"/>
          <w:bottom w:val="nil"/>
          <w:right w:val="nil"/>
          <w:between w:val="nil"/>
        </w:pBdr>
        <w:spacing w:before="120" w:after="120"/>
        <w:jc w:val="center"/>
        <w:rPr>
          <w:rFonts w:ascii="Roboto" w:eastAsia="Roboto" w:hAnsi="Roboto" w:cs="Roboto"/>
          <w:b/>
          <w:bCs/>
          <w:color w:val="000000"/>
          <w:sz w:val="20"/>
          <w:szCs w:val="20"/>
        </w:rPr>
      </w:pPr>
      <w:r w:rsidRPr="00C36399">
        <w:rPr>
          <w:rFonts w:ascii="Roboto" w:eastAsia="Roboto" w:hAnsi="Roboto" w:cs="Roboto"/>
          <w:b/>
          <w:bCs/>
          <w:color w:val="000000"/>
          <w:sz w:val="20"/>
          <w:szCs w:val="20"/>
        </w:rPr>
        <w:t>¹Universidad Anáhuac Mayab</w:t>
      </w:r>
      <w:r>
        <w:rPr>
          <w:rFonts w:ascii="Roboto" w:eastAsia="Roboto" w:hAnsi="Roboto" w:cs="Roboto"/>
          <w:b/>
          <w:bCs/>
          <w:color w:val="000000"/>
          <w:sz w:val="20"/>
          <w:szCs w:val="20"/>
        </w:rPr>
        <w:t xml:space="preserve">, ORCID </w:t>
      </w:r>
      <w:r w:rsidRPr="0079146F">
        <w:rPr>
          <w:rFonts w:ascii="Roboto" w:eastAsia="Roboto" w:hAnsi="Roboto" w:cs="Roboto"/>
          <w:b/>
          <w:bCs/>
          <w:color w:val="000000"/>
          <w:sz w:val="20"/>
          <w:szCs w:val="20"/>
        </w:rPr>
        <w:t>0000-0002-6986-4814</w:t>
      </w:r>
    </w:p>
    <w:p w14:paraId="623C79AB" w14:textId="77777777" w:rsidR="00274B42" w:rsidRPr="00C36399" w:rsidRDefault="00274B42" w:rsidP="00274B42">
      <w:pPr>
        <w:pBdr>
          <w:top w:val="nil"/>
          <w:left w:val="nil"/>
          <w:bottom w:val="nil"/>
          <w:right w:val="nil"/>
          <w:between w:val="nil"/>
        </w:pBdr>
        <w:spacing w:before="120" w:after="120"/>
        <w:jc w:val="center"/>
        <w:rPr>
          <w:rFonts w:ascii="Roboto" w:eastAsia="Roboto" w:hAnsi="Roboto" w:cs="Roboto"/>
          <w:b/>
          <w:bCs/>
          <w:color w:val="000000"/>
          <w:sz w:val="20"/>
          <w:szCs w:val="20"/>
        </w:rPr>
      </w:pPr>
      <w:r w:rsidRPr="00C36399">
        <w:rPr>
          <w:rFonts w:ascii="Roboto" w:eastAsia="Roboto" w:hAnsi="Roboto" w:cs="Roboto"/>
          <w:b/>
          <w:bCs/>
          <w:color w:val="000000"/>
          <w:sz w:val="20"/>
          <w:szCs w:val="20"/>
        </w:rPr>
        <w:t>²Centro de Investigación Científica de Yucatán A.C.</w:t>
      </w:r>
      <w:r>
        <w:rPr>
          <w:rFonts w:ascii="Roboto" w:eastAsia="Roboto" w:hAnsi="Roboto" w:cs="Roboto"/>
          <w:b/>
          <w:bCs/>
          <w:color w:val="000000"/>
          <w:sz w:val="20"/>
          <w:szCs w:val="20"/>
        </w:rPr>
        <w:t xml:space="preserve">, ORCID </w:t>
      </w:r>
      <w:r w:rsidRPr="0079146F">
        <w:rPr>
          <w:rFonts w:ascii="Roboto" w:eastAsia="Roboto" w:hAnsi="Roboto" w:cs="Roboto"/>
          <w:b/>
          <w:bCs/>
          <w:color w:val="000000"/>
          <w:sz w:val="20"/>
          <w:szCs w:val="20"/>
        </w:rPr>
        <w:t>0000-0001-5207-9281</w:t>
      </w:r>
    </w:p>
    <w:p w14:paraId="0A11CE10" w14:textId="77777777" w:rsidR="007179ED" w:rsidRDefault="00513D3E">
      <w:pPr>
        <w:spacing w:before="60"/>
        <w:jc w:val="center"/>
        <w:rPr>
          <w:rFonts w:ascii="Roboto" w:eastAsia="Roboto" w:hAnsi="Roboto" w:cs="Roboto"/>
          <w:sz w:val="18"/>
          <w:szCs w:val="18"/>
        </w:rPr>
        <w:sectPr w:rsidR="007179ED">
          <w:headerReference w:type="default" r:id="rId8"/>
          <w:pgSz w:w="11906" w:h="16838"/>
          <w:pgMar w:top="851" w:right="851" w:bottom="828" w:left="851" w:header="357" w:footer="720" w:gutter="0"/>
          <w:pgNumType w:start="1"/>
          <w:cols w:space="720"/>
        </w:sectPr>
      </w:pPr>
      <w:r>
        <w:rPr>
          <w:noProof/>
        </w:rPr>
        <w:pict w14:anchorId="5917E91E">
          <v:rect id="_x0000_i1025" alt="" style="width:441.9pt;height:.05pt;mso-width-percent:0;mso-height-percent:0;mso-width-percent:0;mso-height-percent:0" o:hralign="center" o:hrstd="t" o:hr="t" fillcolor="#a0a0a0" stroked="f"/>
        </w:pict>
      </w:r>
    </w:p>
    <w:p w14:paraId="03E6B0C9" w14:textId="77777777" w:rsidR="00C36399" w:rsidRPr="00C36399" w:rsidRDefault="00C36399" w:rsidP="00C36399">
      <w:pPr>
        <w:pBdr>
          <w:top w:val="nil"/>
          <w:left w:val="nil"/>
          <w:bottom w:val="nil"/>
          <w:right w:val="nil"/>
          <w:between w:val="nil"/>
        </w:pBdr>
        <w:jc w:val="both"/>
        <w:rPr>
          <w:rFonts w:ascii="Roboto" w:eastAsia="Roboto" w:hAnsi="Roboto" w:cs="Roboto"/>
          <w:b/>
          <w:bCs/>
          <w:color w:val="000000"/>
          <w:sz w:val="20"/>
          <w:szCs w:val="20"/>
        </w:rPr>
      </w:pPr>
      <w:r w:rsidRPr="00C36399">
        <w:rPr>
          <w:rFonts w:ascii="Roboto" w:eastAsia="Roboto" w:hAnsi="Roboto" w:cs="Roboto"/>
          <w:b/>
          <w:bCs/>
          <w:color w:val="000000"/>
          <w:sz w:val="20"/>
          <w:szCs w:val="20"/>
        </w:rPr>
        <w:t>INTRODUCCIÓN</w:t>
      </w:r>
    </w:p>
    <w:p w14:paraId="72D0714F" w14:textId="020CFF95" w:rsidR="00274B42" w:rsidRPr="00274B42" w:rsidRDefault="00274B42" w:rsidP="00274B42">
      <w:pPr>
        <w:pBdr>
          <w:top w:val="nil"/>
          <w:left w:val="nil"/>
          <w:bottom w:val="nil"/>
          <w:right w:val="nil"/>
          <w:between w:val="nil"/>
        </w:pBdr>
        <w:jc w:val="both"/>
        <w:rPr>
          <w:rFonts w:ascii="Roboto" w:eastAsia="Roboto" w:hAnsi="Roboto" w:cs="Roboto"/>
          <w:color w:val="000000"/>
          <w:sz w:val="20"/>
          <w:szCs w:val="20"/>
        </w:rPr>
      </w:pPr>
      <w:r w:rsidRPr="00274B42">
        <w:rPr>
          <w:rFonts w:ascii="Roboto" w:eastAsia="Roboto" w:hAnsi="Roboto" w:cs="Roboto"/>
          <w:color w:val="000000"/>
          <w:sz w:val="20"/>
          <w:szCs w:val="20"/>
        </w:rPr>
        <w:t>El estudio de la diversidad microbiana en la rizósfera es fundamental para la identificación de microorganismos con funciones clave en la nutrición y desarrollo vegetal. En particular, las bacterias promotoras de crecimiento vegetal (PGPB) desempeñan un papel relevante mediante mecanismos como la fijación biológica de nitrógeno, la solubilización de fosfatos y la producción de metabolitos bioactivos (Vessey, 2003).</w:t>
      </w:r>
    </w:p>
    <w:p w14:paraId="514FA624" w14:textId="58C075B0" w:rsidR="003E0A86" w:rsidRDefault="00274B42" w:rsidP="00274B42">
      <w:pPr>
        <w:pBdr>
          <w:top w:val="nil"/>
          <w:left w:val="nil"/>
          <w:bottom w:val="nil"/>
          <w:right w:val="nil"/>
          <w:between w:val="nil"/>
        </w:pBdr>
        <w:jc w:val="both"/>
        <w:rPr>
          <w:rFonts w:ascii="Roboto" w:eastAsia="Roboto" w:hAnsi="Roboto" w:cs="Roboto"/>
          <w:color w:val="000000"/>
          <w:sz w:val="20"/>
          <w:szCs w:val="20"/>
        </w:rPr>
      </w:pPr>
      <w:r w:rsidRPr="00274B42">
        <w:rPr>
          <w:rFonts w:ascii="Roboto" w:eastAsia="Roboto" w:hAnsi="Roboto" w:cs="Roboto"/>
          <w:color w:val="000000"/>
          <w:sz w:val="20"/>
          <w:szCs w:val="20"/>
        </w:rPr>
        <w:t>La identificación molecular basada en la secuenciación del gen 16S del ADN ribosomal constituye una herramienta ampliamente utilizada para la clasificación taxonómica bacteriana, permitiendo establecer relaciones filogenéticas y explorar la diversidad microbiana asociada a distintos ecosistemas (Janda &amp; Abbott, 2007). En este contexto, la rizósfera de cultivos de importancia económica como el limón persa (</w:t>
      </w:r>
      <w:r w:rsidRPr="00274B42">
        <w:rPr>
          <w:rFonts w:ascii="Roboto" w:eastAsia="Roboto" w:hAnsi="Roboto" w:cs="Roboto"/>
          <w:i/>
          <w:iCs/>
          <w:color w:val="000000"/>
          <w:sz w:val="20"/>
          <w:szCs w:val="20"/>
        </w:rPr>
        <w:t>Citrus latifolia</w:t>
      </w:r>
      <w:r w:rsidRPr="00274B42">
        <w:rPr>
          <w:rFonts w:ascii="Roboto" w:eastAsia="Roboto" w:hAnsi="Roboto" w:cs="Roboto"/>
          <w:color w:val="000000"/>
          <w:sz w:val="20"/>
          <w:szCs w:val="20"/>
        </w:rPr>
        <w:t>) representa una fuente relevante de microorganismos con potencial biotecnológico, particularmente en suelos de baja fertilidad como los de la península de Yucatán.</w:t>
      </w:r>
    </w:p>
    <w:p w14:paraId="7A682E2A" w14:textId="77777777" w:rsidR="00274B42" w:rsidRDefault="00274B42" w:rsidP="00274B42">
      <w:pPr>
        <w:pBdr>
          <w:top w:val="nil"/>
          <w:left w:val="nil"/>
          <w:bottom w:val="nil"/>
          <w:right w:val="nil"/>
          <w:between w:val="nil"/>
        </w:pBdr>
        <w:jc w:val="both"/>
        <w:rPr>
          <w:rFonts w:ascii="Roboto" w:eastAsia="Roboto" w:hAnsi="Roboto" w:cs="Roboto"/>
          <w:b/>
          <w:bCs/>
          <w:color w:val="000000"/>
          <w:sz w:val="20"/>
          <w:szCs w:val="20"/>
        </w:rPr>
      </w:pPr>
    </w:p>
    <w:p w14:paraId="0115FDD7" w14:textId="7F5255A4" w:rsidR="007179ED" w:rsidRDefault="00C36399">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OBJETIVO</w:t>
      </w:r>
    </w:p>
    <w:p w14:paraId="37D2255A" w14:textId="0969AD8F" w:rsidR="00C36399" w:rsidRDefault="00274B42">
      <w:pPr>
        <w:pBdr>
          <w:top w:val="nil"/>
          <w:left w:val="nil"/>
          <w:bottom w:val="nil"/>
          <w:right w:val="nil"/>
          <w:between w:val="nil"/>
        </w:pBdr>
        <w:jc w:val="both"/>
        <w:rPr>
          <w:rFonts w:ascii="Roboto" w:eastAsia="Roboto" w:hAnsi="Roboto" w:cs="Roboto"/>
          <w:color w:val="000000"/>
          <w:sz w:val="20"/>
          <w:szCs w:val="20"/>
        </w:rPr>
      </w:pPr>
      <w:r w:rsidRPr="00274B42">
        <w:rPr>
          <w:rFonts w:ascii="Roboto" w:eastAsia="Roboto" w:hAnsi="Roboto" w:cs="Roboto"/>
          <w:color w:val="000000"/>
          <w:sz w:val="20"/>
          <w:szCs w:val="20"/>
        </w:rPr>
        <w:t xml:space="preserve">Identificar molecularmente cepas bacterianas con actividad promotora de crecimiento vegetal y analizar su diversidad taxonómica en la rizósfera de </w:t>
      </w:r>
      <w:r w:rsidRPr="00274B42">
        <w:rPr>
          <w:rFonts w:ascii="Roboto" w:eastAsia="Roboto" w:hAnsi="Roboto" w:cs="Roboto"/>
          <w:i/>
          <w:iCs/>
          <w:color w:val="000000"/>
          <w:sz w:val="20"/>
          <w:szCs w:val="20"/>
        </w:rPr>
        <w:t>Citrus latifolia</w:t>
      </w:r>
      <w:r w:rsidR="003E0A86" w:rsidRPr="003E0A86">
        <w:rPr>
          <w:rFonts w:ascii="Roboto" w:eastAsia="Roboto" w:hAnsi="Roboto" w:cs="Roboto"/>
          <w:color w:val="000000"/>
          <w:sz w:val="20"/>
          <w:szCs w:val="20"/>
        </w:rPr>
        <w:t>.</w:t>
      </w:r>
    </w:p>
    <w:p w14:paraId="6A166F1D" w14:textId="77777777" w:rsidR="00C36399" w:rsidRDefault="00C36399">
      <w:pPr>
        <w:pBdr>
          <w:top w:val="nil"/>
          <w:left w:val="nil"/>
          <w:bottom w:val="nil"/>
          <w:right w:val="nil"/>
          <w:between w:val="nil"/>
        </w:pBdr>
        <w:jc w:val="both"/>
        <w:rPr>
          <w:rFonts w:ascii="Roboto" w:eastAsia="Roboto" w:hAnsi="Roboto" w:cs="Roboto"/>
          <w:b/>
          <w:bCs/>
          <w:color w:val="000000"/>
          <w:sz w:val="20"/>
          <w:szCs w:val="20"/>
        </w:rPr>
      </w:pPr>
    </w:p>
    <w:p w14:paraId="5819433C" w14:textId="77777777" w:rsidR="00C36399" w:rsidRPr="00C36399" w:rsidRDefault="00C36399" w:rsidP="00C36399">
      <w:pPr>
        <w:pBdr>
          <w:top w:val="nil"/>
          <w:left w:val="nil"/>
          <w:bottom w:val="nil"/>
          <w:right w:val="nil"/>
          <w:between w:val="nil"/>
        </w:pBdr>
        <w:jc w:val="both"/>
        <w:rPr>
          <w:rFonts w:ascii="Roboto" w:eastAsia="Roboto" w:hAnsi="Roboto" w:cs="Roboto"/>
          <w:b/>
          <w:bCs/>
          <w:color w:val="000000"/>
          <w:sz w:val="20"/>
          <w:szCs w:val="20"/>
        </w:rPr>
      </w:pPr>
      <w:r w:rsidRPr="00C36399">
        <w:rPr>
          <w:rFonts w:ascii="Roboto" w:eastAsia="Roboto" w:hAnsi="Roboto" w:cs="Roboto"/>
          <w:b/>
          <w:bCs/>
          <w:color w:val="000000"/>
          <w:sz w:val="20"/>
          <w:szCs w:val="20"/>
        </w:rPr>
        <w:t>METODOLOGÍA</w:t>
      </w:r>
    </w:p>
    <w:p w14:paraId="26BA0400" w14:textId="4F4D1FB8" w:rsidR="00274B42" w:rsidRPr="00274B42" w:rsidRDefault="00274B42" w:rsidP="00274B42">
      <w:pPr>
        <w:pBdr>
          <w:top w:val="nil"/>
          <w:left w:val="nil"/>
          <w:bottom w:val="nil"/>
          <w:right w:val="nil"/>
          <w:between w:val="nil"/>
        </w:pBdr>
        <w:jc w:val="both"/>
        <w:rPr>
          <w:rFonts w:ascii="Roboto" w:eastAsia="Roboto" w:hAnsi="Roboto" w:cs="Roboto"/>
          <w:color w:val="000000"/>
          <w:sz w:val="20"/>
          <w:szCs w:val="20"/>
        </w:rPr>
      </w:pPr>
      <w:r w:rsidRPr="00274B42">
        <w:rPr>
          <w:rFonts w:ascii="Roboto" w:eastAsia="Roboto" w:hAnsi="Roboto" w:cs="Roboto"/>
          <w:color w:val="000000"/>
          <w:sz w:val="20"/>
          <w:szCs w:val="20"/>
        </w:rPr>
        <w:t>Las cepas bacterianas previamente seleccionadas con base en su actividad promotora de crecimiento vegetal fueron sometidas a extracción de ADN genómico utilizando el método CTAB (bromuro de cetiltrimetilamonio) modificado, siguiendo protocolos estandarizados para microorganismos rizosféricos</w:t>
      </w:r>
      <w:r w:rsidR="00DB63DB">
        <w:rPr>
          <w:rFonts w:ascii="Roboto" w:eastAsia="Roboto" w:hAnsi="Roboto" w:cs="Roboto"/>
          <w:color w:val="000000"/>
          <w:sz w:val="20"/>
          <w:szCs w:val="20"/>
        </w:rPr>
        <w:t xml:space="preserve"> (</w:t>
      </w:r>
      <w:r w:rsidR="00DB63DB" w:rsidRPr="00DB63DB">
        <w:rPr>
          <w:rFonts w:ascii="Roboto" w:eastAsia="Roboto" w:hAnsi="Roboto" w:cs="Roboto"/>
          <w:color w:val="000000"/>
          <w:sz w:val="20"/>
          <w:szCs w:val="20"/>
        </w:rPr>
        <w:t xml:space="preserve">Tapia-Tussell </w:t>
      </w:r>
      <w:r w:rsidR="00DB63DB" w:rsidRPr="00DB63DB">
        <w:rPr>
          <w:rFonts w:ascii="Roboto" w:eastAsia="Roboto" w:hAnsi="Roboto" w:cs="Roboto"/>
          <w:i/>
          <w:iCs/>
          <w:color w:val="000000"/>
          <w:sz w:val="20"/>
          <w:szCs w:val="20"/>
        </w:rPr>
        <w:t>et al</w:t>
      </w:r>
      <w:r w:rsidR="00DB63DB" w:rsidRPr="00DB63DB">
        <w:rPr>
          <w:rFonts w:ascii="Roboto" w:eastAsia="Roboto" w:hAnsi="Roboto" w:cs="Roboto"/>
          <w:color w:val="000000"/>
          <w:sz w:val="20"/>
          <w:szCs w:val="20"/>
        </w:rPr>
        <w:t>., 2006</w:t>
      </w:r>
      <w:r w:rsidR="00DB63DB">
        <w:rPr>
          <w:rFonts w:ascii="Roboto" w:eastAsia="Roboto" w:hAnsi="Roboto" w:cs="Roboto"/>
          <w:color w:val="000000"/>
          <w:sz w:val="20"/>
          <w:szCs w:val="20"/>
        </w:rPr>
        <w:t>)</w:t>
      </w:r>
      <w:r w:rsidRPr="00274B42">
        <w:rPr>
          <w:rFonts w:ascii="Roboto" w:eastAsia="Roboto" w:hAnsi="Roboto" w:cs="Roboto"/>
          <w:color w:val="000000"/>
          <w:sz w:val="20"/>
          <w:szCs w:val="20"/>
        </w:rPr>
        <w:t>.</w:t>
      </w:r>
    </w:p>
    <w:p w14:paraId="0FC44625" w14:textId="1DD21FD5" w:rsidR="00274B42" w:rsidRPr="00274B42" w:rsidRDefault="00274B42" w:rsidP="00274B42">
      <w:pPr>
        <w:pBdr>
          <w:top w:val="nil"/>
          <w:left w:val="nil"/>
          <w:bottom w:val="nil"/>
          <w:right w:val="nil"/>
          <w:between w:val="nil"/>
        </w:pBdr>
        <w:jc w:val="both"/>
        <w:rPr>
          <w:rFonts w:ascii="Roboto" w:eastAsia="Roboto" w:hAnsi="Roboto" w:cs="Roboto"/>
          <w:color w:val="000000"/>
          <w:sz w:val="20"/>
          <w:szCs w:val="20"/>
        </w:rPr>
      </w:pPr>
      <w:r w:rsidRPr="00274B42">
        <w:rPr>
          <w:rFonts w:ascii="Roboto" w:eastAsia="Roboto" w:hAnsi="Roboto" w:cs="Roboto"/>
          <w:color w:val="000000"/>
          <w:sz w:val="20"/>
          <w:szCs w:val="20"/>
        </w:rPr>
        <w:t>La amplificación del gen 16S del ADN ribosomal se llevó a cabo mediante reacción en cadena de la polimerasa (PCR) punto final, empleando iniciadores universales específicos para esta región conservada. Las reacciones se realizaron en un volumen final de 50 µL, bajo condiciones térmicas previamente optimizadas.</w:t>
      </w:r>
    </w:p>
    <w:p w14:paraId="278B9387" w14:textId="001C9013" w:rsidR="00274B42" w:rsidRPr="00274B42" w:rsidRDefault="00274B42" w:rsidP="00274B42">
      <w:pPr>
        <w:pBdr>
          <w:top w:val="nil"/>
          <w:left w:val="nil"/>
          <w:bottom w:val="nil"/>
          <w:right w:val="nil"/>
          <w:between w:val="nil"/>
        </w:pBdr>
        <w:jc w:val="both"/>
        <w:rPr>
          <w:rFonts w:ascii="Roboto" w:eastAsia="Roboto" w:hAnsi="Roboto" w:cs="Roboto"/>
          <w:color w:val="000000"/>
          <w:sz w:val="20"/>
          <w:szCs w:val="20"/>
        </w:rPr>
      </w:pPr>
      <w:r w:rsidRPr="00274B42">
        <w:rPr>
          <w:rFonts w:ascii="Roboto" w:eastAsia="Roboto" w:hAnsi="Roboto" w:cs="Roboto"/>
          <w:color w:val="000000"/>
          <w:sz w:val="20"/>
          <w:szCs w:val="20"/>
        </w:rPr>
        <w:t>Los productos de amplificación fueron verificados mediante electroforesis en gel de agarosa al 1.5% (p/v) en tampón TBE 1X, y visualizados bajo luz UV tras tinción con un agente intercalante. Los amplicones obtenidos, con un tamaño aproximado de 1500 pb, fueron purificados y enviados a secuenciación.</w:t>
      </w:r>
    </w:p>
    <w:p w14:paraId="6DBD05EC" w14:textId="10CC57B5" w:rsidR="00274B42" w:rsidRDefault="00274B42" w:rsidP="00274B42">
      <w:pPr>
        <w:pBdr>
          <w:top w:val="nil"/>
          <w:left w:val="nil"/>
          <w:bottom w:val="nil"/>
          <w:right w:val="nil"/>
          <w:between w:val="nil"/>
        </w:pBdr>
        <w:jc w:val="both"/>
        <w:rPr>
          <w:rFonts w:ascii="Roboto" w:eastAsia="Roboto" w:hAnsi="Roboto" w:cs="Roboto"/>
          <w:color w:val="000000"/>
          <w:sz w:val="20"/>
          <w:szCs w:val="20"/>
        </w:rPr>
      </w:pPr>
      <w:r w:rsidRPr="00274B42">
        <w:rPr>
          <w:rFonts w:ascii="Roboto" w:eastAsia="Roboto" w:hAnsi="Roboto" w:cs="Roboto"/>
          <w:color w:val="000000"/>
          <w:sz w:val="20"/>
          <w:szCs w:val="20"/>
        </w:rPr>
        <w:t xml:space="preserve">Las secuencias resultantes fueron editadas y alineadas utilizando herramientas bioinformáticas, y posteriormente comparadas con bases de datos públicas mediante el algoritmo BLAST del National Center for Biotechnology Information (NCBI), lo que </w:t>
      </w:r>
      <w:r w:rsidRPr="00274B42">
        <w:rPr>
          <w:rFonts w:ascii="Roboto" w:eastAsia="Roboto" w:hAnsi="Roboto" w:cs="Roboto"/>
          <w:color w:val="000000"/>
          <w:sz w:val="20"/>
          <w:szCs w:val="20"/>
        </w:rPr>
        <w:t>permitió la asignación taxonómica de las cepas a nivel de género y especie con base en porcentajes de identidad.</w:t>
      </w:r>
    </w:p>
    <w:p w14:paraId="09B116B5" w14:textId="77777777" w:rsidR="00274B42" w:rsidRDefault="00274B42" w:rsidP="00274B42">
      <w:pPr>
        <w:pBdr>
          <w:top w:val="nil"/>
          <w:left w:val="nil"/>
          <w:bottom w:val="nil"/>
          <w:right w:val="nil"/>
          <w:between w:val="nil"/>
        </w:pBdr>
        <w:jc w:val="both"/>
        <w:rPr>
          <w:rFonts w:ascii="Roboto" w:eastAsia="Roboto" w:hAnsi="Roboto" w:cs="Roboto"/>
          <w:color w:val="000000"/>
          <w:sz w:val="20"/>
          <w:szCs w:val="20"/>
        </w:rPr>
      </w:pPr>
    </w:p>
    <w:p w14:paraId="48D477CE" w14:textId="58EEDA22" w:rsidR="007179ED" w:rsidRDefault="00C36399">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RESULTADOS</w:t>
      </w:r>
    </w:p>
    <w:p w14:paraId="24651D7B" w14:textId="5CC6BC1F" w:rsidR="00274B42" w:rsidRPr="00274B42" w:rsidRDefault="00274B42" w:rsidP="00274B42">
      <w:pPr>
        <w:keepNext/>
        <w:jc w:val="both"/>
        <w:rPr>
          <w:rFonts w:ascii="Roboto" w:eastAsia="Roboto" w:hAnsi="Roboto" w:cs="Roboto"/>
          <w:color w:val="000000"/>
          <w:sz w:val="20"/>
          <w:szCs w:val="20"/>
        </w:rPr>
      </w:pPr>
      <w:r w:rsidRPr="00274B42">
        <w:rPr>
          <w:rFonts w:ascii="Roboto" w:eastAsia="Roboto" w:hAnsi="Roboto" w:cs="Roboto"/>
          <w:color w:val="000000"/>
          <w:sz w:val="20"/>
          <w:szCs w:val="20"/>
        </w:rPr>
        <w:t xml:space="preserve">Las cepas analizadas presentaron amplificación exitosa del gen 16S, obteniéndose productos de aproximadamente 1500 pb. El análisis de las secuencias reveló porcentajes de identidad superiores al 99% con secuencias depositadas en bases de datos, lo que permitió su asignación a los géneros </w:t>
      </w:r>
      <w:r w:rsidRPr="00DB63DB">
        <w:rPr>
          <w:rFonts w:ascii="Roboto" w:eastAsia="Roboto" w:hAnsi="Roboto" w:cs="Roboto"/>
          <w:i/>
          <w:iCs/>
          <w:color w:val="000000"/>
          <w:sz w:val="20"/>
          <w:szCs w:val="20"/>
        </w:rPr>
        <w:t>Cupriavidus</w:t>
      </w:r>
      <w:r w:rsidRPr="00274B42">
        <w:rPr>
          <w:rFonts w:ascii="Roboto" w:eastAsia="Roboto" w:hAnsi="Roboto" w:cs="Roboto"/>
          <w:color w:val="000000"/>
          <w:sz w:val="20"/>
          <w:szCs w:val="20"/>
        </w:rPr>
        <w:t xml:space="preserve">, </w:t>
      </w:r>
      <w:r w:rsidRPr="00DB63DB">
        <w:rPr>
          <w:rFonts w:ascii="Roboto" w:eastAsia="Roboto" w:hAnsi="Roboto" w:cs="Roboto"/>
          <w:i/>
          <w:iCs/>
          <w:color w:val="000000"/>
          <w:sz w:val="20"/>
          <w:szCs w:val="20"/>
        </w:rPr>
        <w:t>Achromobacter</w:t>
      </w:r>
      <w:r w:rsidRPr="00274B42">
        <w:rPr>
          <w:rFonts w:ascii="Roboto" w:eastAsia="Roboto" w:hAnsi="Roboto" w:cs="Roboto"/>
          <w:color w:val="000000"/>
          <w:sz w:val="20"/>
          <w:szCs w:val="20"/>
        </w:rPr>
        <w:t xml:space="preserve"> y </w:t>
      </w:r>
      <w:r w:rsidRPr="00DB63DB">
        <w:rPr>
          <w:rFonts w:ascii="Roboto" w:eastAsia="Roboto" w:hAnsi="Roboto" w:cs="Roboto"/>
          <w:i/>
          <w:iCs/>
          <w:color w:val="000000"/>
          <w:sz w:val="20"/>
          <w:szCs w:val="20"/>
        </w:rPr>
        <w:t>Stenotrophomonas</w:t>
      </w:r>
      <w:r w:rsidRPr="00274B42">
        <w:rPr>
          <w:rFonts w:ascii="Roboto" w:eastAsia="Roboto" w:hAnsi="Roboto" w:cs="Roboto"/>
          <w:color w:val="000000"/>
          <w:sz w:val="20"/>
          <w:szCs w:val="20"/>
        </w:rPr>
        <w:t>.</w:t>
      </w:r>
    </w:p>
    <w:p w14:paraId="3094619B" w14:textId="5B37E78F" w:rsidR="003E0A86" w:rsidRDefault="00274B42" w:rsidP="00274B42">
      <w:pPr>
        <w:keepNext/>
        <w:jc w:val="both"/>
        <w:rPr>
          <w:rFonts w:ascii="Roboto" w:eastAsia="Roboto" w:hAnsi="Roboto" w:cs="Roboto"/>
          <w:color w:val="000000"/>
          <w:sz w:val="20"/>
          <w:szCs w:val="20"/>
        </w:rPr>
      </w:pPr>
      <w:r w:rsidRPr="00274B42">
        <w:rPr>
          <w:rFonts w:ascii="Roboto" w:eastAsia="Roboto" w:hAnsi="Roboto" w:cs="Roboto"/>
          <w:color w:val="000000"/>
          <w:sz w:val="20"/>
          <w:szCs w:val="20"/>
        </w:rPr>
        <w:t xml:space="preserve">Estos géneros han sido ampliamente reportados como bacterias promotoras de crecimiento vegetal, debido a su capacidad para fijar nitrógeno, solubilizar fosfatos y producir compuestos bioactivos que favorecen el desarrollo vegetal. La diversidad taxonómica observada sugiere la presencia de una comunidad microbiana funcionalmente relevante en la rizósfera de </w:t>
      </w:r>
      <w:r w:rsidRPr="00DB63DB">
        <w:rPr>
          <w:rFonts w:ascii="Roboto" w:eastAsia="Roboto" w:hAnsi="Roboto" w:cs="Roboto"/>
          <w:i/>
          <w:iCs/>
          <w:color w:val="000000"/>
          <w:sz w:val="20"/>
          <w:szCs w:val="20"/>
        </w:rPr>
        <w:t>C</w:t>
      </w:r>
      <w:r w:rsidR="00DB63DB">
        <w:rPr>
          <w:rFonts w:ascii="Roboto" w:eastAsia="Roboto" w:hAnsi="Roboto" w:cs="Roboto"/>
          <w:i/>
          <w:iCs/>
          <w:color w:val="000000"/>
          <w:sz w:val="20"/>
          <w:szCs w:val="20"/>
        </w:rPr>
        <w:t>.</w:t>
      </w:r>
      <w:r w:rsidRPr="00DB63DB">
        <w:rPr>
          <w:rFonts w:ascii="Roboto" w:eastAsia="Roboto" w:hAnsi="Roboto" w:cs="Roboto"/>
          <w:i/>
          <w:iCs/>
          <w:color w:val="000000"/>
          <w:sz w:val="20"/>
          <w:szCs w:val="20"/>
        </w:rPr>
        <w:t xml:space="preserve"> latifolia</w:t>
      </w:r>
      <w:r w:rsidRPr="00274B42">
        <w:rPr>
          <w:rFonts w:ascii="Roboto" w:eastAsia="Roboto" w:hAnsi="Roboto" w:cs="Roboto"/>
          <w:color w:val="000000"/>
          <w:sz w:val="20"/>
          <w:szCs w:val="20"/>
        </w:rPr>
        <w:t xml:space="preserve"> (Tabla 1; Figura 1).</w:t>
      </w:r>
    </w:p>
    <w:p w14:paraId="53ABFBFA" w14:textId="77777777" w:rsidR="00274B42" w:rsidRDefault="00274B42" w:rsidP="00274B42">
      <w:pPr>
        <w:keepNext/>
        <w:jc w:val="both"/>
        <w:rPr>
          <w:rFonts w:ascii="Roboto" w:eastAsia="Roboto" w:hAnsi="Roboto" w:cs="Roboto"/>
          <w:color w:val="000000"/>
          <w:sz w:val="20"/>
          <w:szCs w:val="20"/>
        </w:rPr>
      </w:pPr>
    </w:p>
    <w:p w14:paraId="55477147" w14:textId="23A2758B" w:rsidR="007179ED" w:rsidRDefault="00000000">
      <w:pPr>
        <w:keepNext/>
        <w:jc w:val="both"/>
        <w:rPr>
          <w:rFonts w:ascii="Roboto" w:eastAsia="Roboto" w:hAnsi="Roboto" w:cs="Roboto"/>
          <w:sz w:val="20"/>
          <w:szCs w:val="20"/>
        </w:rPr>
      </w:pPr>
      <w:r>
        <w:rPr>
          <w:rFonts w:ascii="Roboto" w:eastAsia="Roboto" w:hAnsi="Roboto" w:cs="Roboto"/>
          <w:b/>
          <w:bCs/>
          <w:sz w:val="20"/>
          <w:szCs w:val="20"/>
        </w:rPr>
        <w:t>Tabla 1.</w:t>
      </w:r>
      <w:r>
        <w:rPr>
          <w:rFonts w:ascii="Roboto" w:eastAsia="Roboto" w:hAnsi="Roboto" w:cs="Roboto"/>
          <w:sz w:val="20"/>
          <w:szCs w:val="20"/>
        </w:rPr>
        <w:t xml:space="preserve"> </w:t>
      </w:r>
      <w:r w:rsidR="00274B42" w:rsidRPr="00274B42">
        <w:rPr>
          <w:rFonts w:ascii="Roboto" w:eastAsia="Roboto" w:hAnsi="Roboto" w:cs="Roboto"/>
          <w:sz w:val="20"/>
          <w:szCs w:val="20"/>
        </w:rPr>
        <w:t xml:space="preserve">Identificación molecular de cepas bacterianas aisladas de la rizósfera de </w:t>
      </w:r>
      <w:r w:rsidR="00274B42" w:rsidRPr="00274B42">
        <w:rPr>
          <w:rFonts w:ascii="Roboto" w:eastAsia="Roboto" w:hAnsi="Roboto" w:cs="Roboto"/>
          <w:i/>
          <w:iCs/>
          <w:sz w:val="20"/>
          <w:szCs w:val="20"/>
        </w:rPr>
        <w:t>Citrus latifolia</w:t>
      </w:r>
      <w:r w:rsidR="00274B42" w:rsidRPr="00274B42">
        <w:rPr>
          <w:rFonts w:ascii="Roboto" w:eastAsia="Roboto" w:hAnsi="Roboto" w:cs="Roboto"/>
          <w:sz w:val="20"/>
          <w:szCs w:val="20"/>
        </w:rPr>
        <w:t>.</w:t>
      </w:r>
    </w:p>
    <w:tbl>
      <w:tblPr>
        <w:tblW w:w="4934" w:type="dxa"/>
        <w:tblCellSpacing w:w="15" w:type="dxa"/>
        <w:tblCellMar>
          <w:top w:w="15" w:type="dxa"/>
          <w:left w:w="15" w:type="dxa"/>
          <w:bottom w:w="15" w:type="dxa"/>
          <w:right w:w="15" w:type="dxa"/>
        </w:tblCellMar>
        <w:tblLook w:val="04A0" w:firstRow="1" w:lastRow="0" w:firstColumn="1" w:lastColumn="0" w:noHBand="0" w:noVBand="1"/>
      </w:tblPr>
      <w:tblGrid>
        <w:gridCol w:w="782"/>
        <w:gridCol w:w="1840"/>
        <w:gridCol w:w="922"/>
        <w:gridCol w:w="1390"/>
      </w:tblGrid>
      <w:tr w:rsidR="00274B42" w:rsidRPr="00274B42" w14:paraId="4203BC86" w14:textId="77777777" w:rsidTr="00274B42">
        <w:trPr>
          <w:tblHeader/>
          <w:tblCellSpacing w:w="15" w:type="dxa"/>
        </w:trPr>
        <w:tc>
          <w:tcPr>
            <w:tcW w:w="0" w:type="auto"/>
            <w:tcBorders>
              <w:bottom w:val="single" w:sz="8" w:space="0" w:color="auto"/>
            </w:tcBorders>
            <w:vAlign w:val="center"/>
            <w:hideMark/>
          </w:tcPr>
          <w:p w14:paraId="024FF0F9" w14:textId="77777777" w:rsidR="00274B42" w:rsidRPr="00274B42" w:rsidRDefault="00274B42">
            <w:pPr>
              <w:jc w:val="center"/>
              <w:rPr>
                <w:rFonts w:ascii="Roboto" w:hAnsi="Roboto"/>
                <w:b/>
                <w:bCs/>
                <w:color w:val="000000"/>
                <w:sz w:val="18"/>
                <w:szCs w:val="18"/>
              </w:rPr>
            </w:pPr>
            <w:r w:rsidRPr="00274B42">
              <w:rPr>
                <w:rFonts w:ascii="Roboto" w:hAnsi="Roboto"/>
                <w:b/>
                <w:bCs/>
                <w:color w:val="000000"/>
                <w:sz w:val="18"/>
                <w:szCs w:val="18"/>
              </w:rPr>
              <w:t>Cepa</w:t>
            </w:r>
          </w:p>
        </w:tc>
        <w:tc>
          <w:tcPr>
            <w:tcW w:w="0" w:type="auto"/>
            <w:tcBorders>
              <w:bottom w:val="single" w:sz="8" w:space="0" w:color="auto"/>
            </w:tcBorders>
            <w:vAlign w:val="center"/>
            <w:hideMark/>
          </w:tcPr>
          <w:p w14:paraId="4FDC32CF" w14:textId="77777777" w:rsidR="00274B42" w:rsidRPr="00274B42" w:rsidRDefault="00274B42">
            <w:pPr>
              <w:jc w:val="center"/>
              <w:rPr>
                <w:rFonts w:ascii="Roboto" w:hAnsi="Roboto"/>
                <w:b/>
                <w:bCs/>
                <w:color w:val="000000"/>
                <w:sz w:val="18"/>
                <w:szCs w:val="18"/>
              </w:rPr>
            </w:pPr>
            <w:r w:rsidRPr="00274B42">
              <w:rPr>
                <w:rFonts w:ascii="Roboto" w:hAnsi="Roboto"/>
                <w:b/>
                <w:bCs/>
                <w:color w:val="000000"/>
                <w:sz w:val="18"/>
                <w:szCs w:val="18"/>
              </w:rPr>
              <w:t>Género identificado</w:t>
            </w:r>
          </w:p>
        </w:tc>
        <w:tc>
          <w:tcPr>
            <w:tcW w:w="892" w:type="dxa"/>
            <w:tcBorders>
              <w:bottom w:val="single" w:sz="8" w:space="0" w:color="auto"/>
            </w:tcBorders>
            <w:vAlign w:val="center"/>
            <w:hideMark/>
          </w:tcPr>
          <w:p w14:paraId="4D960B70" w14:textId="77777777" w:rsidR="00274B42" w:rsidRPr="00274B42" w:rsidRDefault="00274B42">
            <w:pPr>
              <w:jc w:val="center"/>
              <w:rPr>
                <w:rFonts w:ascii="Roboto" w:hAnsi="Roboto"/>
                <w:b/>
                <w:bCs/>
                <w:color w:val="000000"/>
                <w:sz w:val="18"/>
                <w:szCs w:val="18"/>
              </w:rPr>
            </w:pPr>
            <w:r w:rsidRPr="00274B42">
              <w:rPr>
                <w:rFonts w:ascii="Roboto" w:hAnsi="Roboto"/>
                <w:b/>
                <w:bCs/>
                <w:color w:val="000000"/>
                <w:sz w:val="18"/>
                <w:szCs w:val="18"/>
              </w:rPr>
              <w:t>% identidad</w:t>
            </w:r>
          </w:p>
        </w:tc>
        <w:tc>
          <w:tcPr>
            <w:tcW w:w="1345" w:type="dxa"/>
            <w:tcBorders>
              <w:bottom w:val="single" w:sz="8" w:space="0" w:color="auto"/>
            </w:tcBorders>
            <w:vAlign w:val="center"/>
            <w:hideMark/>
          </w:tcPr>
          <w:p w14:paraId="1041A92C" w14:textId="77777777" w:rsidR="00274B42" w:rsidRPr="00274B42" w:rsidRDefault="00274B42">
            <w:pPr>
              <w:jc w:val="center"/>
              <w:rPr>
                <w:rFonts w:ascii="Roboto" w:hAnsi="Roboto"/>
                <w:b/>
                <w:bCs/>
                <w:color w:val="000000"/>
                <w:sz w:val="18"/>
                <w:szCs w:val="18"/>
              </w:rPr>
            </w:pPr>
            <w:r w:rsidRPr="00274B42">
              <w:rPr>
                <w:rFonts w:ascii="Roboto" w:hAnsi="Roboto"/>
                <w:b/>
                <w:bCs/>
                <w:color w:val="000000"/>
                <w:sz w:val="18"/>
                <w:szCs w:val="18"/>
              </w:rPr>
              <w:t>Función reportada</w:t>
            </w:r>
          </w:p>
        </w:tc>
      </w:tr>
      <w:tr w:rsidR="00274B42" w:rsidRPr="00274B42" w14:paraId="1EE10E30" w14:textId="77777777" w:rsidTr="00274B42">
        <w:trPr>
          <w:tblCellSpacing w:w="15" w:type="dxa"/>
        </w:trPr>
        <w:tc>
          <w:tcPr>
            <w:tcW w:w="0" w:type="auto"/>
            <w:vAlign w:val="center"/>
            <w:hideMark/>
          </w:tcPr>
          <w:p w14:paraId="24643BB8" w14:textId="77777777" w:rsidR="00274B42" w:rsidRPr="00274B42" w:rsidRDefault="00274B42">
            <w:pPr>
              <w:rPr>
                <w:rFonts w:ascii="Roboto" w:hAnsi="Roboto"/>
                <w:color w:val="000000"/>
                <w:sz w:val="18"/>
                <w:szCs w:val="18"/>
              </w:rPr>
            </w:pPr>
            <w:r w:rsidRPr="00274B42">
              <w:rPr>
                <w:rFonts w:ascii="Roboto" w:hAnsi="Roboto"/>
                <w:color w:val="000000"/>
                <w:sz w:val="18"/>
                <w:szCs w:val="18"/>
              </w:rPr>
              <w:t>M2D2O</w:t>
            </w:r>
          </w:p>
        </w:tc>
        <w:tc>
          <w:tcPr>
            <w:tcW w:w="0" w:type="auto"/>
            <w:vAlign w:val="center"/>
            <w:hideMark/>
          </w:tcPr>
          <w:p w14:paraId="3453CFEC" w14:textId="77777777" w:rsidR="00274B42" w:rsidRPr="00274B42" w:rsidRDefault="00274B42">
            <w:pPr>
              <w:rPr>
                <w:rFonts w:ascii="Roboto" w:hAnsi="Roboto"/>
                <w:color w:val="000000"/>
                <w:sz w:val="18"/>
                <w:szCs w:val="18"/>
              </w:rPr>
            </w:pPr>
            <w:r w:rsidRPr="00274B42">
              <w:rPr>
                <w:rStyle w:val="nfasis"/>
                <w:rFonts w:ascii="Roboto" w:hAnsi="Roboto"/>
                <w:color w:val="000000"/>
                <w:sz w:val="18"/>
                <w:szCs w:val="18"/>
              </w:rPr>
              <w:t>Cupriavidus</w:t>
            </w:r>
            <w:r w:rsidRPr="00274B42">
              <w:rPr>
                <w:rStyle w:val="apple-converted-space"/>
                <w:rFonts w:ascii="Roboto" w:hAnsi="Roboto"/>
                <w:color w:val="000000"/>
                <w:sz w:val="18"/>
                <w:szCs w:val="18"/>
              </w:rPr>
              <w:t> </w:t>
            </w:r>
            <w:r w:rsidRPr="00274B42">
              <w:rPr>
                <w:rFonts w:ascii="Roboto" w:hAnsi="Roboto"/>
                <w:color w:val="000000"/>
                <w:sz w:val="18"/>
                <w:szCs w:val="18"/>
              </w:rPr>
              <w:t>sp.</w:t>
            </w:r>
          </w:p>
        </w:tc>
        <w:tc>
          <w:tcPr>
            <w:tcW w:w="892" w:type="dxa"/>
            <w:vAlign w:val="center"/>
            <w:hideMark/>
          </w:tcPr>
          <w:p w14:paraId="0E5C4E8E" w14:textId="77777777" w:rsidR="00274B42" w:rsidRPr="00274B42" w:rsidRDefault="00274B42">
            <w:pPr>
              <w:rPr>
                <w:rFonts w:ascii="Roboto" w:hAnsi="Roboto"/>
                <w:color w:val="000000"/>
                <w:sz w:val="18"/>
                <w:szCs w:val="18"/>
              </w:rPr>
            </w:pPr>
            <w:r w:rsidRPr="00274B42">
              <w:rPr>
                <w:rFonts w:ascii="Roboto" w:hAnsi="Roboto"/>
                <w:color w:val="000000"/>
                <w:sz w:val="18"/>
                <w:szCs w:val="18"/>
              </w:rPr>
              <w:t>99.2%</w:t>
            </w:r>
          </w:p>
        </w:tc>
        <w:tc>
          <w:tcPr>
            <w:tcW w:w="1345" w:type="dxa"/>
            <w:vAlign w:val="center"/>
            <w:hideMark/>
          </w:tcPr>
          <w:p w14:paraId="063E4B72" w14:textId="77777777" w:rsidR="00274B42" w:rsidRPr="00274B42" w:rsidRDefault="00274B42">
            <w:pPr>
              <w:rPr>
                <w:rFonts w:ascii="Roboto" w:hAnsi="Roboto"/>
                <w:color w:val="000000"/>
                <w:sz w:val="18"/>
                <w:szCs w:val="18"/>
              </w:rPr>
            </w:pPr>
            <w:r w:rsidRPr="00274B42">
              <w:rPr>
                <w:rFonts w:ascii="Roboto" w:hAnsi="Roboto"/>
                <w:color w:val="000000"/>
                <w:sz w:val="18"/>
                <w:szCs w:val="18"/>
              </w:rPr>
              <w:t>Fijación de N, solubilización de P</w:t>
            </w:r>
          </w:p>
        </w:tc>
      </w:tr>
      <w:tr w:rsidR="00274B42" w:rsidRPr="00274B42" w14:paraId="3801A739" w14:textId="77777777" w:rsidTr="00274B42">
        <w:trPr>
          <w:tblCellSpacing w:w="15" w:type="dxa"/>
        </w:trPr>
        <w:tc>
          <w:tcPr>
            <w:tcW w:w="0" w:type="auto"/>
            <w:vAlign w:val="center"/>
            <w:hideMark/>
          </w:tcPr>
          <w:p w14:paraId="3AE9FCA3" w14:textId="77777777" w:rsidR="00274B42" w:rsidRPr="00274B42" w:rsidRDefault="00274B42">
            <w:pPr>
              <w:rPr>
                <w:rFonts w:ascii="Roboto" w:hAnsi="Roboto"/>
                <w:color w:val="000000"/>
                <w:sz w:val="18"/>
                <w:szCs w:val="18"/>
              </w:rPr>
            </w:pPr>
            <w:r w:rsidRPr="00274B42">
              <w:rPr>
                <w:rFonts w:ascii="Roboto" w:hAnsi="Roboto"/>
                <w:color w:val="000000"/>
                <w:sz w:val="18"/>
                <w:szCs w:val="18"/>
              </w:rPr>
              <w:t>M1D1BC</w:t>
            </w:r>
          </w:p>
        </w:tc>
        <w:tc>
          <w:tcPr>
            <w:tcW w:w="0" w:type="auto"/>
            <w:vAlign w:val="center"/>
            <w:hideMark/>
          </w:tcPr>
          <w:p w14:paraId="3D8DD1B5" w14:textId="77777777" w:rsidR="00274B42" w:rsidRPr="00274B42" w:rsidRDefault="00274B42">
            <w:pPr>
              <w:rPr>
                <w:rFonts w:ascii="Roboto" w:hAnsi="Roboto"/>
                <w:color w:val="000000"/>
                <w:sz w:val="18"/>
                <w:szCs w:val="18"/>
              </w:rPr>
            </w:pPr>
            <w:r w:rsidRPr="00274B42">
              <w:rPr>
                <w:rStyle w:val="nfasis"/>
                <w:rFonts w:ascii="Roboto" w:hAnsi="Roboto"/>
                <w:color w:val="000000"/>
                <w:sz w:val="18"/>
                <w:szCs w:val="18"/>
              </w:rPr>
              <w:t>Achromobacter</w:t>
            </w:r>
            <w:r w:rsidRPr="00274B42">
              <w:rPr>
                <w:rStyle w:val="apple-converted-space"/>
                <w:rFonts w:ascii="Roboto" w:hAnsi="Roboto"/>
                <w:color w:val="000000"/>
                <w:sz w:val="18"/>
                <w:szCs w:val="18"/>
              </w:rPr>
              <w:t> </w:t>
            </w:r>
            <w:r w:rsidRPr="00274B42">
              <w:rPr>
                <w:rFonts w:ascii="Roboto" w:hAnsi="Roboto"/>
                <w:color w:val="000000"/>
                <w:sz w:val="18"/>
                <w:szCs w:val="18"/>
              </w:rPr>
              <w:t>sp.</w:t>
            </w:r>
          </w:p>
        </w:tc>
        <w:tc>
          <w:tcPr>
            <w:tcW w:w="892" w:type="dxa"/>
            <w:vAlign w:val="center"/>
            <w:hideMark/>
          </w:tcPr>
          <w:p w14:paraId="04B2D417" w14:textId="77777777" w:rsidR="00274B42" w:rsidRPr="00274B42" w:rsidRDefault="00274B42">
            <w:pPr>
              <w:rPr>
                <w:rFonts w:ascii="Roboto" w:hAnsi="Roboto"/>
                <w:color w:val="000000"/>
                <w:sz w:val="18"/>
                <w:szCs w:val="18"/>
              </w:rPr>
            </w:pPr>
            <w:r w:rsidRPr="00274B42">
              <w:rPr>
                <w:rFonts w:ascii="Roboto" w:hAnsi="Roboto"/>
                <w:color w:val="000000"/>
                <w:sz w:val="18"/>
                <w:szCs w:val="18"/>
              </w:rPr>
              <w:t>99.2%</w:t>
            </w:r>
          </w:p>
        </w:tc>
        <w:tc>
          <w:tcPr>
            <w:tcW w:w="1345" w:type="dxa"/>
            <w:vAlign w:val="center"/>
            <w:hideMark/>
          </w:tcPr>
          <w:p w14:paraId="5B7F26D5" w14:textId="77777777" w:rsidR="00274B42" w:rsidRPr="00274B42" w:rsidRDefault="00274B42">
            <w:pPr>
              <w:rPr>
                <w:rFonts w:ascii="Roboto" w:hAnsi="Roboto"/>
                <w:color w:val="000000"/>
                <w:sz w:val="18"/>
                <w:szCs w:val="18"/>
              </w:rPr>
            </w:pPr>
            <w:r w:rsidRPr="00274B42">
              <w:rPr>
                <w:rFonts w:ascii="Roboto" w:hAnsi="Roboto"/>
                <w:color w:val="000000"/>
                <w:sz w:val="18"/>
                <w:szCs w:val="18"/>
              </w:rPr>
              <w:t>Producción de AIA, fijación de N</w:t>
            </w:r>
          </w:p>
        </w:tc>
      </w:tr>
      <w:tr w:rsidR="00274B42" w:rsidRPr="00274B42" w14:paraId="29A907BE" w14:textId="77777777" w:rsidTr="00274B42">
        <w:trPr>
          <w:tblCellSpacing w:w="15" w:type="dxa"/>
        </w:trPr>
        <w:tc>
          <w:tcPr>
            <w:tcW w:w="0" w:type="auto"/>
            <w:tcBorders>
              <w:bottom w:val="single" w:sz="8" w:space="0" w:color="auto"/>
            </w:tcBorders>
            <w:vAlign w:val="center"/>
            <w:hideMark/>
          </w:tcPr>
          <w:p w14:paraId="32791A7D" w14:textId="77777777" w:rsidR="00274B42" w:rsidRPr="00274B42" w:rsidRDefault="00274B42">
            <w:pPr>
              <w:rPr>
                <w:rFonts w:ascii="Roboto" w:hAnsi="Roboto"/>
                <w:color w:val="000000"/>
                <w:sz w:val="18"/>
                <w:szCs w:val="18"/>
              </w:rPr>
            </w:pPr>
            <w:r w:rsidRPr="00274B42">
              <w:rPr>
                <w:rFonts w:ascii="Roboto" w:hAnsi="Roboto"/>
                <w:color w:val="000000"/>
                <w:sz w:val="18"/>
                <w:szCs w:val="18"/>
              </w:rPr>
              <w:t>M1D2</w:t>
            </w:r>
          </w:p>
        </w:tc>
        <w:tc>
          <w:tcPr>
            <w:tcW w:w="0" w:type="auto"/>
            <w:tcBorders>
              <w:bottom w:val="single" w:sz="8" w:space="0" w:color="auto"/>
            </w:tcBorders>
            <w:vAlign w:val="center"/>
            <w:hideMark/>
          </w:tcPr>
          <w:p w14:paraId="6AF9ECA6" w14:textId="77777777" w:rsidR="00274B42" w:rsidRPr="00274B42" w:rsidRDefault="00274B42">
            <w:pPr>
              <w:rPr>
                <w:rFonts w:ascii="Roboto" w:hAnsi="Roboto"/>
                <w:color w:val="000000"/>
                <w:sz w:val="18"/>
                <w:szCs w:val="18"/>
              </w:rPr>
            </w:pPr>
            <w:r w:rsidRPr="00274B42">
              <w:rPr>
                <w:rStyle w:val="nfasis"/>
                <w:rFonts w:ascii="Roboto" w:hAnsi="Roboto"/>
                <w:color w:val="000000"/>
                <w:sz w:val="18"/>
                <w:szCs w:val="18"/>
              </w:rPr>
              <w:t>Stenotrophomonas</w:t>
            </w:r>
            <w:r w:rsidRPr="00274B42">
              <w:rPr>
                <w:rStyle w:val="apple-converted-space"/>
                <w:rFonts w:ascii="Roboto" w:hAnsi="Roboto"/>
                <w:color w:val="000000"/>
                <w:sz w:val="18"/>
                <w:szCs w:val="18"/>
              </w:rPr>
              <w:t> </w:t>
            </w:r>
            <w:r w:rsidRPr="00274B42">
              <w:rPr>
                <w:rFonts w:ascii="Roboto" w:hAnsi="Roboto"/>
                <w:color w:val="000000"/>
                <w:sz w:val="18"/>
                <w:szCs w:val="18"/>
              </w:rPr>
              <w:t>sp.</w:t>
            </w:r>
          </w:p>
        </w:tc>
        <w:tc>
          <w:tcPr>
            <w:tcW w:w="892" w:type="dxa"/>
            <w:tcBorders>
              <w:bottom w:val="single" w:sz="8" w:space="0" w:color="auto"/>
            </w:tcBorders>
            <w:vAlign w:val="center"/>
            <w:hideMark/>
          </w:tcPr>
          <w:p w14:paraId="10F881D6" w14:textId="77777777" w:rsidR="00274B42" w:rsidRPr="00274B42" w:rsidRDefault="00274B42">
            <w:pPr>
              <w:rPr>
                <w:rFonts w:ascii="Roboto" w:hAnsi="Roboto"/>
                <w:color w:val="000000"/>
                <w:sz w:val="18"/>
                <w:szCs w:val="18"/>
              </w:rPr>
            </w:pPr>
            <w:r w:rsidRPr="00274B42">
              <w:rPr>
                <w:rFonts w:ascii="Roboto" w:hAnsi="Roboto"/>
                <w:color w:val="000000"/>
                <w:sz w:val="18"/>
                <w:szCs w:val="18"/>
              </w:rPr>
              <w:t>99.6%</w:t>
            </w:r>
          </w:p>
        </w:tc>
        <w:tc>
          <w:tcPr>
            <w:tcW w:w="1345" w:type="dxa"/>
            <w:tcBorders>
              <w:bottom w:val="single" w:sz="8" w:space="0" w:color="auto"/>
            </w:tcBorders>
            <w:vAlign w:val="center"/>
            <w:hideMark/>
          </w:tcPr>
          <w:p w14:paraId="2899A704" w14:textId="77777777" w:rsidR="00274B42" w:rsidRPr="00274B42" w:rsidRDefault="00274B42">
            <w:pPr>
              <w:rPr>
                <w:rFonts w:ascii="Roboto" w:hAnsi="Roboto"/>
                <w:color w:val="000000"/>
                <w:sz w:val="18"/>
                <w:szCs w:val="18"/>
              </w:rPr>
            </w:pPr>
            <w:r w:rsidRPr="00274B42">
              <w:rPr>
                <w:rFonts w:ascii="Roboto" w:hAnsi="Roboto"/>
                <w:color w:val="000000"/>
                <w:sz w:val="18"/>
                <w:szCs w:val="18"/>
              </w:rPr>
              <w:t>Solubilización de P, tolerancia a estrés</w:t>
            </w:r>
          </w:p>
        </w:tc>
      </w:tr>
    </w:tbl>
    <w:p w14:paraId="393FA628" w14:textId="77777777" w:rsidR="007179ED" w:rsidRDefault="007179ED">
      <w:pPr>
        <w:tabs>
          <w:tab w:val="left" w:pos="284"/>
        </w:tabs>
        <w:ind w:left="284" w:hanging="284"/>
        <w:jc w:val="both"/>
        <w:rPr>
          <w:rFonts w:ascii="Roboto" w:eastAsia="Roboto" w:hAnsi="Roboto" w:cs="Roboto"/>
          <w:sz w:val="20"/>
          <w:szCs w:val="20"/>
        </w:rPr>
      </w:pPr>
    </w:p>
    <w:p w14:paraId="59D61510" w14:textId="0A71955E" w:rsidR="007179ED" w:rsidRDefault="00DB63DB">
      <w:pPr>
        <w:jc w:val="center"/>
        <w:rPr>
          <w:rFonts w:ascii="Roboto" w:eastAsia="Roboto" w:hAnsi="Roboto" w:cs="Roboto"/>
          <w:b/>
          <w:bCs/>
          <w:sz w:val="20"/>
          <w:szCs w:val="20"/>
        </w:rPr>
      </w:pPr>
      <w:r w:rsidRPr="00DB63DB">
        <w:rPr>
          <w:rFonts w:ascii="Roboto" w:eastAsia="Roboto" w:hAnsi="Roboto" w:cs="Roboto"/>
          <w:b/>
          <w:bCs/>
          <w:noProof/>
          <w:sz w:val="20"/>
          <w:szCs w:val="20"/>
        </w:rPr>
        <w:drawing>
          <wp:inline distT="0" distB="0" distL="0" distR="0" wp14:anchorId="427BFE7B" wp14:editId="0FA2FBDF">
            <wp:extent cx="3122204" cy="1544642"/>
            <wp:effectExtent l="0" t="0" r="2540" b="5080"/>
            <wp:docPr id="190796201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962011" name=""/>
                    <pic:cNvPicPr/>
                  </pic:nvPicPr>
                  <pic:blipFill>
                    <a:blip r:embed="rId9"/>
                    <a:stretch>
                      <a:fillRect/>
                    </a:stretch>
                  </pic:blipFill>
                  <pic:spPr>
                    <a:xfrm>
                      <a:off x="0" y="0"/>
                      <a:ext cx="3127986" cy="1547503"/>
                    </a:xfrm>
                    <a:prstGeom prst="rect">
                      <a:avLst/>
                    </a:prstGeom>
                  </pic:spPr>
                </pic:pic>
              </a:graphicData>
            </a:graphic>
          </wp:inline>
        </w:drawing>
      </w:r>
    </w:p>
    <w:p w14:paraId="73A443B8" w14:textId="551E71C7" w:rsidR="007179ED" w:rsidRDefault="00000000" w:rsidP="00274B42">
      <w:pPr>
        <w:jc w:val="both"/>
        <w:rPr>
          <w:rFonts w:ascii="Roboto" w:eastAsia="Roboto" w:hAnsi="Roboto" w:cs="Roboto"/>
          <w:sz w:val="20"/>
          <w:szCs w:val="20"/>
        </w:rPr>
      </w:pPr>
      <w:r>
        <w:rPr>
          <w:rFonts w:ascii="Roboto" w:eastAsia="Roboto" w:hAnsi="Roboto" w:cs="Roboto"/>
          <w:b/>
          <w:bCs/>
          <w:sz w:val="20"/>
          <w:szCs w:val="20"/>
        </w:rPr>
        <w:t>Figura 1</w:t>
      </w:r>
      <w:r>
        <w:rPr>
          <w:rFonts w:ascii="Roboto" w:eastAsia="Roboto" w:hAnsi="Roboto" w:cs="Roboto"/>
          <w:sz w:val="20"/>
          <w:szCs w:val="20"/>
        </w:rPr>
        <w:t xml:space="preserve">. </w:t>
      </w:r>
      <w:r w:rsidR="00274B42" w:rsidRPr="00274B42">
        <w:rPr>
          <w:rFonts w:ascii="Roboto" w:eastAsia="Roboto" w:hAnsi="Roboto" w:cs="Roboto"/>
          <w:sz w:val="20"/>
          <w:szCs w:val="20"/>
        </w:rPr>
        <w:t xml:space="preserve">Amplificación del gen 16S en cepas bacterianas aisladas de la rizósfera de </w:t>
      </w:r>
      <w:r w:rsidR="00274B42" w:rsidRPr="00DB63DB">
        <w:rPr>
          <w:rFonts w:ascii="Roboto" w:eastAsia="Roboto" w:hAnsi="Roboto" w:cs="Roboto"/>
          <w:i/>
          <w:iCs/>
          <w:sz w:val="20"/>
          <w:szCs w:val="20"/>
        </w:rPr>
        <w:t>Citrus latifolia</w:t>
      </w:r>
      <w:r w:rsidR="00274B42" w:rsidRPr="00274B42">
        <w:rPr>
          <w:rFonts w:ascii="Roboto" w:eastAsia="Roboto" w:hAnsi="Roboto" w:cs="Roboto"/>
          <w:sz w:val="20"/>
          <w:szCs w:val="20"/>
        </w:rPr>
        <w:t>.</w:t>
      </w:r>
    </w:p>
    <w:p w14:paraId="0174646E" w14:textId="77777777" w:rsidR="00274B42" w:rsidRDefault="00274B42" w:rsidP="00274B42">
      <w:pPr>
        <w:jc w:val="both"/>
        <w:rPr>
          <w:rFonts w:ascii="Roboto" w:eastAsia="Roboto" w:hAnsi="Roboto" w:cs="Roboto"/>
          <w:color w:val="000000"/>
          <w:sz w:val="20"/>
          <w:szCs w:val="20"/>
        </w:rPr>
      </w:pPr>
    </w:p>
    <w:p w14:paraId="73D99D82" w14:textId="77777777" w:rsidR="00C36399" w:rsidRDefault="00C36399">
      <w:pPr>
        <w:jc w:val="both"/>
        <w:rPr>
          <w:rFonts w:ascii="Roboto" w:eastAsia="Roboto" w:hAnsi="Roboto" w:cs="Roboto"/>
          <w:b/>
          <w:bCs/>
          <w:sz w:val="20"/>
          <w:szCs w:val="20"/>
        </w:rPr>
      </w:pPr>
      <w:r w:rsidRPr="00C36399">
        <w:rPr>
          <w:rFonts w:ascii="Roboto" w:eastAsia="Roboto" w:hAnsi="Roboto" w:cs="Roboto"/>
          <w:b/>
          <w:bCs/>
          <w:sz w:val="20"/>
          <w:szCs w:val="20"/>
        </w:rPr>
        <w:t>CONCLUSIONES</w:t>
      </w:r>
    </w:p>
    <w:p w14:paraId="5C533649" w14:textId="0ABB2EF8" w:rsidR="00274B42" w:rsidRPr="00274B42" w:rsidRDefault="00274B42" w:rsidP="00274B42">
      <w:pPr>
        <w:jc w:val="both"/>
        <w:rPr>
          <w:rFonts w:ascii="Roboto" w:eastAsia="Roboto" w:hAnsi="Roboto" w:cs="Roboto"/>
          <w:sz w:val="20"/>
          <w:szCs w:val="20"/>
        </w:rPr>
      </w:pPr>
      <w:r w:rsidRPr="00274B42">
        <w:rPr>
          <w:rFonts w:ascii="Roboto" w:eastAsia="Roboto" w:hAnsi="Roboto" w:cs="Roboto"/>
          <w:sz w:val="20"/>
          <w:szCs w:val="20"/>
        </w:rPr>
        <w:t xml:space="preserve">La identificación molecular de las cepas bacterianas permitió evidenciar una diversidad taxonómica relevante en la rizósfera de Citrus latifolia, destacando </w:t>
      </w:r>
      <w:r w:rsidRPr="00274B42">
        <w:rPr>
          <w:rFonts w:ascii="Roboto" w:eastAsia="Roboto" w:hAnsi="Roboto" w:cs="Roboto"/>
          <w:sz w:val="20"/>
          <w:szCs w:val="20"/>
        </w:rPr>
        <w:lastRenderedPageBreak/>
        <w:t>géneros asociados a funciones promotoras de crecimiento vegetal.</w:t>
      </w:r>
    </w:p>
    <w:p w14:paraId="50A91150" w14:textId="38987BB1" w:rsidR="00C36399" w:rsidRDefault="00274B42" w:rsidP="00274B42">
      <w:pPr>
        <w:jc w:val="both"/>
        <w:rPr>
          <w:rFonts w:ascii="Roboto" w:eastAsia="Roboto" w:hAnsi="Roboto" w:cs="Roboto"/>
          <w:sz w:val="20"/>
          <w:szCs w:val="20"/>
        </w:rPr>
      </w:pPr>
      <w:r w:rsidRPr="00274B42">
        <w:rPr>
          <w:rFonts w:ascii="Roboto" w:eastAsia="Roboto" w:hAnsi="Roboto" w:cs="Roboto"/>
          <w:sz w:val="20"/>
          <w:szCs w:val="20"/>
        </w:rPr>
        <w:t>La presencia de microorganismos con capacidades funcionales como fijación de nitrógeno y solubilización de fosfatos refuerza su potencial como candidatos para el desarrollo de bioinoculantes. Estos hallazgos contribuyen al entendimiento de la microbiota rizosférica en suelos de baja fertilidad y establecen una base para futuras aplicaciones en agricultura sostenible.</w:t>
      </w:r>
    </w:p>
    <w:p w14:paraId="4D2025C1" w14:textId="77777777" w:rsidR="00274B42" w:rsidRDefault="00274B42" w:rsidP="00274B42">
      <w:pPr>
        <w:jc w:val="both"/>
        <w:rPr>
          <w:rFonts w:ascii="Roboto" w:eastAsia="Roboto" w:hAnsi="Roboto" w:cs="Roboto"/>
          <w:sz w:val="20"/>
          <w:szCs w:val="20"/>
        </w:rPr>
      </w:pPr>
    </w:p>
    <w:p w14:paraId="72D4DD9A" w14:textId="55FD770D" w:rsidR="007179ED" w:rsidRDefault="00000000">
      <w:pPr>
        <w:jc w:val="both"/>
        <w:rPr>
          <w:rFonts w:ascii="Roboto" w:eastAsia="Roboto" w:hAnsi="Roboto" w:cs="Roboto"/>
          <w:b/>
          <w:bCs/>
          <w:sz w:val="20"/>
          <w:szCs w:val="20"/>
        </w:rPr>
      </w:pPr>
      <w:r>
        <w:rPr>
          <w:rFonts w:ascii="Roboto" w:eastAsia="Roboto" w:hAnsi="Roboto" w:cs="Roboto"/>
          <w:b/>
          <w:bCs/>
          <w:sz w:val="20"/>
          <w:szCs w:val="20"/>
        </w:rPr>
        <w:t>AGRADECIMIENTOS</w:t>
      </w:r>
    </w:p>
    <w:p w14:paraId="47D106E7" w14:textId="1F3B23DD" w:rsidR="00274B42" w:rsidRDefault="00274B42">
      <w:pPr>
        <w:jc w:val="both"/>
        <w:rPr>
          <w:rFonts w:ascii="Roboto" w:eastAsia="Roboto" w:hAnsi="Roboto" w:cs="Roboto"/>
          <w:sz w:val="20"/>
          <w:szCs w:val="20"/>
        </w:rPr>
      </w:pPr>
      <w:r w:rsidRPr="00274B42">
        <w:rPr>
          <w:rFonts w:ascii="Roboto" w:eastAsia="Roboto" w:hAnsi="Roboto" w:cs="Roboto"/>
          <w:sz w:val="20"/>
          <w:szCs w:val="20"/>
        </w:rPr>
        <w:t>Se agradece a la Universidad Anáhuac Mayab y al Centro de Investigación Científica de Yucatán (CICY) por el apoyo institucional y técnico, así como a los estudiantes y al equipo de laboratorio por su valiosa colaboración.</w:t>
      </w:r>
    </w:p>
    <w:p w14:paraId="7C9229B0" w14:textId="77777777" w:rsidR="00274B42" w:rsidRDefault="00274B42">
      <w:pPr>
        <w:jc w:val="both"/>
        <w:rPr>
          <w:rFonts w:ascii="Roboto" w:eastAsia="Roboto" w:hAnsi="Roboto" w:cs="Roboto"/>
          <w:sz w:val="20"/>
          <w:szCs w:val="20"/>
        </w:rPr>
      </w:pPr>
    </w:p>
    <w:p w14:paraId="3A80F177" w14:textId="10CD23CC" w:rsidR="007179ED" w:rsidRDefault="00000000">
      <w:pPr>
        <w:jc w:val="both"/>
        <w:rPr>
          <w:rFonts w:ascii="Roboto" w:eastAsia="Roboto" w:hAnsi="Roboto" w:cs="Roboto"/>
          <w:b/>
          <w:bCs/>
          <w:sz w:val="20"/>
          <w:szCs w:val="20"/>
        </w:rPr>
      </w:pPr>
      <w:r>
        <w:rPr>
          <w:rFonts w:ascii="Roboto" w:eastAsia="Roboto" w:hAnsi="Roboto" w:cs="Roboto"/>
          <w:b/>
          <w:bCs/>
          <w:sz w:val="20"/>
          <w:szCs w:val="20"/>
        </w:rPr>
        <w:t>REFERENCIAS</w:t>
      </w:r>
    </w:p>
    <w:p w14:paraId="17AA9965" w14:textId="77777777" w:rsidR="00DB63DB" w:rsidRPr="00DB63DB" w:rsidRDefault="00DB63DB" w:rsidP="00DB63DB">
      <w:pPr>
        <w:jc w:val="both"/>
        <w:rPr>
          <w:rFonts w:ascii="Roboto" w:eastAsia="Roboto" w:hAnsi="Roboto" w:cs="Roboto"/>
          <w:sz w:val="20"/>
          <w:szCs w:val="20"/>
        </w:rPr>
      </w:pPr>
      <w:r w:rsidRPr="00DB63DB">
        <w:rPr>
          <w:rFonts w:ascii="Roboto" w:eastAsia="Roboto" w:hAnsi="Roboto" w:cs="Roboto"/>
          <w:sz w:val="20"/>
          <w:szCs w:val="20"/>
        </w:rPr>
        <w:t>Vessey, J. K. (2003). Plant growth promoting rhizobacteria as biofertilizers. Plant and Soil, 255, 571–586. https://doi.org/10.1023/A:1026037216893</w:t>
      </w:r>
    </w:p>
    <w:p w14:paraId="06CB803A" w14:textId="77777777" w:rsidR="00DB63DB" w:rsidRPr="00DB63DB" w:rsidRDefault="00DB63DB" w:rsidP="00DB63DB">
      <w:pPr>
        <w:jc w:val="both"/>
        <w:rPr>
          <w:rFonts w:ascii="Roboto" w:eastAsia="Roboto" w:hAnsi="Roboto" w:cs="Roboto"/>
          <w:sz w:val="20"/>
          <w:szCs w:val="20"/>
        </w:rPr>
      </w:pPr>
      <w:r w:rsidRPr="00DB63DB">
        <w:rPr>
          <w:rFonts w:ascii="Roboto" w:eastAsia="Roboto" w:hAnsi="Roboto" w:cs="Roboto"/>
          <w:sz w:val="20"/>
          <w:szCs w:val="20"/>
        </w:rPr>
        <w:t>Janda, J. M., &amp; Abbott, S. L. (2007). 16S rRNA gene sequencing for bacterial identification in the diagnostic laboratory. Journal of Clinical Microbiology, 45(9), 2761–2764. https://doi.org/10.1128/JCM.01228-07</w:t>
      </w:r>
    </w:p>
    <w:p w14:paraId="64D47175" w14:textId="4802DDF4" w:rsidR="00DB63DB" w:rsidRPr="00DB63DB" w:rsidRDefault="00DB63DB" w:rsidP="00DB63DB">
      <w:pPr>
        <w:jc w:val="both"/>
        <w:rPr>
          <w:rFonts w:ascii="Roboto" w:eastAsia="Roboto" w:hAnsi="Roboto" w:cs="Roboto"/>
          <w:sz w:val="20"/>
          <w:szCs w:val="20"/>
        </w:rPr>
      </w:pPr>
      <w:r w:rsidRPr="00DB63DB">
        <w:rPr>
          <w:rFonts w:ascii="Roboto" w:eastAsia="Roboto" w:hAnsi="Roboto" w:cs="Roboto"/>
          <w:sz w:val="20"/>
          <w:szCs w:val="20"/>
        </w:rPr>
        <w:t>Tapia-Tussell, R., Lappe, P., Ulloa, M., Quijano-Ramayo, A., Cáceres-Farfán, M., Larqué-Saavedra, A., &amp; Pérez-Brito, D. (2006). A rapid and simple method for DNA extraction from yeasts and fungi isolated from Agave fourcroydes. Molecular Biotechnology, 33(1), 67–70. https://doi.org/10.1385/MB:33:1:67</w:t>
      </w:r>
    </w:p>
    <w:p w14:paraId="7689D72D" w14:textId="370E48D6" w:rsidR="00DB63DB" w:rsidRDefault="00DB63DB">
      <w:pPr>
        <w:jc w:val="both"/>
        <w:rPr>
          <w:rFonts w:ascii="Roboto" w:eastAsia="Roboto" w:hAnsi="Roboto" w:cs="Roboto"/>
          <w:sz w:val="20"/>
          <w:szCs w:val="20"/>
        </w:rPr>
        <w:sectPr w:rsidR="00DB63DB">
          <w:type w:val="continuous"/>
          <w:pgSz w:w="11906" w:h="16838"/>
          <w:pgMar w:top="1134" w:right="851" w:bottom="1134" w:left="851" w:header="357" w:footer="720" w:gutter="0"/>
          <w:cols w:num="2" w:space="720" w:equalWidth="0">
            <w:col w:w="4934" w:space="335"/>
            <w:col w:w="4934" w:space="0"/>
          </w:cols>
        </w:sectPr>
      </w:pPr>
    </w:p>
    <w:p w14:paraId="2110D14F" w14:textId="77777777" w:rsidR="007179ED"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NO ELIMINAR ESTA HOJA DEL ARCHIVO. ENVÍE EL ARCHIVO COMPLETO</w:t>
      </w:r>
    </w:p>
    <w:p w14:paraId="1D3A9633" w14:textId="77777777" w:rsidR="007179ED"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6BA0D57A" w14:textId="77777777" w:rsidR="007179ED" w:rsidRDefault="00000000">
      <w:pPr>
        <w:spacing w:before="240"/>
        <w:jc w:val="center"/>
        <w:rPr>
          <w:rFonts w:ascii="Roboto" w:eastAsia="Roboto" w:hAnsi="Roboto" w:cs="Roboto"/>
          <w:b/>
          <w:bCs/>
          <w:sz w:val="20"/>
          <w:szCs w:val="20"/>
        </w:rPr>
      </w:pPr>
      <w:r>
        <w:rPr>
          <w:rFonts w:ascii="Roboto" w:eastAsia="Roboto" w:hAnsi="Roboto" w:cs="Roboto"/>
          <w:b/>
          <w:bCs/>
          <w:sz w:val="20"/>
          <w:szCs w:val="20"/>
        </w:rPr>
        <w:t>III Encuentro de Investigadores de la Red Internacional de Universidades Regnum Christi (RIU)</w:t>
      </w:r>
    </w:p>
    <w:p w14:paraId="142A96F2" w14:textId="77777777" w:rsidR="007179ED"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Memorias del III Encuentro de Investigadores de la Red Internacional de Universidades Regnum Christi (RIU)</w:t>
      </w:r>
      <w:r>
        <w:rPr>
          <w:rFonts w:ascii="Roboto" w:eastAsia="Roboto" w:hAnsi="Roboto" w:cs="Roboto"/>
          <w:sz w:val="20"/>
          <w:szCs w:val="20"/>
        </w:rPr>
        <w:t>, los autores declaran y aceptan lo siguiente:</w:t>
      </w:r>
    </w:p>
    <w:p w14:paraId="40ED6B80" w14:textId="77777777" w:rsidR="007179ED"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6F41E012" w14:textId="77777777" w:rsidR="007179ED"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4D3DF2D2" w14:textId="77777777" w:rsidR="007179ED"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5C994BDD" w14:textId="77777777" w:rsidR="007179ED"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00003482" w14:textId="77777777" w:rsidR="007179ED"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22EAFCD3" w14:textId="77777777" w:rsidR="007179ED"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2BF1FAD4" w14:textId="77777777" w:rsidR="007179ED"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7D3065E9" w14:textId="77777777" w:rsidR="007179ED"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44C2A61D" w14:textId="77777777" w:rsidR="007179ED"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7A6B73C8" w14:textId="77777777" w:rsidR="007179ED" w:rsidRDefault="0000000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Regnum Christi.</w:t>
      </w:r>
    </w:p>
    <w:p w14:paraId="0745CA47" w14:textId="77777777" w:rsidR="007179ED"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1B6DBA9F" w14:textId="77777777" w:rsidR="007179ED"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5B9D1B69" w14:textId="77777777" w:rsidR="007179ED"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35316715" w14:textId="77777777" w:rsidR="007179ED"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434C6599" w14:textId="77777777" w:rsidR="007179ED" w:rsidRDefault="0000000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64E277AB" w14:textId="77777777" w:rsidR="007179ED"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5F15DA33" w14:textId="77777777" w:rsidR="007179ED"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6460B2C3" w14:textId="77777777" w:rsidR="007179ED"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6CB6D3AE" w14:textId="77777777" w:rsidR="007179ED"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3CE3A92E" w14:textId="77777777" w:rsidR="007179ED" w:rsidRDefault="00000000">
      <w:pPr>
        <w:spacing w:before="240" w:after="240"/>
        <w:jc w:val="both"/>
        <w:rPr>
          <w:rFonts w:ascii="Roboto" w:eastAsia="Roboto" w:hAnsi="Roboto" w:cs="Roboto"/>
          <w:sz w:val="20"/>
          <w:szCs w:val="20"/>
        </w:rPr>
      </w:pPr>
      <w:r>
        <w:rPr>
          <w:rFonts w:ascii="Roboto" w:eastAsia="Roboto" w:hAnsi="Roboto" w:cs="Roboto"/>
          <w:sz w:val="20"/>
          <w:szCs w:val="20"/>
        </w:rPr>
        <w:t>(  Marque con X  )  Declaro que he leído y acepto los términos de esta declaración y autorización de publicación.</w:t>
      </w:r>
    </w:p>
    <w:p w14:paraId="04DE2401" w14:textId="77777777" w:rsidR="007179ED" w:rsidRDefault="00000000">
      <w:pPr>
        <w:spacing w:before="240" w:after="240"/>
        <w:jc w:val="both"/>
        <w:rPr>
          <w:rFonts w:ascii="Roboto" w:eastAsia="Roboto" w:hAnsi="Roboto" w:cs="Roboto"/>
          <w:sz w:val="20"/>
          <w:szCs w:val="20"/>
        </w:rPr>
      </w:pPr>
      <w:r>
        <w:rPr>
          <w:rFonts w:ascii="Roboto" w:eastAsia="Roboto" w:hAnsi="Roboto" w:cs="Roboto"/>
          <w:b/>
          <w:bCs/>
          <w:sz w:val="20"/>
          <w:szCs w:val="20"/>
        </w:rPr>
        <w:lastRenderedPageBreak/>
        <w:t>Autor responsable:</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Título del trabajo con autores:</w:t>
      </w:r>
    </w:p>
    <w:sectPr w:rsidR="007179ED">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95A01B" w14:textId="77777777" w:rsidR="00513D3E" w:rsidRDefault="00513D3E">
      <w:r>
        <w:separator/>
      </w:r>
    </w:p>
  </w:endnote>
  <w:endnote w:type="continuationSeparator" w:id="0">
    <w:p w14:paraId="7F2D9BB1" w14:textId="77777777" w:rsidR="00513D3E" w:rsidRDefault="00513D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0A31A162-5E37-FB4E-8ADD-7F3F37C44619}"/>
    <w:embedBold r:id="rId2" w:fontKey="{7E691D2C-E451-E443-A7C4-5DBD392ECB71}"/>
    <w:embedItalic r:id="rId3" w:fontKey="{770CA78F-0258-354E-A50C-B23F64B86B2A}"/>
  </w:font>
  <w:font w:name="Calibri">
    <w:panose1 w:val="020F0502020204030204"/>
    <w:charset w:val="00"/>
    <w:family w:val="swiss"/>
    <w:pitch w:val="variable"/>
    <w:sig w:usb0="E0002AFF" w:usb1="C000247B" w:usb2="00000009" w:usb3="00000000" w:csb0="000001FF" w:csb1="00000000"/>
    <w:embedRegular r:id="rId4" w:fontKey="{AF41B2C4-DC66-2345-A56B-37D6E4416AF5}"/>
  </w:font>
  <w:font w:name="Georgia">
    <w:panose1 w:val="02040502050405020303"/>
    <w:charset w:val="00"/>
    <w:family w:val="roman"/>
    <w:pitch w:val="variable"/>
    <w:sig w:usb0="00000287" w:usb1="00000000" w:usb2="00000000" w:usb3="00000000" w:csb0="0000009F" w:csb1="00000000"/>
    <w:embedItalic r:id="rId5" w:fontKey="{B569EEFE-F9F0-FA48-BC16-1AFFDAF3C0E4}"/>
  </w:font>
  <w:font w:name="Arial">
    <w:panose1 w:val="020B0604020202020204"/>
    <w:charset w:val="00"/>
    <w:family w:val="swiss"/>
    <w:pitch w:val="variable"/>
    <w:sig w:usb0="E0002AFF" w:usb1="C0007843" w:usb2="00000009" w:usb3="00000000" w:csb0="000001FF" w:csb1="00000000"/>
    <w:embedRegular r:id="rId6" w:fontKey="{BD6772F4-9EBD-9A4F-B5E2-D0B4F85C945E}"/>
  </w:font>
  <w:font w:name="Roboto">
    <w:panose1 w:val="02000000000000000000"/>
    <w:charset w:val="00"/>
    <w:family w:val="auto"/>
    <w:pitch w:val="variable"/>
    <w:sig w:usb0="E0000AFF" w:usb1="5000217F" w:usb2="00000021" w:usb3="00000000" w:csb0="0000019F" w:csb1="00000000"/>
    <w:embedRegular r:id="rId7" w:fontKey="{736E6F28-F9B1-4F45-90ED-4F706AA0220F}"/>
    <w:embedBold r:id="rId8" w:fontKey="{F003FB9F-4CAE-F74C-8835-C6775B4C3C58}"/>
    <w:embedItalic r:id="rId9" w:fontKey="{39BDA9AC-B1C3-CC4A-B35D-32E2736D51D5}"/>
    <w:embedBoldItalic r:id="rId10" w:fontKey="{2C6F7521-2C8F-CB46-AC37-28360C759123}"/>
  </w:font>
  <w:font w:name="Calibri Light">
    <w:panose1 w:val="020F0302020204030204"/>
    <w:charset w:val="00"/>
    <w:family w:val="swiss"/>
    <w:pitch w:val="variable"/>
    <w:sig w:usb0="E0002AFF" w:usb1="C000247B" w:usb2="00000009" w:usb3="00000000" w:csb0="000001FF" w:csb1="00000000"/>
    <w:embedRegular r:id="rId11" w:fontKey="{C80A7371-741F-2C4E-A2D8-EFD04C2F54C3}"/>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FCBDF6" w14:textId="77777777" w:rsidR="00513D3E" w:rsidRDefault="00513D3E">
      <w:r>
        <w:separator/>
      </w:r>
    </w:p>
  </w:footnote>
  <w:footnote w:type="continuationSeparator" w:id="0">
    <w:p w14:paraId="357C0EA4" w14:textId="77777777" w:rsidR="00513D3E" w:rsidRDefault="00513D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7E503A" w14:textId="77777777" w:rsidR="007179ED" w:rsidRDefault="007179ED">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7179ED" w14:paraId="620718FE" w14:textId="77777777">
      <w:trPr>
        <w:trHeight w:val="345"/>
        <w:jc w:val="center"/>
      </w:trPr>
      <w:tc>
        <w:tcPr>
          <w:tcW w:w="6306" w:type="dxa"/>
          <w:vAlign w:val="center"/>
        </w:tcPr>
        <w:p w14:paraId="59D8822F" w14:textId="77777777" w:rsidR="007179ED" w:rsidRDefault="007179ED">
          <w:pPr>
            <w:jc w:val="center"/>
            <w:rPr>
              <w:i/>
              <w:iCs/>
              <w:sz w:val="18"/>
              <w:szCs w:val="18"/>
            </w:rPr>
          </w:pPr>
        </w:p>
      </w:tc>
    </w:tr>
  </w:tbl>
  <w:p w14:paraId="4556B2E5" w14:textId="77777777" w:rsidR="007179ED" w:rsidRDefault="007179ED">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482D34"/>
    <w:multiLevelType w:val="multilevel"/>
    <w:tmpl w:val="C34491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4B6C2802"/>
    <w:multiLevelType w:val="multilevel"/>
    <w:tmpl w:val="2B5CF1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481116421">
    <w:abstractNumId w:val="1"/>
  </w:num>
  <w:num w:numId="2" w16cid:durableId="11430860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5"/>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79ED"/>
    <w:rsid w:val="001F554D"/>
    <w:rsid w:val="00274B42"/>
    <w:rsid w:val="003E0A86"/>
    <w:rsid w:val="00513D3E"/>
    <w:rsid w:val="00560AD6"/>
    <w:rsid w:val="007179ED"/>
    <w:rsid w:val="00C22AE4"/>
    <w:rsid w:val="00C36399"/>
    <w:rsid w:val="00C5133C"/>
    <w:rsid w:val="00CE3D1A"/>
    <w:rsid w:val="00CF0F6D"/>
    <w:rsid w:val="00DB63DB"/>
    <w:rsid w:val="00DF4622"/>
    <w:rsid w:val="00E73BA4"/>
    <w:rsid w:val="00F204F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24C607"/>
  <w15:docId w15:val="{A486AC54-6C4F-2846-ADF1-26F68D8309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paragraph" w:customStyle="1" w:styleId="p1">
    <w:name w:val="p1"/>
    <w:basedOn w:val="Normal"/>
    <w:rsid w:val="00C36399"/>
    <w:rPr>
      <w:rFonts w:ascii="Arial" w:hAnsi="Arial" w:cs="Arial"/>
      <w:color w:val="000000"/>
      <w:sz w:val="17"/>
      <w:szCs w:val="17"/>
    </w:rPr>
  </w:style>
  <w:style w:type="paragraph" w:customStyle="1" w:styleId="p2">
    <w:name w:val="p2"/>
    <w:basedOn w:val="Normal"/>
    <w:rsid w:val="00C36399"/>
    <w:rPr>
      <w:rFonts w:ascii="Arial" w:hAnsi="Arial" w:cs="Arial"/>
      <w:color w:val="103BC0"/>
      <w:sz w:val="17"/>
      <w:szCs w:val="17"/>
    </w:rPr>
  </w:style>
  <w:style w:type="character" w:customStyle="1" w:styleId="s1">
    <w:name w:val="s1"/>
    <w:basedOn w:val="Fuentedeprrafopredeter"/>
    <w:rsid w:val="00C36399"/>
    <w:rPr>
      <w:rFonts w:ascii="Arial" w:hAnsi="Arial" w:cs="Arial" w:hint="default"/>
      <w:sz w:val="11"/>
      <w:szCs w:val="11"/>
    </w:rPr>
  </w:style>
  <w:style w:type="character" w:customStyle="1" w:styleId="s2">
    <w:name w:val="s2"/>
    <w:basedOn w:val="Fuentedeprrafopredeter"/>
    <w:rsid w:val="00C36399"/>
    <w:rPr>
      <w:color w:val="000000"/>
    </w:rPr>
  </w:style>
  <w:style w:type="character" w:styleId="nfasis">
    <w:name w:val="Emphasis"/>
    <w:basedOn w:val="Fuentedeprrafopredeter"/>
    <w:uiPriority w:val="20"/>
    <w:qFormat/>
    <w:rsid w:val="00274B42"/>
    <w:rPr>
      <w:i/>
      <w:iCs/>
    </w:rPr>
  </w:style>
  <w:style w:type="character" w:customStyle="1" w:styleId="apple-converted-space">
    <w:name w:val="apple-converted-space"/>
    <w:basedOn w:val="Fuentedeprrafopredeter"/>
    <w:rsid w:val="00274B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82810">
      <w:bodyDiv w:val="1"/>
      <w:marLeft w:val="0"/>
      <w:marRight w:val="0"/>
      <w:marTop w:val="0"/>
      <w:marBottom w:val="0"/>
      <w:divBdr>
        <w:top w:val="none" w:sz="0" w:space="0" w:color="auto"/>
        <w:left w:val="none" w:sz="0" w:space="0" w:color="auto"/>
        <w:bottom w:val="none" w:sz="0" w:space="0" w:color="auto"/>
        <w:right w:val="none" w:sz="0" w:space="0" w:color="auto"/>
      </w:divBdr>
    </w:div>
    <w:div w:id="131214559">
      <w:bodyDiv w:val="1"/>
      <w:marLeft w:val="0"/>
      <w:marRight w:val="0"/>
      <w:marTop w:val="0"/>
      <w:marBottom w:val="0"/>
      <w:divBdr>
        <w:top w:val="none" w:sz="0" w:space="0" w:color="auto"/>
        <w:left w:val="none" w:sz="0" w:space="0" w:color="auto"/>
        <w:bottom w:val="none" w:sz="0" w:space="0" w:color="auto"/>
        <w:right w:val="none" w:sz="0" w:space="0" w:color="auto"/>
      </w:divBdr>
    </w:div>
    <w:div w:id="187641953">
      <w:bodyDiv w:val="1"/>
      <w:marLeft w:val="0"/>
      <w:marRight w:val="0"/>
      <w:marTop w:val="0"/>
      <w:marBottom w:val="0"/>
      <w:divBdr>
        <w:top w:val="none" w:sz="0" w:space="0" w:color="auto"/>
        <w:left w:val="none" w:sz="0" w:space="0" w:color="auto"/>
        <w:bottom w:val="none" w:sz="0" w:space="0" w:color="auto"/>
        <w:right w:val="none" w:sz="0" w:space="0" w:color="auto"/>
      </w:divBdr>
    </w:div>
    <w:div w:id="494079096">
      <w:bodyDiv w:val="1"/>
      <w:marLeft w:val="0"/>
      <w:marRight w:val="0"/>
      <w:marTop w:val="0"/>
      <w:marBottom w:val="0"/>
      <w:divBdr>
        <w:top w:val="none" w:sz="0" w:space="0" w:color="auto"/>
        <w:left w:val="none" w:sz="0" w:space="0" w:color="auto"/>
        <w:bottom w:val="none" w:sz="0" w:space="0" w:color="auto"/>
        <w:right w:val="none" w:sz="0" w:space="0" w:color="auto"/>
      </w:divBdr>
    </w:div>
    <w:div w:id="615872934">
      <w:bodyDiv w:val="1"/>
      <w:marLeft w:val="0"/>
      <w:marRight w:val="0"/>
      <w:marTop w:val="0"/>
      <w:marBottom w:val="0"/>
      <w:divBdr>
        <w:top w:val="none" w:sz="0" w:space="0" w:color="auto"/>
        <w:left w:val="none" w:sz="0" w:space="0" w:color="auto"/>
        <w:bottom w:val="none" w:sz="0" w:space="0" w:color="auto"/>
        <w:right w:val="none" w:sz="0" w:space="0" w:color="auto"/>
      </w:divBdr>
    </w:div>
    <w:div w:id="657197669">
      <w:bodyDiv w:val="1"/>
      <w:marLeft w:val="0"/>
      <w:marRight w:val="0"/>
      <w:marTop w:val="0"/>
      <w:marBottom w:val="0"/>
      <w:divBdr>
        <w:top w:val="none" w:sz="0" w:space="0" w:color="auto"/>
        <w:left w:val="none" w:sz="0" w:space="0" w:color="auto"/>
        <w:bottom w:val="none" w:sz="0" w:space="0" w:color="auto"/>
        <w:right w:val="none" w:sz="0" w:space="0" w:color="auto"/>
      </w:divBdr>
    </w:div>
    <w:div w:id="814487230">
      <w:bodyDiv w:val="1"/>
      <w:marLeft w:val="0"/>
      <w:marRight w:val="0"/>
      <w:marTop w:val="0"/>
      <w:marBottom w:val="0"/>
      <w:divBdr>
        <w:top w:val="none" w:sz="0" w:space="0" w:color="auto"/>
        <w:left w:val="none" w:sz="0" w:space="0" w:color="auto"/>
        <w:bottom w:val="none" w:sz="0" w:space="0" w:color="auto"/>
        <w:right w:val="none" w:sz="0" w:space="0" w:color="auto"/>
      </w:divBdr>
    </w:div>
    <w:div w:id="823279467">
      <w:bodyDiv w:val="1"/>
      <w:marLeft w:val="0"/>
      <w:marRight w:val="0"/>
      <w:marTop w:val="0"/>
      <w:marBottom w:val="0"/>
      <w:divBdr>
        <w:top w:val="none" w:sz="0" w:space="0" w:color="auto"/>
        <w:left w:val="none" w:sz="0" w:space="0" w:color="auto"/>
        <w:bottom w:val="none" w:sz="0" w:space="0" w:color="auto"/>
        <w:right w:val="none" w:sz="0" w:space="0" w:color="auto"/>
      </w:divBdr>
    </w:div>
    <w:div w:id="861166892">
      <w:bodyDiv w:val="1"/>
      <w:marLeft w:val="0"/>
      <w:marRight w:val="0"/>
      <w:marTop w:val="0"/>
      <w:marBottom w:val="0"/>
      <w:divBdr>
        <w:top w:val="none" w:sz="0" w:space="0" w:color="auto"/>
        <w:left w:val="none" w:sz="0" w:space="0" w:color="auto"/>
        <w:bottom w:val="none" w:sz="0" w:space="0" w:color="auto"/>
        <w:right w:val="none" w:sz="0" w:space="0" w:color="auto"/>
      </w:divBdr>
    </w:div>
    <w:div w:id="1145468708">
      <w:bodyDiv w:val="1"/>
      <w:marLeft w:val="0"/>
      <w:marRight w:val="0"/>
      <w:marTop w:val="0"/>
      <w:marBottom w:val="0"/>
      <w:divBdr>
        <w:top w:val="none" w:sz="0" w:space="0" w:color="auto"/>
        <w:left w:val="none" w:sz="0" w:space="0" w:color="auto"/>
        <w:bottom w:val="none" w:sz="0" w:space="0" w:color="auto"/>
        <w:right w:val="none" w:sz="0" w:space="0" w:color="auto"/>
      </w:divBdr>
    </w:div>
    <w:div w:id="1494836875">
      <w:bodyDiv w:val="1"/>
      <w:marLeft w:val="0"/>
      <w:marRight w:val="0"/>
      <w:marTop w:val="0"/>
      <w:marBottom w:val="0"/>
      <w:divBdr>
        <w:top w:val="none" w:sz="0" w:space="0" w:color="auto"/>
        <w:left w:val="none" w:sz="0" w:space="0" w:color="auto"/>
        <w:bottom w:val="none" w:sz="0" w:space="0" w:color="auto"/>
        <w:right w:val="none" w:sz="0" w:space="0" w:color="auto"/>
      </w:divBdr>
    </w:div>
    <w:div w:id="1542326872">
      <w:bodyDiv w:val="1"/>
      <w:marLeft w:val="0"/>
      <w:marRight w:val="0"/>
      <w:marTop w:val="0"/>
      <w:marBottom w:val="0"/>
      <w:divBdr>
        <w:top w:val="none" w:sz="0" w:space="0" w:color="auto"/>
        <w:left w:val="none" w:sz="0" w:space="0" w:color="auto"/>
        <w:bottom w:val="none" w:sz="0" w:space="0" w:color="auto"/>
        <w:right w:val="none" w:sz="0" w:space="0" w:color="auto"/>
      </w:divBdr>
    </w:div>
    <w:div w:id="1574120817">
      <w:bodyDiv w:val="1"/>
      <w:marLeft w:val="0"/>
      <w:marRight w:val="0"/>
      <w:marTop w:val="0"/>
      <w:marBottom w:val="0"/>
      <w:divBdr>
        <w:top w:val="none" w:sz="0" w:space="0" w:color="auto"/>
        <w:left w:val="none" w:sz="0" w:space="0" w:color="auto"/>
        <w:bottom w:val="none" w:sz="0" w:space="0" w:color="auto"/>
        <w:right w:val="none" w:sz="0" w:space="0" w:color="auto"/>
      </w:divBdr>
    </w:div>
    <w:div w:id="1952588110">
      <w:bodyDiv w:val="1"/>
      <w:marLeft w:val="0"/>
      <w:marRight w:val="0"/>
      <w:marTop w:val="0"/>
      <w:marBottom w:val="0"/>
      <w:divBdr>
        <w:top w:val="none" w:sz="0" w:space="0" w:color="auto"/>
        <w:left w:val="none" w:sz="0" w:space="0" w:color="auto"/>
        <w:bottom w:val="none" w:sz="0" w:space="0" w:color="auto"/>
        <w:right w:val="none" w:sz="0" w:space="0" w:color="auto"/>
      </w:divBdr>
    </w:div>
    <w:div w:id="19675453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4</Pages>
  <Words>1367</Words>
  <Characters>7521</Characters>
  <Application>Microsoft Office Word</Application>
  <DocSecurity>0</DocSecurity>
  <Lines>62</Lines>
  <Paragraphs>17</Paragraphs>
  <ScaleCrop>false</ScaleCrop>
  <Company/>
  <LinksUpToDate>false</LinksUpToDate>
  <CharactersWithSpaces>8871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Isabel García Cámara</cp:lastModifiedBy>
  <cp:revision>8</cp:revision>
  <dcterms:created xsi:type="dcterms:W3CDTF">2026-03-19T22:43:00Z</dcterms:created>
  <dcterms:modified xsi:type="dcterms:W3CDTF">2026-03-31T16:12:00Z</dcterms:modified>
</cp:coreProperties>
</file>