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BB70C" w14:textId="77777777" w:rsidR="008D500C" w:rsidRDefault="008D500C" w:rsidP="00C36399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 w:rsidRPr="008D500C">
        <w:rPr>
          <w:rFonts w:ascii="Roboto" w:eastAsia="Roboto" w:hAnsi="Roboto" w:cs="Roboto"/>
          <w:b/>
          <w:bCs/>
          <w:color w:val="000000"/>
        </w:rPr>
        <w:t xml:space="preserve">Caracterización funcional de cepas bacterianas promotoras de crecimiento vegetal aisladas de la rizósfera de </w:t>
      </w:r>
      <w:r w:rsidRPr="008D500C">
        <w:rPr>
          <w:rFonts w:ascii="Roboto" w:eastAsia="Roboto" w:hAnsi="Roboto" w:cs="Roboto"/>
          <w:b/>
          <w:bCs/>
          <w:i/>
          <w:iCs/>
          <w:color w:val="000000"/>
        </w:rPr>
        <w:t>Citrus latifolia</w:t>
      </w:r>
    </w:p>
    <w:p w14:paraId="1C9C662C" w14:textId="74AA8EF5" w:rsidR="00C36399" w:rsidRPr="00C36399" w:rsidRDefault="00C36399" w:rsidP="00C36399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Romero-Ávila M.¹, Hernández-Cruz X.¹, Cortés-Velázquez A.², Nexticapan-Garcéz A.², Pijeira-Fernández G.</w:t>
      </w:r>
      <w:r w:rsidR="00FA3664"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²</w:t>
      </w:r>
      <w:r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, Magaña-Álvarez A.², Tec-Sánchez J.A.¹</w:t>
      </w:r>
      <w:r w:rsidR="002F697C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</w:t>
      </w:r>
      <w:r w:rsidR="002F697C"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García-Cámara I.¹</w:t>
      </w:r>
      <w:r w:rsidR="002F697C">
        <w:rPr>
          <w:rFonts w:ascii="Roboto" w:eastAsia="Roboto" w:hAnsi="Roboto" w:cs="Roboto"/>
          <w:b/>
          <w:bCs/>
          <w:color w:val="000000"/>
          <w:sz w:val="20"/>
          <w:szCs w:val="20"/>
        </w:rPr>
        <w:t>*</w:t>
      </w:r>
    </w:p>
    <w:p w14:paraId="72A44EE9" w14:textId="4E3B5406" w:rsidR="008D500C" w:rsidRPr="00C36399" w:rsidRDefault="002F697C" w:rsidP="008D500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*</w:t>
      </w:r>
      <w:r w:rsidR="008D500C"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¹Universidad Anáhuac Mayab</w:t>
      </w:r>
      <w:r w:rsidR="008D500C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, ORCID </w:t>
      </w:r>
      <w:r w:rsidR="008D500C" w:rsidRPr="0079146F">
        <w:rPr>
          <w:rFonts w:ascii="Roboto" w:eastAsia="Roboto" w:hAnsi="Roboto" w:cs="Roboto"/>
          <w:b/>
          <w:bCs/>
          <w:color w:val="000000"/>
          <w:sz w:val="20"/>
          <w:szCs w:val="20"/>
        </w:rPr>
        <w:t>0000-0002-6986-4814</w:t>
      </w:r>
    </w:p>
    <w:p w14:paraId="247440D9" w14:textId="7C76A815" w:rsidR="008D500C" w:rsidRPr="00C36399" w:rsidRDefault="008D500C" w:rsidP="008D500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²Centro de Investigación Científica de Yucatán A.C.</w:t>
      </w:r>
    </w:p>
    <w:p w14:paraId="0A11CE10" w14:textId="77777777" w:rsidR="007179ED" w:rsidRDefault="00AF2378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7179ED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5917E91E">
          <v:rect id="_x0000_i1025" alt="" style="width:441.9pt;height:.05pt;mso-width-percent:0;mso-height-percent:0;mso-width-percent:0;mso-height-percent:0" o:hralign="center" o:hrstd="t" o:hr="t" fillcolor="#a0a0a0" stroked="f"/>
        </w:pict>
      </w:r>
    </w:p>
    <w:p w14:paraId="03E6B0C9" w14:textId="77777777" w:rsidR="00C36399" w:rsidRPr="00C36399" w:rsidRDefault="00C36399" w:rsidP="00C3639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INTRODUCCIÓN</w:t>
      </w:r>
    </w:p>
    <w:p w14:paraId="190CB0B6" w14:textId="4E1505E4" w:rsidR="008D500C" w:rsidRP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Los suelos kársticos de la península de Yucatán se caracterizan por su baja fertilidad, limitada disponibilidad de nitrógeno y fósforo, así como alta permeabilidad, lo que favorece la lixiviación de nutrientes y agroquímicos hacia el manto acuífero (Bautista, 2011; Borges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et al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., 2008). Estas condiciones incrementan la dependencia de fertilizantes químicos, cuyo uso intensivo genera impactos negativos en el ambiente y la salud humana (Guzmán-Plazola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et al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., 2016).</w:t>
      </w:r>
    </w:p>
    <w:p w14:paraId="428D867C" w14:textId="178FEB79" w:rsidR="008D500C" w:rsidRP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En este contexto, las bacterias promotoras de crecimiento vegetal (PGPB) representan una alternativa sostenible, ya que pueden mejorar la disponibilidad de nutrientes mediante mecanismos como la fijación biológica de nitrógeno y la solubilización de fosfatos, además de contribuir a la tolerancia al estrés y protección contra patógenos (Benjumeda, 2017; Bautista-Cruz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et al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., 2015).</w:t>
      </w:r>
    </w:p>
    <w:p w14:paraId="450027C9" w14:textId="74F74F15" w:rsidR="00C36399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La rizósfera de cultivos de importancia económica, como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Citrus latifolia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, constituye un reservorio clave de microorganismos con potencial funcional, lo que hace relevante su estudio para el desarrollo de biofertilizantes adaptados a condiciones locales.</w:t>
      </w:r>
    </w:p>
    <w:p w14:paraId="059575AF" w14:textId="77777777" w:rsid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115FDD7" w14:textId="7F5255A4" w:rsidR="007179ED" w:rsidRDefault="00C3639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OBJETIVO</w:t>
      </w:r>
    </w:p>
    <w:p w14:paraId="6A166F1D" w14:textId="0AD1D29D" w:rsidR="00C36399" w:rsidRDefault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Evaluar la capacidad funcional de cepas bacterianas aisladas de la rizósfera de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Citrus latifolia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, mediante la determinación de actividades promotoras de crecimiento vegetal como fijación de nitrógeno y solubilización de fosfato.</w:t>
      </w:r>
    </w:p>
    <w:p w14:paraId="3B7E7BB5" w14:textId="77777777" w:rsidR="008D500C" w:rsidRDefault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5819433C" w14:textId="77777777" w:rsidR="00C36399" w:rsidRPr="00C36399" w:rsidRDefault="00C36399" w:rsidP="00C3639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C36399"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0544AFC1" w14:textId="07494D2A" w:rsidR="008D500C" w:rsidRP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Se recolectaron muestras de suelo rizosférico de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Citrus latifolia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 en Sacalúm, Yucatán. A partir de estas, se realizaron diluciones seriadas y siembra en medios de cultivo Luria-Bertani (LB) y Nutrient Broth Yeast extract (NBY), incubadas a 28 °C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por 7 días 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para el aislamiento de colonias bacterianas.</w:t>
      </w:r>
    </w:p>
    <w:p w14:paraId="1C179D20" w14:textId="77777777" w:rsid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>Las cepas aisladas fueron purificadas y caracterizadas morfológicamente, incluyendo tinción de Gram. Posteriormente, se evaluó su capacidad funcional mediante: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</w:p>
    <w:p w14:paraId="374C56D3" w14:textId="1E1B65A8" w:rsidR="008D500C" w:rsidRPr="008D500C" w:rsidRDefault="008D500C" w:rsidP="008D500C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Fijación de nitrógeno, utilizando medio semisólido Jensen’s Modified (JMV), donde el crecimiento bacteriano en ausencia de nitrógeno disponible indica actividad fijadora (Divan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et al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., 1996).</w:t>
      </w:r>
    </w:p>
    <w:p w14:paraId="06ABB9F1" w14:textId="77777777" w:rsidR="008D500C" w:rsidRPr="008D500C" w:rsidRDefault="008D500C" w:rsidP="008D500C">
      <w:pPr>
        <w:pStyle w:val="Prrafodelista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 xml:space="preserve">Solubilización de fosfato, mediante cultivo en medio NBRIP, evidenciada por la formación de halos de solubilización y cambio de color del indicador de pH debido a la producción de ácidos orgánicos (Gómez </w:t>
      </w:r>
      <w:r w:rsidRPr="008D500C">
        <w:rPr>
          <w:rFonts w:ascii="Roboto" w:eastAsia="Roboto" w:hAnsi="Roboto" w:cs="Roboto"/>
          <w:i/>
          <w:iCs/>
          <w:color w:val="000000"/>
          <w:sz w:val="20"/>
          <w:szCs w:val="20"/>
        </w:rPr>
        <w:t>et al</w:t>
      </w:r>
      <w:r w:rsidRPr="008D500C">
        <w:rPr>
          <w:rFonts w:ascii="Roboto" w:eastAsia="Roboto" w:hAnsi="Roboto" w:cs="Roboto"/>
          <w:color w:val="000000"/>
          <w:sz w:val="20"/>
          <w:szCs w:val="20"/>
        </w:rPr>
        <w:t>., 2014).</w:t>
      </w:r>
    </w:p>
    <w:p w14:paraId="55CE953D" w14:textId="05090B80" w:rsidR="00C36399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>Las cepas fueron clasificadas de acuerdo con la presencia de actividades individuales o duales.</w:t>
      </w:r>
    </w:p>
    <w:p w14:paraId="4A1FF81B" w14:textId="77777777" w:rsidR="008D500C" w:rsidRDefault="008D500C" w:rsidP="008D500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8D477CE" w14:textId="58EEDA22" w:rsidR="007179ED" w:rsidRDefault="00C3639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RESULTADOS</w:t>
      </w:r>
    </w:p>
    <w:p w14:paraId="67CACBFA" w14:textId="7C2D11C9" w:rsidR="008D500C" w:rsidRPr="008D500C" w:rsidRDefault="006B09CE" w:rsidP="008D500C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6B09CE">
        <w:rPr>
          <w:rFonts w:ascii="Roboto" w:eastAsia="Roboto" w:hAnsi="Roboto" w:cs="Roboto"/>
          <w:color w:val="000000"/>
          <w:sz w:val="20"/>
          <w:szCs w:val="20"/>
        </w:rPr>
        <w:t>Se aislaron 11 cepas bacterianas con morfologías diferenciadas. Del total, aproximadamente el 70–80% presentó al menos una actividad promotora de crecimiento vegetal, mientras que tres cepas exhibieron actividad dual, lo que resalta su potencial funcional</w:t>
      </w:r>
      <w:r w:rsidR="008D500C" w:rsidRPr="008D500C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2353AACE" w14:textId="0A9A2AF3" w:rsidR="008D500C" w:rsidRDefault="008D500C" w:rsidP="008D500C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>La solubilización de fosfato se evidenció mediante la formación de halos claros alrededor de las colonias y el cambio de coloración del medio, indicando acidificación. Por otro lado, la fijación de nitrógeno se confirmó por el crecimiento en medio JMV en condiciones limitantes de este nutriente.</w:t>
      </w:r>
    </w:p>
    <w:p w14:paraId="4B0A38DE" w14:textId="576E5CAE" w:rsidR="008D500C" w:rsidRDefault="008D500C" w:rsidP="008D500C">
      <w:pPr>
        <w:keepNext/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8D500C">
        <w:rPr>
          <w:rFonts w:ascii="Roboto" w:eastAsia="Roboto" w:hAnsi="Roboto" w:cs="Roboto"/>
          <w:color w:val="000000"/>
          <w:sz w:val="20"/>
          <w:szCs w:val="20"/>
        </w:rPr>
        <w:t>Las cepas con actividad dual representan los candidatos más prometedores, al combinar mecanismos que favorecen simultáneamente la disponibilidad de nitrógeno y fósforo, nutrientes críticos en suelos kársticos.</w:t>
      </w:r>
    </w:p>
    <w:p w14:paraId="55477147" w14:textId="70C58575" w:rsidR="007179ED" w:rsidRDefault="00000000" w:rsidP="008D500C">
      <w:pPr>
        <w:keepNext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Tabla 1.</w:t>
      </w:r>
      <w:r>
        <w:rPr>
          <w:rFonts w:ascii="Roboto" w:eastAsia="Roboto" w:hAnsi="Roboto" w:cs="Roboto"/>
          <w:sz w:val="20"/>
          <w:szCs w:val="20"/>
        </w:rPr>
        <w:t xml:space="preserve"> </w:t>
      </w:r>
      <w:r w:rsidR="008D500C" w:rsidRPr="008D500C">
        <w:rPr>
          <w:rFonts w:ascii="Roboto" w:eastAsia="Roboto" w:hAnsi="Roboto" w:cs="Roboto"/>
          <w:sz w:val="20"/>
          <w:szCs w:val="20"/>
        </w:rPr>
        <w:t xml:space="preserve">Caracterización funcional de cepas bacterianas aisladas de la rizósfera de </w:t>
      </w:r>
      <w:r w:rsidR="008D500C" w:rsidRPr="008D500C">
        <w:rPr>
          <w:rFonts w:ascii="Roboto" w:eastAsia="Roboto" w:hAnsi="Roboto" w:cs="Roboto"/>
          <w:i/>
          <w:iCs/>
          <w:sz w:val="20"/>
          <w:szCs w:val="20"/>
        </w:rPr>
        <w:t>Citrus latifolia</w:t>
      </w:r>
      <w:r w:rsidR="008D500C" w:rsidRPr="008D500C">
        <w:rPr>
          <w:rFonts w:ascii="Roboto" w:eastAsia="Roboto" w:hAnsi="Roboto" w:cs="Roboto"/>
          <w:sz w:val="20"/>
          <w:szCs w:val="20"/>
        </w:rPr>
        <w:t>.</w:t>
      </w:r>
    </w:p>
    <w:tbl>
      <w:tblPr>
        <w:tblW w:w="4934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82"/>
        <w:gridCol w:w="1676"/>
        <w:gridCol w:w="1348"/>
        <w:gridCol w:w="1128"/>
      </w:tblGrid>
      <w:tr w:rsidR="008D500C" w:rsidRPr="008D500C" w14:paraId="7FE78E45" w14:textId="77777777" w:rsidTr="008D500C">
        <w:trPr>
          <w:tblHeader/>
          <w:tblCellSpacing w:w="15" w:type="dxa"/>
        </w:trPr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77824625" w14:textId="77777777" w:rsidR="008D500C" w:rsidRPr="008D500C" w:rsidRDefault="008D500C">
            <w:pPr>
              <w:jc w:val="center"/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  <w:t>Cepa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5BC9DFF1" w14:textId="77777777" w:rsidR="008D500C" w:rsidRPr="008D500C" w:rsidRDefault="008D500C">
            <w:pPr>
              <w:jc w:val="center"/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  <w:t>Solubilización de fosfato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6AA10CF8" w14:textId="77777777" w:rsidR="008D500C" w:rsidRPr="008D500C" w:rsidRDefault="008D500C">
            <w:pPr>
              <w:jc w:val="center"/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  <w:t>Fijación de nitrógeno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3F7B7FED" w14:textId="77777777" w:rsidR="008D500C" w:rsidRPr="008D500C" w:rsidRDefault="008D500C">
            <w:pPr>
              <w:jc w:val="center"/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b/>
                <w:bCs/>
                <w:color w:val="000000"/>
                <w:sz w:val="18"/>
                <w:szCs w:val="18"/>
              </w:rPr>
              <w:t>Tinción de Gram</w:t>
            </w:r>
          </w:p>
        </w:tc>
      </w:tr>
      <w:tr w:rsidR="008D500C" w:rsidRPr="008D500C" w14:paraId="21DF826F" w14:textId="77777777" w:rsidTr="008D500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49F1D6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M1D1BC</w:t>
            </w:r>
          </w:p>
        </w:tc>
        <w:tc>
          <w:tcPr>
            <w:tcW w:w="0" w:type="auto"/>
            <w:vAlign w:val="center"/>
            <w:hideMark/>
          </w:tcPr>
          <w:p w14:paraId="3CCF99DA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+/-</w:t>
            </w:r>
          </w:p>
        </w:tc>
        <w:tc>
          <w:tcPr>
            <w:tcW w:w="0" w:type="auto"/>
            <w:vAlign w:val="center"/>
            <w:hideMark/>
          </w:tcPr>
          <w:p w14:paraId="034E0476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</w:t>
            </w:r>
          </w:p>
        </w:tc>
        <w:tc>
          <w:tcPr>
            <w:tcW w:w="0" w:type="auto"/>
            <w:vAlign w:val="center"/>
            <w:hideMark/>
          </w:tcPr>
          <w:p w14:paraId="630DC22F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Negativa</w:t>
            </w:r>
          </w:p>
        </w:tc>
      </w:tr>
      <w:tr w:rsidR="008D500C" w:rsidRPr="008D500C" w14:paraId="3023B372" w14:textId="77777777" w:rsidTr="008D500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9BA263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M1D2</w:t>
            </w:r>
          </w:p>
        </w:tc>
        <w:tc>
          <w:tcPr>
            <w:tcW w:w="0" w:type="auto"/>
            <w:vAlign w:val="center"/>
            <w:hideMark/>
          </w:tcPr>
          <w:p w14:paraId="6BB15D12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</w:t>
            </w:r>
          </w:p>
        </w:tc>
        <w:tc>
          <w:tcPr>
            <w:tcW w:w="0" w:type="auto"/>
            <w:vAlign w:val="center"/>
            <w:hideMark/>
          </w:tcPr>
          <w:p w14:paraId="0E4C62B8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</w:t>
            </w:r>
          </w:p>
        </w:tc>
        <w:tc>
          <w:tcPr>
            <w:tcW w:w="0" w:type="auto"/>
            <w:vAlign w:val="center"/>
            <w:hideMark/>
          </w:tcPr>
          <w:p w14:paraId="2373E4F8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Positiva</w:t>
            </w:r>
          </w:p>
        </w:tc>
      </w:tr>
      <w:tr w:rsidR="008D500C" w:rsidRPr="008D500C" w14:paraId="7A0719D4" w14:textId="77777777" w:rsidTr="008D500C">
        <w:trPr>
          <w:tblCellSpacing w:w="15" w:type="dxa"/>
        </w:trPr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64A7DC7A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M2D2O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16C219C7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2F639886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+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center"/>
            <w:hideMark/>
          </w:tcPr>
          <w:p w14:paraId="1ADF0D1F" w14:textId="77777777" w:rsidR="008D500C" w:rsidRPr="008D500C" w:rsidRDefault="008D500C">
            <w:pPr>
              <w:rPr>
                <w:rFonts w:ascii="Roboto" w:hAnsi="Roboto"/>
                <w:color w:val="000000"/>
                <w:sz w:val="18"/>
                <w:szCs w:val="18"/>
              </w:rPr>
            </w:pPr>
            <w:r w:rsidRPr="008D500C">
              <w:rPr>
                <w:rFonts w:ascii="Roboto" w:hAnsi="Roboto"/>
                <w:color w:val="000000"/>
                <w:sz w:val="18"/>
                <w:szCs w:val="18"/>
              </w:rPr>
              <w:t>Negativa</w:t>
            </w:r>
          </w:p>
        </w:tc>
      </w:tr>
    </w:tbl>
    <w:p w14:paraId="393FA628" w14:textId="3868460A" w:rsidR="007179ED" w:rsidRDefault="008D500C">
      <w:pPr>
        <w:tabs>
          <w:tab w:val="left" w:pos="284"/>
        </w:tabs>
        <w:ind w:left="284" w:hanging="284"/>
        <w:jc w:val="both"/>
        <w:rPr>
          <w:rFonts w:ascii="Roboto" w:eastAsia="Roboto" w:hAnsi="Roboto" w:cs="Roboto"/>
          <w:sz w:val="18"/>
          <w:szCs w:val="18"/>
        </w:rPr>
      </w:pPr>
      <w:r w:rsidRPr="008D500C">
        <w:rPr>
          <w:rFonts w:ascii="Roboto" w:eastAsia="Roboto" w:hAnsi="Roboto" w:cs="Roboto"/>
          <w:sz w:val="18"/>
          <w:szCs w:val="18"/>
        </w:rPr>
        <w:t>Leyenda: (+) presente, (-) ausente, (+/-) parcialmente presente.</w:t>
      </w:r>
    </w:p>
    <w:p w14:paraId="1EF77703" w14:textId="77777777" w:rsidR="008D500C" w:rsidRPr="008D500C" w:rsidRDefault="008D500C">
      <w:pPr>
        <w:tabs>
          <w:tab w:val="left" w:pos="284"/>
        </w:tabs>
        <w:ind w:left="284" w:hanging="284"/>
        <w:jc w:val="both"/>
        <w:rPr>
          <w:rFonts w:ascii="Roboto" w:eastAsia="Roboto" w:hAnsi="Roboto" w:cs="Roboto"/>
          <w:sz w:val="18"/>
          <w:szCs w:val="18"/>
        </w:rPr>
      </w:pPr>
    </w:p>
    <w:p w14:paraId="7CCD7319" w14:textId="76558619" w:rsidR="008D500C" w:rsidRDefault="008D500C">
      <w:pPr>
        <w:tabs>
          <w:tab w:val="left" w:pos="284"/>
        </w:tabs>
        <w:ind w:left="284" w:hanging="284"/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noProof/>
          <w:sz w:val="20"/>
          <w:szCs w:val="20"/>
        </w:rPr>
        <w:drawing>
          <wp:inline distT="0" distB="0" distL="0" distR="0" wp14:anchorId="4A06657E" wp14:editId="0B4466B0">
            <wp:extent cx="3011170" cy="951865"/>
            <wp:effectExtent l="0" t="0" r="0" b="635"/>
            <wp:docPr id="201544044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544044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11170" cy="951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61510" w14:textId="5A243737" w:rsidR="007179ED" w:rsidRDefault="007179ED">
      <w:pPr>
        <w:jc w:val="center"/>
        <w:rPr>
          <w:rFonts w:ascii="Roboto" w:eastAsia="Roboto" w:hAnsi="Roboto" w:cs="Roboto"/>
          <w:b/>
          <w:bCs/>
          <w:sz w:val="20"/>
          <w:szCs w:val="20"/>
        </w:rPr>
      </w:pPr>
    </w:p>
    <w:p w14:paraId="04F2DA10" w14:textId="44CED6D8" w:rsidR="007179ED" w:rsidRDefault="00000000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="008D500C">
        <w:rPr>
          <w:rFonts w:ascii="Roboto" w:eastAsia="Roboto" w:hAnsi="Roboto" w:cs="Roboto"/>
          <w:sz w:val="20"/>
          <w:szCs w:val="20"/>
        </w:rPr>
        <w:t>E</w:t>
      </w:r>
      <w:r w:rsidR="008D500C" w:rsidRPr="008D500C">
        <w:rPr>
          <w:rFonts w:ascii="Roboto" w:eastAsia="Roboto" w:hAnsi="Roboto" w:cs="Roboto"/>
          <w:sz w:val="20"/>
          <w:szCs w:val="20"/>
        </w:rPr>
        <w:t xml:space="preserve">valuación de actividades funcionales en cepas bacterianas aisladas de la rizósfera de </w:t>
      </w:r>
      <w:r w:rsidR="008D500C" w:rsidRPr="008D500C">
        <w:rPr>
          <w:rFonts w:ascii="Roboto" w:eastAsia="Roboto" w:hAnsi="Roboto" w:cs="Roboto"/>
          <w:i/>
          <w:iCs/>
          <w:sz w:val="20"/>
          <w:szCs w:val="20"/>
        </w:rPr>
        <w:t>Citrus latifolia</w:t>
      </w:r>
      <w:r w:rsidR="008D500C" w:rsidRPr="008D500C">
        <w:rPr>
          <w:rFonts w:ascii="Roboto" w:eastAsia="Roboto" w:hAnsi="Roboto" w:cs="Roboto"/>
          <w:sz w:val="20"/>
          <w:szCs w:val="20"/>
        </w:rPr>
        <w:t>: (</w:t>
      </w:r>
      <w:r w:rsidR="008D500C">
        <w:rPr>
          <w:rFonts w:ascii="Roboto" w:eastAsia="Roboto" w:hAnsi="Roboto" w:cs="Roboto"/>
          <w:sz w:val="20"/>
          <w:szCs w:val="20"/>
        </w:rPr>
        <w:t>A</w:t>
      </w:r>
      <w:r w:rsidR="008D500C" w:rsidRPr="008D500C">
        <w:rPr>
          <w:rFonts w:ascii="Roboto" w:eastAsia="Roboto" w:hAnsi="Roboto" w:cs="Roboto"/>
          <w:sz w:val="20"/>
          <w:szCs w:val="20"/>
        </w:rPr>
        <w:t>) crecimiento en medio JMV indicativo de fijación de nitrógeno</w:t>
      </w:r>
      <w:r w:rsidR="008D500C">
        <w:rPr>
          <w:rFonts w:ascii="Roboto" w:eastAsia="Roboto" w:hAnsi="Roboto" w:cs="Roboto"/>
          <w:sz w:val="20"/>
          <w:szCs w:val="20"/>
        </w:rPr>
        <w:t xml:space="preserve">; </w:t>
      </w:r>
      <w:r w:rsidR="008D500C" w:rsidRPr="008D500C">
        <w:rPr>
          <w:rFonts w:ascii="Roboto" w:eastAsia="Roboto" w:hAnsi="Roboto" w:cs="Roboto"/>
          <w:sz w:val="20"/>
          <w:szCs w:val="20"/>
        </w:rPr>
        <w:t>(</w:t>
      </w:r>
      <w:r w:rsidR="008D500C">
        <w:rPr>
          <w:rFonts w:ascii="Roboto" w:eastAsia="Roboto" w:hAnsi="Roboto" w:cs="Roboto"/>
          <w:sz w:val="20"/>
          <w:szCs w:val="20"/>
        </w:rPr>
        <w:t>B</w:t>
      </w:r>
      <w:r w:rsidR="008D500C" w:rsidRPr="008D500C">
        <w:rPr>
          <w:rFonts w:ascii="Roboto" w:eastAsia="Roboto" w:hAnsi="Roboto" w:cs="Roboto"/>
          <w:sz w:val="20"/>
          <w:szCs w:val="20"/>
        </w:rPr>
        <w:t>) solubilización de fosfato en medio NBRIP evidenciada por formación de halos</w:t>
      </w:r>
      <w:r w:rsidR="008D500C">
        <w:rPr>
          <w:rFonts w:ascii="Roboto" w:eastAsia="Roboto" w:hAnsi="Roboto" w:cs="Roboto"/>
          <w:sz w:val="20"/>
          <w:szCs w:val="20"/>
        </w:rPr>
        <w:t>.</w:t>
      </w:r>
    </w:p>
    <w:p w14:paraId="73A443B8" w14:textId="77777777" w:rsidR="007179ED" w:rsidRDefault="007179E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3D99D82" w14:textId="77777777" w:rsidR="00C36399" w:rsidRDefault="00C36399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 w:rsidRPr="00C36399">
        <w:rPr>
          <w:rFonts w:ascii="Roboto" w:eastAsia="Roboto" w:hAnsi="Roboto" w:cs="Roboto"/>
          <w:b/>
          <w:bCs/>
          <w:sz w:val="20"/>
          <w:szCs w:val="20"/>
        </w:rPr>
        <w:t>CONCLUSIONES</w:t>
      </w:r>
    </w:p>
    <w:p w14:paraId="4F78CF33" w14:textId="77777777" w:rsid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 xml:space="preserve">Las cepas bacterianas aisladas de la rizósfera de </w:t>
      </w:r>
      <w:r w:rsidRPr="008D500C">
        <w:rPr>
          <w:rFonts w:ascii="Roboto" w:eastAsia="Roboto" w:hAnsi="Roboto" w:cs="Roboto"/>
          <w:i/>
          <w:iCs/>
          <w:sz w:val="20"/>
          <w:szCs w:val="20"/>
        </w:rPr>
        <w:t>Citrus latifolia</w:t>
      </w:r>
      <w:r w:rsidRPr="008D500C">
        <w:rPr>
          <w:rFonts w:ascii="Roboto" w:eastAsia="Roboto" w:hAnsi="Roboto" w:cs="Roboto"/>
          <w:sz w:val="20"/>
          <w:szCs w:val="20"/>
        </w:rPr>
        <w:t xml:space="preserve"> presentan capacidades funcionales clave para la promoción del crecimiento vegetal, destacando la fijación de nitrógeno y la solubilización de fosfato. La presencia de cepas con actividad dual refuerza su potencial como biofertilizantes, particularmente en suelos kársticos con limitaciones nutricionales.</w:t>
      </w:r>
    </w:p>
    <w:p w14:paraId="2C19BF83" w14:textId="6AE7DF49" w:rsidR="007179ED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lastRenderedPageBreak/>
        <w:t>Estos resultados contribuyen a la generación de alternativas sostenibles para la agricultura regional, promoviendo la reducción del uso de agroquímicos y el aprovechamiento de la microbiota nativa del suelo</w:t>
      </w:r>
      <w:r w:rsidR="00C36399" w:rsidRPr="00C36399">
        <w:rPr>
          <w:rFonts w:ascii="Roboto" w:eastAsia="Roboto" w:hAnsi="Roboto" w:cs="Roboto"/>
          <w:sz w:val="20"/>
          <w:szCs w:val="20"/>
        </w:rPr>
        <w:t>.</w:t>
      </w:r>
    </w:p>
    <w:p w14:paraId="50A91150" w14:textId="77777777" w:rsidR="00C36399" w:rsidRDefault="00C36399">
      <w:pPr>
        <w:jc w:val="both"/>
        <w:rPr>
          <w:rFonts w:ascii="Roboto" w:eastAsia="Roboto" w:hAnsi="Roboto" w:cs="Roboto"/>
          <w:sz w:val="20"/>
          <w:szCs w:val="20"/>
        </w:rPr>
      </w:pPr>
    </w:p>
    <w:p w14:paraId="72D4DD9A" w14:textId="739A8722" w:rsidR="007179ED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AGRADECIMIENTOS </w:t>
      </w:r>
    </w:p>
    <w:p w14:paraId="0439DA86" w14:textId="562B75C9" w:rsidR="007179ED" w:rsidRDefault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Se agradece a la Universidad Anáhuac Mayab y al Centro de Investigación Científica de Yucatán (CICY) por el apoyo técnico y académico, así como a los estudiantes participantes por su colaboración en el desarrollo experimental.</w:t>
      </w:r>
    </w:p>
    <w:p w14:paraId="29E4DF65" w14:textId="77777777" w:rsidR="008D500C" w:rsidRDefault="008D500C">
      <w:pPr>
        <w:jc w:val="both"/>
        <w:rPr>
          <w:rFonts w:ascii="Roboto" w:eastAsia="Roboto" w:hAnsi="Roboto" w:cs="Roboto"/>
          <w:sz w:val="20"/>
          <w:szCs w:val="20"/>
        </w:rPr>
      </w:pPr>
    </w:p>
    <w:p w14:paraId="3A80F177" w14:textId="03587559" w:rsidR="007179ED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</w:t>
      </w:r>
    </w:p>
    <w:p w14:paraId="43ADA2C9" w14:textId="3FE66616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Bautista, F. (2011). El suelo. En Biodiversidad y Desarrollo Humano en Yucatán. Centro de Investigación Científica de Yucatán (CICY).</w:t>
      </w:r>
    </w:p>
    <w:p w14:paraId="0CFDEE4B" w14:textId="04E742E5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 xml:space="preserve">Bautista-Cruz, A., Ortiz-Hernández, Y. D., Martínez-Gallegos, V., &amp; Martínez-Gutiérrez, G. (2015). Effect of phosphate-solubilizing bacteria isolated from semiarid soils on pitahaya seedlings (Hylocereus undatus). Idesia (Arica), 33(2), 65–68. </w:t>
      </w:r>
      <w:hyperlink r:id="rId10" w:history="1">
        <w:r w:rsidRPr="0057497D">
          <w:rPr>
            <w:rStyle w:val="Hipervnculo"/>
            <w:rFonts w:ascii="Roboto" w:eastAsia="Roboto" w:hAnsi="Roboto" w:cs="Roboto"/>
            <w:sz w:val="20"/>
            <w:szCs w:val="20"/>
          </w:rPr>
          <w:t>https://doi.org/10.4067/S0718-34292015000200008</w:t>
        </w:r>
      </w:hyperlink>
    </w:p>
    <w:p w14:paraId="7689B697" w14:textId="36FE0A0F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Benjumeda, D. (2017). Bacterias promotoras del crecimiento vegetal: Mecanismos y aplicaciones [Revisión bibliográfica, Universidad de Sevilla].</w:t>
      </w:r>
    </w:p>
    <w:p w14:paraId="47677F94" w14:textId="4AD4A423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Borges, L., Soria, M., Casanova, V., Villanueva, E., &amp; Pereyda, G. (2008). Correlación y calibración del análisis de fósforo en suelos de Yucatán, México, para el cultivo de chile habanero. Agrociencia, 42(1), 1–10.</w:t>
      </w:r>
    </w:p>
    <w:p w14:paraId="61C286F0" w14:textId="5AA99F84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Divan, V., Ivo, J., &amp; Döbereiner, J. (1996). Meios de cultura específicos para o isolamento de bactérias endofíticas que fixam N₂ atmosférico. Comunicado técnico.</w:t>
      </w:r>
    </w:p>
    <w:p w14:paraId="179DB17F" w14:textId="38596BC3" w:rsidR="008D500C" w:rsidRPr="008D500C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Gómez, B., Ramírez, J., Veloz, J., Gasca, J., &amp; Herrera, I. (2014). Aislamiento y caracterización de bacterias de la rizósfera con capacidad promotora de crecimiento vegetal.</w:t>
      </w:r>
    </w:p>
    <w:p w14:paraId="0D9BE4A7" w14:textId="6DBE0AF2" w:rsidR="007179ED" w:rsidRDefault="008D500C" w:rsidP="008D500C">
      <w:pPr>
        <w:jc w:val="both"/>
        <w:rPr>
          <w:rFonts w:ascii="Roboto" w:eastAsia="Roboto" w:hAnsi="Roboto" w:cs="Roboto"/>
          <w:sz w:val="20"/>
          <w:szCs w:val="20"/>
        </w:rPr>
      </w:pPr>
      <w:r w:rsidRPr="008D500C">
        <w:rPr>
          <w:rFonts w:ascii="Roboto" w:eastAsia="Roboto" w:hAnsi="Roboto" w:cs="Roboto"/>
          <w:sz w:val="20"/>
          <w:szCs w:val="20"/>
        </w:rPr>
        <w:t>Guzmán-Plazola, P., Guevara-Gutiérrez, R. D., Olguín-López, J. L., &amp; Mancilla-Villa, O. R. (2016). Perspectiva campesina, intoxicaciones por plaguicidas y uso de agroquímicos. Idesia (Arica), 34(3), 69–80. https://doi.org/10.4067/S0718-34292016000300009</w:t>
      </w:r>
    </w:p>
    <w:p w14:paraId="309F9E54" w14:textId="77777777" w:rsidR="007179ED" w:rsidRDefault="007179ED">
      <w:pPr>
        <w:jc w:val="both"/>
        <w:rPr>
          <w:rFonts w:ascii="Roboto" w:eastAsia="Roboto" w:hAnsi="Roboto" w:cs="Roboto"/>
          <w:sz w:val="20"/>
          <w:szCs w:val="20"/>
        </w:rPr>
      </w:pPr>
    </w:p>
    <w:p w14:paraId="7689D72D" w14:textId="77777777" w:rsidR="007179ED" w:rsidRDefault="007179ED">
      <w:pPr>
        <w:jc w:val="both"/>
        <w:rPr>
          <w:rFonts w:ascii="Roboto" w:eastAsia="Roboto" w:hAnsi="Roboto" w:cs="Roboto"/>
          <w:sz w:val="20"/>
          <w:szCs w:val="20"/>
        </w:rPr>
        <w:sectPr w:rsidR="007179ED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2110D14F" w14:textId="77777777" w:rsidR="007179ED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1D3A9633" w14:textId="77777777" w:rsidR="007179ED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6BA0D57A" w14:textId="77777777" w:rsidR="007179ED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142A96F2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40ED6B80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6F41E012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4D3DF2D2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5C994BDD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00003482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22EAFCD3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2BF1FAD4" w14:textId="77777777" w:rsidR="007179E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D3065E9" w14:textId="77777777" w:rsidR="007179E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44C2A61D" w14:textId="77777777" w:rsidR="007179E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A6B73C8" w14:textId="77777777" w:rsidR="007179ED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0745CA47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1B6DBA9F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5B9D1B69" w14:textId="77777777" w:rsidR="007179ED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5316715" w14:textId="77777777" w:rsidR="007179ED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34C6599" w14:textId="77777777" w:rsidR="007179ED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64E277AB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5F15DA33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460B2C3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6CB6D3AE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CE3A92E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  Marque con X  )  Declaro que he leído y acepto los términos de esta declaración y autorización de publicación.</w:t>
      </w:r>
    </w:p>
    <w:p w14:paraId="04DE2401" w14:textId="77777777" w:rsidR="007179E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Autor responsable: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</w:p>
    <w:sectPr w:rsidR="007179ED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0B39F" w14:textId="77777777" w:rsidR="00AF2378" w:rsidRDefault="00AF2378">
      <w:r>
        <w:separator/>
      </w:r>
    </w:p>
  </w:endnote>
  <w:endnote w:type="continuationSeparator" w:id="0">
    <w:p w14:paraId="2C6EDCC2" w14:textId="77777777" w:rsidR="00AF2378" w:rsidRDefault="00AF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146A60B7-D491-DF42-9B5B-FBD4146CA95A}"/>
    <w:embedBold r:id="rId2" w:fontKey="{DFF7022B-443C-E64E-9B07-8E6258E13A1C}"/>
    <w:embedItalic r:id="rId3" w:fontKey="{43BB6094-AA34-AC49-B250-A21EC52C5BB1}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4" w:fontKey="{58100392-54B2-A742-B0B5-93B8BAFED334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5" w:fontKey="{2C74046C-AD9B-B541-BCAF-8BFFE14A3302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  <w:embedRegular r:id="rId6" w:fontKey="{4A29EFB6-C23B-4A4F-969E-79E579D8B99F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7" w:fontKey="{E3D7E06F-3E84-7C47-86C3-65C4ED82328A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8" w:fontKey="{1CC51761-5ADA-1640-AB72-A5BEAC8DDE1A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9" w:fontKey="{5F9F8E52-0145-D046-807B-1699AF410D79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10" w:fontKey="{52496AB7-6DB4-8F44-A12C-0AD75E1D2599}"/>
    <w:embedBold r:id="rId11" w:fontKey="{53EEAF88-130B-654B-BEEF-07080291CB86}"/>
    <w:embedItalic r:id="rId12" w:fontKey="{664E3BE3-0CD6-7941-A3DD-649FDD96DA0D}"/>
    <w:embedBoldItalic r:id="rId13" w:fontKey="{6E0CDECF-52B7-6147-89A4-3592F7F53D51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4" w:fontKey="{17414575-824D-7C4F-88AB-647159205E6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4BA89" w14:textId="77777777" w:rsidR="00AF2378" w:rsidRDefault="00AF2378">
      <w:r>
        <w:separator/>
      </w:r>
    </w:p>
  </w:footnote>
  <w:footnote w:type="continuationSeparator" w:id="0">
    <w:p w14:paraId="44F54282" w14:textId="77777777" w:rsidR="00AF2378" w:rsidRDefault="00AF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E503A" w14:textId="77777777" w:rsidR="007179ED" w:rsidRDefault="007179E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7179ED" w14:paraId="620718FE" w14:textId="77777777">
      <w:trPr>
        <w:trHeight w:val="345"/>
        <w:jc w:val="center"/>
      </w:trPr>
      <w:tc>
        <w:tcPr>
          <w:tcW w:w="6306" w:type="dxa"/>
          <w:vAlign w:val="center"/>
        </w:tcPr>
        <w:p w14:paraId="59D8822F" w14:textId="77777777" w:rsidR="007179ED" w:rsidRDefault="007179ED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4556B2E5" w14:textId="77777777" w:rsidR="007179ED" w:rsidRDefault="007179ED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482D34"/>
    <w:multiLevelType w:val="multilevel"/>
    <w:tmpl w:val="C34491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B6C2802"/>
    <w:multiLevelType w:val="multilevel"/>
    <w:tmpl w:val="2B5CF1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3431013"/>
    <w:multiLevelType w:val="hybridMultilevel"/>
    <w:tmpl w:val="175A607C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81116421">
    <w:abstractNumId w:val="1"/>
  </w:num>
  <w:num w:numId="2" w16cid:durableId="1143086042">
    <w:abstractNumId w:val="0"/>
  </w:num>
  <w:num w:numId="3" w16cid:durableId="18170691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9ED"/>
    <w:rsid w:val="000D320C"/>
    <w:rsid w:val="002F697C"/>
    <w:rsid w:val="003768FF"/>
    <w:rsid w:val="006B09CE"/>
    <w:rsid w:val="00712DFA"/>
    <w:rsid w:val="007179ED"/>
    <w:rsid w:val="008225C4"/>
    <w:rsid w:val="008D500C"/>
    <w:rsid w:val="00A617D6"/>
    <w:rsid w:val="00AF2378"/>
    <w:rsid w:val="00C36399"/>
    <w:rsid w:val="00E61874"/>
    <w:rsid w:val="00E73BA4"/>
    <w:rsid w:val="00FA3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4C607"/>
  <w15:docId w15:val="{A486AC54-6C4F-2846-ADF1-26F68D830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customStyle="1" w:styleId="p1">
    <w:name w:val="p1"/>
    <w:basedOn w:val="Normal"/>
    <w:rsid w:val="00C36399"/>
    <w:rPr>
      <w:rFonts w:ascii="Arial" w:hAnsi="Arial" w:cs="Arial"/>
      <w:color w:val="000000"/>
      <w:sz w:val="17"/>
      <w:szCs w:val="17"/>
    </w:rPr>
  </w:style>
  <w:style w:type="paragraph" w:customStyle="1" w:styleId="p2">
    <w:name w:val="p2"/>
    <w:basedOn w:val="Normal"/>
    <w:rsid w:val="00C36399"/>
    <w:rPr>
      <w:rFonts w:ascii="Arial" w:hAnsi="Arial" w:cs="Arial"/>
      <w:color w:val="103BC0"/>
      <w:sz w:val="17"/>
      <w:szCs w:val="17"/>
    </w:rPr>
  </w:style>
  <w:style w:type="character" w:customStyle="1" w:styleId="s1">
    <w:name w:val="s1"/>
    <w:basedOn w:val="Fuentedeprrafopredeter"/>
    <w:rsid w:val="00C36399"/>
    <w:rPr>
      <w:rFonts w:ascii="Arial" w:hAnsi="Arial" w:cs="Arial" w:hint="default"/>
      <w:sz w:val="11"/>
      <w:szCs w:val="11"/>
    </w:rPr>
  </w:style>
  <w:style w:type="character" w:customStyle="1" w:styleId="s2">
    <w:name w:val="s2"/>
    <w:basedOn w:val="Fuentedeprrafopredeter"/>
    <w:rsid w:val="00C36399"/>
    <w:rPr>
      <w:color w:val="000000"/>
    </w:rPr>
  </w:style>
  <w:style w:type="paragraph" w:styleId="Prrafodelista">
    <w:name w:val="List Paragraph"/>
    <w:basedOn w:val="Normal"/>
    <w:uiPriority w:val="34"/>
    <w:qFormat/>
    <w:rsid w:val="008D5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9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3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doi.org/10.4067/S0718-3429201500020000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1477</Words>
  <Characters>8125</Characters>
  <Application>Microsoft Office Word</Application>
  <DocSecurity>0</DocSecurity>
  <Lines>67</Lines>
  <Paragraphs>19</Paragraphs>
  <ScaleCrop>false</ScaleCrop>
  <Company/>
  <LinksUpToDate>false</LinksUpToDate>
  <CharactersWithSpaces>9583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Isabel García Cámara</cp:lastModifiedBy>
  <cp:revision>7</cp:revision>
  <dcterms:created xsi:type="dcterms:W3CDTF">2026-03-19T22:43:00Z</dcterms:created>
  <dcterms:modified xsi:type="dcterms:W3CDTF">2026-03-31T15:55:00Z</dcterms:modified>
</cp:coreProperties>
</file>