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BB70C" w14:textId="77777777" w:rsidR="008D500C" w:rsidRDefault="008D500C" w:rsidP="00C3639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</w:rPr>
      </w:pPr>
      <w:r w:rsidRPr="008D500C">
        <w:rPr>
          <w:rFonts w:ascii="Roboto" w:eastAsia="Roboto" w:hAnsi="Roboto" w:cs="Roboto"/>
          <w:b/>
          <w:bCs/>
          <w:color w:val="000000"/>
        </w:rPr>
        <w:t xml:space="preserve">Caracterización funcional de cepas bacterianas promotoras de crecimiento vegetal aisladas de la rizósfera de </w:t>
      </w:r>
      <w:r w:rsidRPr="008D500C">
        <w:rPr>
          <w:rFonts w:ascii="Roboto" w:eastAsia="Roboto" w:hAnsi="Roboto" w:cs="Roboto"/>
          <w:b/>
          <w:bCs/>
          <w:i/>
          <w:iCs/>
          <w:color w:val="000000"/>
        </w:rPr>
        <w:t>Citrus latifolia</w:t>
      </w:r>
    </w:p>
    <w:p w14:paraId="1C9C662C" w14:textId="74AA8EF5" w:rsidR="00C36399" w:rsidRPr="00C36399" w:rsidRDefault="00C36399" w:rsidP="00C3639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 w:rsidRPr="00C36399">
        <w:rPr>
          <w:rFonts w:ascii="Roboto" w:eastAsia="Roboto" w:hAnsi="Roboto" w:cs="Roboto"/>
          <w:b/>
          <w:bCs/>
          <w:color w:val="000000"/>
          <w:sz w:val="20"/>
          <w:szCs w:val="20"/>
        </w:rPr>
        <w:t>Romero-Ávila M.¹, Hernández-Cruz X.¹, Cortés-Velázquez A.², Nexticapan-Garcéz A.², Pijeira-Fernández G.</w:t>
      </w:r>
      <w:r w:rsidR="00FA3664" w:rsidRPr="00C36399">
        <w:rPr>
          <w:rFonts w:ascii="Roboto" w:eastAsia="Roboto" w:hAnsi="Roboto" w:cs="Roboto"/>
          <w:b/>
          <w:bCs/>
          <w:color w:val="000000"/>
          <w:sz w:val="20"/>
          <w:szCs w:val="20"/>
        </w:rPr>
        <w:t>²</w:t>
      </w:r>
      <w:r w:rsidRPr="00C36399">
        <w:rPr>
          <w:rFonts w:ascii="Roboto" w:eastAsia="Roboto" w:hAnsi="Roboto" w:cs="Roboto"/>
          <w:b/>
          <w:bCs/>
          <w:color w:val="000000"/>
          <w:sz w:val="20"/>
          <w:szCs w:val="20"/>
        </w:rPr>
        <w:t>, Magaña-Álvarez A.², Tec-Sánchez J.A.¹</w:t>
      </w:r>
      <w:r w:rsidR="002F697C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, </w:t>
      </w:r>
      <w:r w:rsidR="002F697C" w:rsidRPr="00C36399">
        <w:rPr>
          <w:rFonts w:ascii="Roboto" w:eastAsia="Roboto" w:hAnsi="Roboto" w:cs="Roboto"/>
          <w:b/>
          <w:bCs/>
          <w:color w:val="000000"/>
          <w:sz w:val="20"/>
          <w:szCs w:val="20"/>
        </w:rPr>
        <w:t>García-Cámara I.¹</w:t>
      </w:r>
      <w:r w:rsidR="002F697C">
        <w:rPr>
          <w:rFonts w:ascii="Roboto" w:eastAsia="Roboto" w:hAnsi="Roboto" w:cs="Roboto"/>
          <w:b/>
          <w:bCs/>
          <w:color w:val="000000"/>
          <w:sz w:val="20"/>
          <w:szCs w:val="20"/>
        </w:rPr>
        <w:t>*</w:t>
      </w:r>
    </w:p>
    <w:p w14:paraId="72A44EE9" w14:textId="4E3B5406" w:rsidR="008D500C" w:rsidRPr="00C36399" w:rsidRDefault="002F697C" w:rsidP="008D500C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*</w:t>
      </w:r>
      <w:r w:rsidR="008D500C" w:rsidRPr="00C36399">
        <w:rPr>
          <w:rFonts w:ascii="Roboto" w:eastAsia="Roboto" w:hAnsi="Roboto" w:cs="Roboto"/>
          <w:b/>
          <w:bCs/>
          <w:color w:val="000000"/>
          <w:sz w:val="20"/>
          <w:szCs w:val="20"/>
        </w:rPr>
        <w:t>¹Universidad Anáhuac Mayab</w:t>
      </w:r>
      <w:r w:rsidR="008D500C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, ORCID </w:t>
      </w:r>
      <w:r w:rsidR="008D500C" w:rsidRPr="0079146F">
        <w:rPr>
          <w:rFonts w:ascii="Roboto" w:eastAsia="Roboto" w:hAnsi="Roboto" w:cs="Roboto"/>
          <w:b/>
          <w:bCs/>
          <w:color w:val="000000"/>
          <w:sz w:val="20"/>
          <w:szCs w:val="20"/>
        </w:rPr>
        <w:t>0000-0002-6986-4814</w:t>
      </w:r>
    </w:p>
    <w:p w14:paraId="247440D9" w14:textId="7C76A815" w:rsidR="008D500C" w:rsidRPr="00C36399" w:rsidRDefault="008D500C" w:rsidP="008D500C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 w:rsidRPr="00C36399">
        <w:rPr>
          <w:rFonts w:ascii="Roboto" w:eastAsia="Roboto" w:hAnsi="Roboto" w:cs="Roboto"/>
          <w:b/>
          <w:bCs/>
          <w:color w:val="000000"/>
          <w:sz w:val="20"/>
          <w:szCs w:val="20"/>
        </w:rPr>
        <w:t>²Centro de Investigación Científica de Yucatán A.C.</w:t>
      </w:r>
    </w:p>
    <w:p w14:paraId="0A11CE10" w14:textId="77777777" w:rsidR="007179ED" w:rsidRDefault="00AF2378">
      <w:pPr>
        <w:spacing w:before="60"/>
        <w:jc w:val="center"/>
        <w:rPr>
          <w:rFonts w:ascii="Roboto" w:eastAsia="Roboto" w:hAnsi="Roboto" w:cs="Roboto"/>
          <w:sz w:val="18"/>
          <w:szCs w:val="18"/>
        </w:rPr>
        <w:sectPr w:rsidR="007179ED">
          <w:headerReference w:type="default" r:id="rId8"/>
          <w:pgSz w:w="11906" w:h="16838"/>
          <w:pgMar w:top="851" w:right="851" w:bottom="828" w:left="851" w:header="357" w:footer="720" w:gutter="0"/>
          <w:pgNumType w:start="1"/>
          <w:cols w:space="720"/>
        </w:sectPr>
      </w:pPr>
      <w:r>
        <w:rPr>
          <w:noProof/>
        </w:rPr>
        <w:pict w14:anchorId="5917E91E">
          <v:rect id="_x0000_i1025" alt="" style="width:441.9pt;height:.05pt;mso-width-percent:0;mso-height-percent:0;mso-width-percent:0;mso-height-percent:0" o:hralign="center" o:hrstd="t" o:hr="t" fillcolor="#a0a0a0" stroked="f"/>
        </w:pict>
      </w:r>
    </w:p>
    <w:p w14:paraId="03E6B0C9" w14:textId="77777777" w:rsidR="00C36399" w:rsidRPr="00C36399" w:rsidRDefault="00C36399" w:rsidP="00C3639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 w:rsidRPr="00C36399">
        <w:rPr>
          <w:rFonts w:ascii="Roboto" w:eastAsia="Roboto" w:hAnsi="Roboto" w:cs="Roboto"/>
          <w:b/>
          <w:bCs/>
          <w:color w:val="000000"/>
          <w:sz w:val="20"/>
          <w:szCs w:val="20"/>
        </w:rPr>
        <w:t>INTRODUCCIÓN</w:t>
      </w:r>
    </w:p>
    <w:p w14:paraId="190CB0B6" w14:textId="4E1505E4" w:rsidR="008D500C" w:rsidRPr="008D500C" w:rsidRDefault="008D500C" w:rsidP="008D50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8D500C">
        <w:rPr>
          <w:rFonts w:ascii="Roboto" w:eastAsia="Roboto" w:hAnsi="Roboto" w:cs="Roboto"/>
          <w:color w:val="000000"/>
          <w:sz w:val="20"/>
          <w:szCs w:val="20"/>
        </w:rPr>
        <w:t xml:space="preserve">Los suelos kársticos de la península de Yucatán se caracterizan por su baja fertilidad, limitada disponibilidad de nitrógeno y fósforo, así como alta permeabilidad, lo que favorece la lixiviación de nutrientes y agroquímicos hacia el manto acuífero (Bautista, 2011; Borges </w:t>
      </w:r>
      <w:r w:rsidRPr="008D500C">
        <w:rPr>
          <w:rFonts w:ascii="Roboto" w:eastAsia="Roboto" w:hAnsi="Roboto" w:cs="Roboto"/>
          <w:i/>
          <w:iCs/>
          <w:color w:val="000000"/>
          <w:sz w:val="20"/>
          <w:szCs w:val="20"/>
        </w:rPr>
        <w:t>et al</w:t>
      </w:r>
      <w:r w:rsidRPr="008D500C">
        <w:rPr>
          <w:rFonts w:ascii="Roboto" w:eastAsia="Roboto" w:hAnsi="Roboto" w:cs="Roboto"/>
          <w:color w:val="000000"/>
          <w:sz w:val="20"/>
          <w:szCs w:val="20"/>
        </w:rPr>
        <w:t xml:space="preserve">., 2008). Estas condiciones incrementan la dependencia de fertilizantes químicos, cuyo uso intensivo genera impactos negativos en el ambiente y la salud humana (Guzmán-Plazola </w:t>
      </w:r>
      <w:r w:rsidRPr="008D500C">
        <w:rPr>
          <w:rFonts w:ascii="Roboto" w:eastAsia="Roboto" w:hAnsi="Roboto" w:cs="Roboto"/>
          <w:i/>
          <w:iCs/>
          <w:color w:val="000000"/>
          <w:sz w:val="20"/>
          <w:szCs w:val="20"/>
        </w:rPr>
        <w:t>et al</w:t>
      </w:r>
      <w:r w:rsidRPr="008D500C">
        <w:rPr>
          <w:rFonts w:ascii="Roboto" w:eastAsia="Roboto" w:hAnsi="Roboto" w:cs="Roboto"/>
          <w:color w:val="000000"/>
          <w:sz w:val="20"/>
          <w:szCs w:val="20"/>
        </w:rPr>
        <w:t>., 2016).</w:t>
      </w:r>
    </w:p>
    <w:p w14:paraId="428D867C" w14:textId="178FEB79" w:rsidR="008D500C" w:rsidRPr="008D500C" w:rsidRDefault="008D500C" w:rsidP="008D50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8D500C">
        <w:rPr>
          <w:rFonts w:ascii="Roboto" w:eastAsia="Roboto" w:hAnsi="Roboto" w:cs="Roboto"/>
          <w:color w:val="000000"/>
          <w:sz w:val="20"/>
          <w:szCs w:val="20"/>
        </w:rPr>
        <w:t xml:space="preserve">En este contexto, las bacterias promotoras de crecimiento vegetal (PGPB) representan una alternativa sostenible, ya que pueden mejorar la disponibilidad de nutrientes mediante mecanismos como la fijación biológica de nitrógeno y la solubilización de fosfatos, además de contribuir a la tolerancia al estrés y protección contra patógenos (Benjumeda, 2017; Bautista-Cruz </w:t>
      </w:r>
      <w:r w:rsidRPr="008D500C">
        <w:rPr>
          <w:rFonts w:ascii="Roboto" w:eastAsia="Roboto" w:hAnsi="Roboto" w:cs="Roboto"/>
          <w:i/>
          <w:iCs/>
          <w:color w:val="000000"/>
          <w:sz w:val="20"/>
          <w:szCs w:val="20"/>
        </w:rPr>
        <w:t>et al</w:t>
      </w:r>
      <w:r w:rsidRPr="008D500C">
        <w:rPr>
          <w:rFonts w:ascii="Roboto" w:eastAsia="Roboto" w:hAnsi="Roboto" w:cs="Roboto"/>
          <w:color w:val="000000"/>
          <w:sz w:val="20"/>
          <w:szCs w:val="20"/>
        </w:rPr>
        <w:t>., 2015).</w:t>
      </w:r>
    </w:p>
    <w:p w14:paraId="450027C9" w14:textId="74F74F15" w:rsidR="00C36399" w:rsidRDefault="008D500C" w:rsidP="008D50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8D500C">
        <w:rPr>
          <w:rFonts w:ascii="Roboto" w:eastAsia="Roboto" w:hAnsi="Roboto" w:cs="Roboto"/>
          <w:color w:val="000000"/>
          <w:sz w:val="20"/>
          <w:szCs w:val="20"/>
        </w:rPr>
        <w:t xml:space="preserve">La rizósfera de cultivos de importancia económica, como </w:t>
      </w:r>
      <w:r w:rsidRPr="008D500C">
        <w:rPr>
          <w:rFonts w:ascii="Roboto" w:eastAsia="Roboto" w:hAnsi="Roboto" w:cs="Roboto"/>
          <w:i/>
          <w:iCs/>
          <w:color w:val="000000"/>
          <w:sz w:val="20"/>
          <w:szCs w:val="20"/>
        </w:rPr>
        <w:t>Citrus latifolia</w:t>
      </w:r>
      <w:r w:rsidRPr="008D500C">
        <w:rPr>
          <w:rFonts w:ascii="Roboto" w:eastAsia="Roboto" w:hAnsi="Roboto" w:cs="Roboto"/>
          <w:color w:val="000000"/>
          <w:sz w:val="20"/>
          <w:szCs w:val="20"/>
        </w:rPr>
        <w:t>, constituye un reservorio clave de microorganismos con potencial funcional, lo que hace relevante su estudio para el desarrollo de biofertilizantes adaptados a condiciones locales.</w:t>
      </w:r>
    </w:p>
    <w:p w14:paraId="059575AF" w14:textId="77777777" w:rsidR="008D500C" w:rsidRDefault="008D500C" w:rsidP="008D50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</w:p>
    <w:p w14:paraId="0115FDD7" w14:textId="7F5255A4" w:rsidR="007179ED" w:rsidRDefault="00C3639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OBJETIVO</w:t>
      </w:r>
    </w:p>
    <w:p w14:paraId="6A166F1D" w14:textId="0AD1D29D" w:rsidR="00C36399" w:rsidRDefault="008D50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8D500C">
        <w:rPr>
          <w:rFonts w:ascii="Roboto" w:eastAsia="Roboto" w:hAnsi="Roboto" w:cs="Roboto"/>
          <w:color w:val="000000"/>
          <w:sz w:val="20"/>
          <w:szCs w:val="20"/>
        </w:rPr>
        <w:t xml:space="preserve">Evaluar la capacidad funcional de cepas bacterianas aisladas de la rizósfera de </w:t>
      </w:r>
      <w:r w:rsidRPr="008D500C">
        <w:rPr>
          <w:rFonts w:ascii="Roboto" w:eastAsia="Roboto" w:hAnsi="Roboto" w:cs="Roboto"/>
          <w:i/>
          <w:iCs/>
          <w:color w:val="000000"/>
          <w:sz w:val="20"/>
          <w:szCs w:val="20"/>
        </w:rPr>
        <w:t>Citrus latifolia</w:t>
      </w:r>
      <w:r w:rsidRPr="008D500C">
        <w:rPr>
          <w:rFonts w:ascii="Roboto" w:eastAsia="Roboto" w:hAnsi="Roboto" w:cs="Roboto"/>
          <w:color w:val="000000"/>
          <w:sz w:val="20"/>
          <w:szCs w:val="20"/>
        </w:rPr>
        <w:t>, mediante la determinación de actividades promotoras de crecimiento vegetal como fijación de nitrógeno y solubilización de fosfato.</w:t>
      </w:r>
    </w:p>
    <w:p w14:paraId="3B7E7BB5" w14:textId="77777777" w:rsidR="008D500C" w:rsidRDefault="008D50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</w:p>
    <w:p w14:paraId="5819433C" w14:textId="77777777" w:rsidR="00C36399" w:rsidRPr="00C36399" w:rsidRDefault="00C36399" w:rsidP="00C3639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 w:rsidRPr="00C36399">
        <w:rPr>
          <w:rFonts w:ascii="Roboto" w:eastAsia="Roboto" w:hAnsi="Roboto" w:cs="Roboto"/>
          <w:b/>
          <w:bCs/>
          <w:color w:val="000000"/>
          <w:sz w:val="20"/>
          <w:szCs w:val="20"/>
        </w:rPr>
        <w:t>METODOLOGÍA</w:t>
      </w:r>
    </w:p>
    <w:p w14:paraId="0544AFC1" w14:textId="07494D2A" w:rsidR="008D500C" w:rsidRPr="008D500C" w:rsidRDefault="008D500C" w:rsidP="008D50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8D500C">
        <w:rPr>
          <w:rFonts w:ascii="Roboto" w:eastAsia="Roboto" w:hAnsi="Roboto" w:cs="Roboto"/>
          <w:color w:val="000000"/>
          <w:sz w:val="20"/>
          <w:szCs w:val="20"/>
        </w:rPr>
        <w:t xml:space="preserve">Se recolectaron muestras de suelo rizosférico de </w:t>
      </w:r>
      <w:r w:rsidRPr="008D500C">
        <w:rPr>
          <w:rFonts w:ascii="Roboto" w:eastAsia="Roboto" w:hAnsi="Roboto" w:cs="Roboto"/>
          <w:i/>
          <w:iCs/>
          <w:color w:val="000000"/>
          <w:sz w:val="20"/>
          <w:szCs w:val="20"/>
        </w:rPr>
        <w:t>Citrus latifolia</w:t>
      </w:r>
      <w:r w:rsidRPr="008D500C">
        <w:rPr>
          <w:rFonts w:ascii="Roboto" w:eastAsia="Roboto" w:hAnsi="Roboto" w:cs="Roboto"/>
          <w:color w:val="000000"/>
          <w:sz w:val="20"/>
          <w:szCs w:val="20"/>
        </w:rPr>
        <w:t xml:space="preserve"> en Sacalúm, Yucatán. A partir de estas, se realizaron diluciones seriadas y siembra en medios de cultivo Luria-Bertani (LB) y Nutrient Broth Yeast extract (NBY), incubadas a 28 °C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por 7 días </w:t>
      </w:r>
      <w:r w:rsidRPr="008D500C">
        <w:rPr>
          <w:rFonts w:ascii="Roboto" w:eastAsia="Roboto" w:hAnsi="Roboto" w:cs="Roboto"/>
          <w:color w:val="000000"/>
          <w:sz w:val="20"/>
          <w:szCs w:val="20"/>
        </w:rPr>
        <w:t>para el aislamiento de colonias bacterianas.</w:t>
      </w:r>
    </w:p>
    <w:p w14:paraId="1C179D20" w14:textId="77777777" w:rsidR="008D500C" w:rsidRDefault="008D500C" w:rsidP="008D50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8D500C">
        <w:rPr>
          <w:rFonts w:ascii="Roboto" w:eastAsia="Roboto" w:hAnsi="Roboto" w:cs="Roboto"/>
          <w:color w:val="000000"/>
          <w:sz w:val="20"/>
          <w:szCs w:val="20"/>
        </w:rPr>
        <w:t>Las cepas aisladas fueron purificadas y caracterizadas morfológicamente, incluyendo tinción de Gram. Posteriormente, se evaluó su capacidad funcional mediante: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</w:p>
    <w:p w14:paraId="374C56D3" w14:textId="1E1B65A8" w:rsidR="008D500C" w:rsidRPr="008D500C" w:rsidRDefault="008D500C" w:rsidP="008D500C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8D500C">
        <w:rPr>
          <w:rFonts w:ascii="Roboto" w:eastAsia="Roboto" w:hAnsi="Roboto" w:cs="Roboto"/>
          <w:color w:val="000000"/>
          <w:sz w:val="20"/>
          <w:szCs w:val="20"/>
        </w:rPr>
        <w:t xml:space="preserve">Fijación de nitrógeno, utilizando medio semisólido Jensen’s Modified (JMV), donde el crecimiento bacteriano en ausencia de nitrógeno disponible indica actividad fijadora (Divan </w:t>
      </w:r>
      <w:r w:rsidRPr="008D500C">
        <w:rPr>
          <w:rFonts w:ascii="Roboto" w:eastAsia="Roboto" w:hAnsi="Roboto" w:cs="Roboto"/>
          <w:i/>
          <w:iCs/>
          <w:color w:val="000000"/>
          <w:sz w:val="20"/>
          <w:szCs w:val="20"/>
        </w:rPr>
        <w:t>et al</w:t>
      </w:r>
      <w:r w:rsidRPr="008D500C">
        <w:rPr>
          <w:rFonts w:ascii="Roboto" w:eastAsia="Roboto" w:hAnsi="Roboto" w:cs="Roboto"/>
          <w:color w:val="000000"/>
          <w:sz w:val="20"/>
          <w:szCs w:val="20"/>
        </w:rPr>
        <w:t>., 1996).</w:t>
      </w:r>
    </w:p>
    <w:p w14:paraId="06ABB9F1" w14:textId="77777777" w:rsidR="008D500C" w:rsidRPr="008D500C" w:rsidRDefault="008D500C" w:rsidP="008D500C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8D500C">
        <w:rPr>
          <w:rFonts w:ascii="Roboto" w:eastAsia="Roboto" w:hAnsi="Roboto" w:cs="Roboto"/>
          <w:color w:val="000000"/>
          <w:sz w:val="20"/>
          <w:szCs w:val="20"/>
        </w:rPr>
        <w:t xml:space="preserve">Solubilización de fosfato, mediante cultivo en medio NBRIP, evidenciada por la formación de halos de solubilización y cambio de color del indicador de pH debido a la producción de ácidos orgánicos (Gómez </w:t>
      </w:r>
      <w:r w:rsidRPr="008D500C">
        <w:rPr>
          <w:rFonts w:ascii="Roboto" w:eastAsia="Roboto" w:hAnsi="Roboto" w:cs="Roboto"/>
          <w:i/>
          <w:iCs/>
          <w:color w:val="000000"/>
          <w:sz w:val="20"/>
          <w:szCs w:val="20"/>
        </w:rPr>
        <w:t>et al</w:t>
      </w:r>
      <w:r w:rsidRPr="008D500C">
        <w:rPr>
          <w:rFonts w:ascii="Roboto" w:eastAsia="Roboto" w:hAnsi="Roboto" w:cs="Roboto"/>
          <w:color w:val="000000"/>
          <w:sz w:val="20"/>
          <w:szCs w:val="20"/>
        </w:rPr>
        <w:t>., 2014).</w:t>
      </w:r>
    </w:p>
    <w:p w14:paraId="55CE953D" w14:textId="05090B80" w:rsidR="00C36399" w:rsidRDefault="008D500C" w:rsidP="008D50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8D500C">
        <w:rPr>
          <w:rFonts w:ascii="Roboto" w:eastAsia="Roboto" w:hAnsi="Roboto" w:cs="Roboto"/>
          <w:color w:val="000000"/>
          <w:sz w:val="20"/>
          <w:szCs w:val="20"/>
        </w:rPr>
        <w:t>Las cepas fueron clasificadas de acuerdo con la presencia de actividades individuales o duales.</w:t>
      </w:r>
    </w:p>
    <w:p w14:paraId="4A1FF81B" w14:textId="77777777" w:rsidR="008D500C" w:rsidRDefault="008D500C" w:rsidP="008D50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48D477CE" w14:textId="58EEDA22" w:rsidR="007179ED" w:rsidRDefault="00C3639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RESULTADOS</w:t>
      </w:r>
    </w:p>
    <w:p w14:paraId="67CACBFA" w14:textId="7C2D11C9" w:rsidR="008D500C" w:rsidRPr="008D500C" w:rsidRDefault="006B09CE" w:rsidP="008D500C">
      <w:pPr>
        <w:keepNext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6B09CE">
        <w:rPr>
          <w:rFonts w:ascii="Roboto" w:eastAsia="Roboto" w:hAnsi="Roboto" w:cs="Roboto"/>
          <w:color w:val="000000"/>
          <w:sz w:val="20"/>
          <w:szCs w:val="20"/>
        </w:rPr>
        <w:t>Se aislaron 11 cepas bacterianas con morfologías diferenciadas. Del total, aproximadamente el 70–80% presentó al menos una actividad promotora de crecimiento vegetal, mientras que tres cepas exhibieron actividad dual, lo que resalta su potencial funcional</w:t>
      </w:r>
      <w:r w:rsidR="008D500C" w:rsidRPr="008D500C">
        <w:rPr>
          <w:rFonts w:ascii="Roboto" w:eastAsia="Roboto" w:hAnsi="Roboto" w:cs="Roboto"/>
          <w:color w:val="000000"/>
          <w:sz w:val="20"/>
          <w:szCs w:val="20"/>
        </w:rPr>
        <w:t>.</w:t>
      </w:r>
    </w:p>
    <w:p w14:paraId="2353AACE" w14:textId="0A9A2AF3" w:rsidR="008D500C" w:rsidRDefault="008D500C" w:rsidP="008D500C">
      <w:pPr>
        <w:keepNext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8D500C">
        <w:rPr>
          <w:rFonts w:ascii="Roboto" w:eastAsia="Roboto" w:hAnsi="Roboto" w:cs="Roboto"/>
          <w:color w:val="000000"/>
          <w:sz w:val="20"/>
          <w:szCs w:val="20"/>
        </w:rPr>
        <w:t>La solubilización de fosfato se evidenció mediante la formación de halos claros alrededor de las colonias y el cambio de coloración del medio, indicando acidificación. Por otro lado, la fijación de nitrógeno se confirmó por el crecimiento en medio JMV en condiciones limitantes de este nutriente.</w:t>
      </w:r>
    </w:p>
    <w:p w14:paraId="4B0A38DE" w14:textId="576E5CAE" w:rsidR="008D500C" w:rsidRDefault="008D500C" w:rsidP="008D500C">
      <w:pPr>
        <w:keepNext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8D500C">
        <w:rPr>
          <w:rFonts w:ascii="Roboto" w:eastAsia="Roboto" w:hAnsi="Roboto" w:cs="Roboto"/>
          <w:color w:val="000000"/>
          <w:sz w:val="20"/>
          <w:szCs w:val="20"/>
        </w:rPr>
        <w:t>Las cepas con actividad dual representan los candidatos más prometedores, al combinar mecanismos que favorecen simultáneamente la disponibilidad de nitrógeno y fósforo, nutrientes críticos en suelos kársticos.</w:t>
      </w:r>
    </w:p>
    <w:p w14:paraId="55477147" w14:textId="70C58575" w:rsidR="007179ED" w:rsidRDefault="00000000" w:rsidP="008D500C">
      <w:pPr>
        <w:keepNext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Tabla 1.</w:t>
      </w:r>
      <w:r>
        <w:rPr>
          <w:rFonts w:ascii="Roboto" w:eastAsia="Roboto" w:hAnsi="Roboto" w:cs="Roboto"/>
          <w:sz w:val="20"/>
          <w:szCs w:val="20"/>
        </w:rPr>
        <w:t xml:space="preserve"> </w:t>
      </w:r>
      <w:r w:rsidR="008D500C" w:rsidRPr="008D500C">
        <w:rPr>
          <w:rFonts w:ascii="Roboto" w:eastAsia="Roboto" w:hAnsi="Roboto" w:cs="Roboto"/>
          <w:sz w:val="20"/>
          <w:szCs w:val="20"/>
        </w:rPr>
        <w:t xml:space="preserve">Caracterización funcional de cepas bacterianas aisladas de la rizósfera de </w:t>
      </w:r>
      <w:r w:rsidR="008D500C" w:rsidRPr="008D500C">
        <w:rPr>
          <w:rFonts w:ascii="Roboto" w:eastAsia="Roboto" w:hAnsi="Roboto" w:cs="Roboto"/>
          <w:i/>
          <w:iCs/>
          <w:sz w:val="20"/>
          <w:szCs w:val="20"/>
        </w:rPr>
        <w:t>Citrus latifolia</w:t>
      </w:r>
      <w:r w:rsidR="008D500C" w:rsidRPr="008D500C">
        <w:rPr>
          <w:rFonts w:ascii="Roboto" w:eastAsia="Roboto" w:hAnsi="Roboto" w:cs="Roboto"/>
          <w:sz w:val="20"/>
          <w:szCs w:val="20"/>
        </w:rPr>
        <w:t>.</w:t>
      </w:r>
    </w:p>
    <w:tbl>
      <w:tblPr>
        <w:tblW w:w="493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2"/>
        <w:gridCol w:w="1676"/>
        <w:gridCol w:w="1348"/>
        <w:gridCol w:w="1128"/>
      </w:tblGrid>
      <w:tr w:rsidR="008D500C" w:rsidRPr="008D500C" w14:paraId="7FE78E45" w14:textId="77777777" w:rsidTr="008D500C">
        <w:trPr>
          <w:tblHeader/>
          <w:tblCellSpacing w:w="15" w:type="dxa"/>
        </w:trPr>
        <w:tc>
          <w:tcPr>
            <w:tcW w:w="0" w:type="auto"/>
            <w:tcBorders>
              <w:bottom w:val="single" w:sz="8" w:space="0" w:color="auto"/>
            </w:tcBorders>
            <w:vAlign w:val="center"/>
            <w:hideMark/>
          </w:tcPr>
          <w:p w14:paraId="77824625" w14:textId="77777777" w:rsidR="008D500C" w:rsidRPr="008D500C" w:rsidRDefault="008D500C">
            <w:pPr>
              <w:jc w:val="center"/>
              <w:rPr>
                <w:rFonts w:ascii="Roboto" w:hAnsi="Roboto"/>
                <w:b/>
                <w:bCs/>
                <w:color w:val="000000"/>
                <w:sz w:val="18"/>
                <w:szCs w:val="18"/>
              </w:rPr>
            </w:pPr>
            <w:r w:rsidRPr="008D500C">
              <w:rPr>
                <w:rFonts w:ascii="Roboto" w:hAnsi="Roboto"/>
                <w:b/>
                <w:bCs/>
                <w:color w:val="000000"/>
                <w:sz w:val="18"/>
                <w:szCs w:val="18"/>
              </w:rPr>
              <w:t>Cepa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  <w:hideMark/>
          </w:tcPr>
          <w:p w14:paraId="5BC9DFF1" w14:textId="77777777" w:rsidR="008D500C" w:rsidRPr="008D500C" w:rsidRDefault="008D500C">
            <w:pPr>
              <w:jc w:val="center"/>
              <w:rPr>
                <w:rFonts w:ascii="Roboto" w:hAnsi="Roboto"/>
                <w:b/>
                <w:bCs/>
                <w:color w:val="000000"/>
                <w:sz w:val="18"/>
                <w:szCs w:val="18"/>
              </w:rPr>
            </w:pPr>
            <w:r w:rsidRPr="008D500C">
              <w:rPr>
                <w:rFonts w:ascii="Roboto" w:hAnsi="Roboto"/>
                <w:b/>
                <w:bCs/>
                <w:color w:val="000000"/>
                <w:sz w:val="18"/>
                <w:szCs w:val="18"/>
              </w:rPr>
              <w:t>Solubilización de fosfato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  <w:hideMark/>
          </w:tcPr>
          <w:p w14:paraId="6AA10CF8" w14:textId="77777777" w:rsidR="008D500C" w:rsidRPr="008D500C" w:rsidRDefault="008D500C">
            <w:pPr>
              <w:jc w:val="center"/>
              <w:rPr>
                <w:rFonts w:ascii="Roboto" w:hAnsi="Roboto"/>
                <w:b/>
                <w:bCs/>
                <w:color w:val="000000"/>
                <w:sz w:val="18"/>
                <w:szCs w:val="18"/>
              </w:rPr>
            </w:pPr>
            <w:r w:rsidRPr="008D500C">
              <w:rPr>
                <w:rFonts w:ascii="Roboto" w:hAnsi="Roboto"/>
                <w:b/>
                <w:bCs/>
                <w:color w:val="000000"/>
                <w:sz w:val="18"/>
                <w:szCs w:val="18"/>
              </w:rPr>
              <w:t>Fijación de nitrógeno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  <w:hideMark/>
          </w:tcPr>
          <w:p w14:paraId="3F7B7FED" w14:textId="77777777" w:rsidR="008D500C" w:rsidRPr="008D500C" w:rsidRDefault="008D500C">
            <w:pPr>
              <w:jc w:val="center"/>
              <w:rPr>
                <w:rFonts w:ascii="Roboto" w:hAnsi="Roboto"/>
                <w:b/>
                <w:bCs/>
                <w:color w:val="000000"/>
                <w:sz w:val="18"/>
                <w:szCs w:val="18"/>
              </w:rPr>
            </w:pPr>
            <w:r w:rsidRPr="008D500C">
              <w:rPr>
                <w:rFonts w:ascii="Roboto" w:hAnsi="Roboto"/>
                <w:b/>
                <w:bCs/>
                <w:color w:val="000000"/>
                <w:sz w:val="18"/>
                <w:szCs w:val="18"/>
              </w:rPr>
              <w:t>Tinción de Gram</w:t>
            </w:r>
          </w:p>
        </w:tc>
      </w:tr>
      <w:tr w:rsidR="008D500C" w:rsidRPr="008D500C" w14:paraId="21DF826F" w14:textId="77777777" w:rsidTr="008D500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49F1D6" w14:textId="77777777" w:rsidR="008D500C" w:rsidRPr="008D500C" w:rsidRDefault="008D500C">
            <w:pPr>
              <w:rPr>
                <w:rFonts w:ascii="Roboto" w:hAnsi="Roboto"/>
                <w:color w:val="000000"/>
                <w:sz w:val="18"/>
                <w:szCs w:val="18"/>
              </w:rPr>
            </w:pPr>
            <w:r w:rsidRPr="008D500C">
              <w:rPr>
                <w:rFonts w:ascii="Roboto" w:hAnsi="Roboto"/>
                <w:color w:val="000000"/>
                <w:sz w:val="18"/>
                <w:szCs w:val="18"/>
              </w:rPr>
              <w:t>M1D1BC</w:t>
            </w:r>
          </w:p>
        </w:tc>
        <w:tc>
          <w:tcPr>
            <w:tcW w:w="0" w:type="auto"/>
            <w:vAlign w:val="center"/>
            <w:hideMark/>
          </w:tcPr>
          <w:p w14:paraId="3CCF99DA" w14:textId="77777777" w:rsidR="008D500C" w:rsidRPr="008D500C" w:rsidRDefault="008D500C">
            <w:pPr>
              <w:rPr>
                <w:rFonts w:ascii="Roboto" w:hAnsi="Roboto"/>
                <w:color w:val="000000"/>
                <w:sz w:val="18"/>
                <w:szCs w:val="18"/>
              </w:rPr>
            </w:pPr>
            <w:r w:rsidRPr="008D500C">
              <w:rPr>
                <w:rFonts w:ascii="Roboto" w:hAnsi="Roboto"/>
                <w:color w:val="000000"/>
                <w:sz w:val="18"/>
                <w:szCs w:val="18"/>
              </w:rPr>
              <w:t>+/-</w:t>
            </w:r>
          </w:p>
        </w:tc>
        <w:tc>
          <w:tcPr>
            <w:tcW w:w="0" w:type="auto"/>
            <w:vAlign w:val="center"/>
            <w:hideMark/>
          </w:tcPr>
          <w:p w14:paraId="034E0476" w14:textId="77777777" w:rsidR="008D500C" w:rsidRPr="008D500C" w:rsidRDefault="008D500C">
            <w:pPr>
              <w:rPr>
                <w:rFonts w:ascii="Roboto" w:hAnsi="Roboto"/>
                <w:color w:val="000000"/>
                <w:sz w:val="18"/>
                <w:szCs w:val="18"/>
              </w:rPr>
            </w:pPr>
            <w:r w:rsidRPr="008D500C">
              <w:rPr>
                <w:rFonts w:ascii="Roboto" w:hAnsi="Roboto"/>
                <w:color w:val="000000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14:paraId="630DC22F" w14:textId="77777777" w:rsidR="008D500C" w:rsidRPr="008D500C" w:rsidRDefault="008D500C">
            <w:pPr>
              <w:rPr>
                <w:rFonts w:ascii="Roboto" w:hAnsi="Roboto"/>
                <w:color w:val="000000"/>
                <w:sz w:val="18"/>
                <w:szCs w:val="18"/>
              </w:rPr>
            </w:pPr>
            <w:r w:rsidRPr="008D500C">
              <w:rPr>
                <w:rFonts w:ascii="Roboto" w:hAnsi="Roboto"/>
                <w:color w:val="000000"/>
                <w:sz w:val="18"/>
                <w:szCs w:val="18"/>
              </w:rPr>
              <w:t>Negativa</w:t>
            </w:r>
          </w:p>
        </w:tc>
      </w:tr>
      <w:tr w:rsidR="008D500C" w:rsidRPr="008D500C" w14:paraId="3023B372" w14:textId="77777777" w:rsidTr="008D500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9BA263" w14:textId="77777777" w:rsidR="008D500C" w:rsidRPr="008D500C" w:rsidRDefault="008D500C">
            <w:pPr>
              <w:rPr>
                <w:rFonts w:ascii="Roboto" w:hAnsi="Roboto"/>
                <w:color w:val="000000"/>
                <w:sz w:val="18"/>
                <w:szCs w:val="18"/>
              </w:rPr>
            </w:pPr>
            <w:r w:rsidRPr="008D500C">
              <w:rPr>
                <w:rFonts w:ascii="Roboto" w:hAnsi="Roboto"/>
                <w:color w:val="000000"/>
                <w:sz w:val="18"/>
                <w:szCs w:val="18"/>
              </w:rPr>
              <w:t>M1D2</w:t>
            </w:r>
          </w:p>
        </w:tc>
        <w:tc>
          <w:tcPr>
            <w:tcW w:w="0" w:type="auto"/>
            <w:vAlign w:val="center"/>
            <w:hideMark/>
          </w:tcPr>
          <w:p w14:paraId="6BB15D12" w14:textId="77777777" w:rsidR="008D500C" w:rsidRPr="008D500C" w:rsidRDefault="008D500C">
            <w:pPr>
              <w:rPr>
                <w:rFonts w:ascii="Roboto" w:hAnsi="Roboto"/>
                <w:color w:val="000000"/>
                <w:sz w:val="18"/>
                <w:szCs w:val="18"/>
              </w:rPr>
            </w:pPr>
            <w:r w:rsidRPr="008D500C">
              <w:rPr>
                <w:rFonts w:ascii="Roboto" w:hAnsi="Roboto"/>
                <w:color w:val="000000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14:paraId="0E4C62B8" w14:textId="77777777" w:rsidR="008D500C" w:rsidRPr="008D500C" w:rsidRDefault="008D500C">
            <w:pPr>
              <w:rPr>
                <w:rFonts w:ascii="Roboto" w:hAnsi="Roboto"/>
                <w:color w:val="000000"/>
                <w:sz w:val="18"/>
                <w:szCs w:val="18"/>
              </w:rPr>
            </w:pPr>
            <w:r w:rsidRPr="008D500C">
              <w:rPr>
                <w:rFonts w:ascii="Roboto" w:hAnsi="Roboto"/>
                <w:color w:val="000000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14:paraId="2373E4F8" w14:textId="77777777" w:rsidR="008D500C" w:rsidRPr="008D500C" w:rsidRDefault="008D500C">
            <w:pPr>
              <w:rPr>
                <w:rFonts w:ascii="Roboto" w:hAnsi="Roboto"/>
                <w:color w:val="000000"/>
                <w:sz w:val="18"/>
                <w:szCs w:val="18"/>
              </w:rPr>
            </w:pPr>
            <w:r w:rsidRPr="008D500C">
              <w:rPr>
                <w:rFonts w:ascii="Roboto" w:hAnsi="Roboto"/>
                <w:color w:val="000000"/>
                <w:sz w:val="18"/>
                <w:szCs w:val="18"/>
              </w:rPr>
              <w:t>Positiva</w:t>
            </w:r>
          </w:p>
        </w:tc>
      </w:tr>
      <w:tr w:rsidR="008D500C" w:rsidRPr="008D500C" w14:paraId="7A0719D4" w14:textId="77777777" w:rsidTr="008D500C">
        <w:trPr>
          <w:tblCellSpacing w:w="15" w:type="dxa"/>
        </w:trPr>
        <w:tc>
          <w:tcPr>
            <w:tcW w:w="0" w:type="auto"/>
            <w:tcBorders>
              <w:bottom w:val="single" w:sz="8" w:space="0" w:color="auto"/>
            </w:tcBorders>
            <w:vAlign w:val="center"/>
            <w:hideMark/>
          </w:tcPr>
          <w:p w14:paraId="64A7DC7A" w14:textId="77777777" w:rsidR="008D500C" w:rsidRPr="008D500C" w:rsidRDefault="008D500C">
            <w:pPr>
              <w:rPr>
                <w:rFonts w:ascii="Roboto" w:hAnsi="Roboto"/>
                <w:color w:val="000000"/>
                <w:sz w:val="18"/>
                <w:szCs w:val="18"/>
              </w:rPr>
            </w:pPr>
            <w:r w:rsidRPr="008D500C">
              <w:rPr>
                <w:rFonts w:ascii="Roboto" w:hAnsi="Roboto"/>
                <w:color w:val="000000"/>
                <w:sz w:val="18"/>
                <w:szCs w:val="18"/>
              </w:rPr>
              <w:t>M2D2O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  <w:hideMark/>
          </w:tcPr>
          <w:p w14:paraId="16C219C7" w14:textId="77777777" w:rsidR="008D500C" w:rsidRPr="008D500C" w:rsidRDefault="008D500C">
            <w:pPr>
              <w:rPr>
                <w:rFonts w:ascii="Roboto" w:hAnsi="Roboto"/>
                <w:color w:val="000000"/>
                <w:sz w:val="18"/>
                <w:szCs w:val="18"/>
              </w:rPr>
            </w:pPr>
            <w:r w:rsidRPr="008D500C">
              <w:rPr>
                <w:rFonts w:ascii="Roboto" w:hAnsi="Roboto"/>
                <w:color w:val="000000"/>
                <w:sz w:val="18"/>
                <w:szCs w:val="18"/>
              </w:rPr>
              <w:t>+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  <w:hideMark/>
          </w:tcPr>
          <w:p w14:paraId="2F639886" w14:textId="77777777" w:rsidR="008D500C" w:rsidRPr="008D500C" w:rsidRDefault="008D500C">
            <w:pPr>
              <w:rPr>
                <w:rFonts w:ascii="Roboto" w:hAnsi="Roboto"/>
                <w:color w:val="000000"/>
                <w:sz w:val="18"/>
                <w:szCs w:val="18"/>
              </w:rPr>
            </w:pPr>
            <w:r w:rsidRPr="008D500C">
              <w:rPr>
                <w:rFonts w:ascii="Roboto" w:hAnsi="Roboto"/>
                <w:color w:val="000000"/>
                <w:sz w:val="18"/>
                <w:szCs w:val="18"/>
              </w:rPr>
              <w:t>+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  <w:hideMark/>
          </w:tcPr>
          <w:p w14:paraId="1ADF0D1F" w14:textId="77777777" w:rsidR="008D500C" w:rsidRPr="008D500C" w:rsidRDefault="008D500C">
            <w:pPr>
              <w:rPr>
                <w:rFonts w:ascii="Roboto" w:hAnsi="Roboto"/>
                <w:color w:val="000000"/>
                <w:sz w:val="18"/>
                <w:szCs w:val="18"/>
              </w:rPr>
            </w:pPr>
            <w:r w:rsidRPr="008D500C">
              <w:rPr>
                <w:rFonts w:ascii="Roboto" w:hAnsi="Roboto"/>
                <w:color w:val="000000"/>
                <w:sz w:val="18"/>
                <w:szCs w:val="18"/>
              </w:rPr>
              <w:t>Negativa</w:t>
            </w:r>
          </w:p>
        </w:tc>
      </w:tr>
    </w:tbl>
    <w:p w14:paraId="393FA628" w14:textId="3868460A" w:rsidR="007179ED" w:rsidRDefault="008D500C">
      <w:pPr>
        <w:tabs>
          <w:tab w:val="left" w:pos="284"/>
        </w:tabs>
        <w:ind w:left="284" w:hanging="284"/>
        <w:jc w:val="both"/>
        <w:rPr>
          <w:rFonts w:ascii="Roboto" w:eastAsia="Roboto" w:hAnsi="Roboto" w:cs="Roboto"/>
          <w:sz w:val="18"/>
          <w:szCs w:val="18"/>
        </w:rPr>
      </w:pPr>
      <w:r w:rsidRPr="008D500C">
        <w:rPr>
          <w:rFonts w:ascii="Roboto" w:eastAsia="Roboto" w:hAnsi="Roboto" w:cs="Roboto"/>
          <w:sz w:val="18"/>
          <w:szCs w:val="18"/>
        </w:rPr>
        <w:t>Leyenda: (+) presente, (-) ausente, (+/-) parcialmente presente.</w:t>
      </w:r>
    </w:p>
    <w:p w14:paraId="1EF77703" w14:textId="77777777" w:rsidR="008D500C" w:rsidRPr="008D500C" w:rsidRDefault="008D500C">
      <w:pPr>
        <w:tabs>
          <w:tab w:val="left" w:pos="284"/>
        </w:tabs>
        <w:ind w:left="284" w:hanging="284"/>
        <w:jc w:val="both"/>
        <w:rPr>
          <w:rFonts w:ascii="Roboto" w:eastAsia="Roboto" w:hAnsi="Roboto" w:cs="Roboto"/>
          <w:sz w:val="18"/>
          <w:szCs w:val="18"/>
        </w:rPr>
      </w:pPr>
    </w:p>
    <w:p w14:paraId="7CCD7319" w14:textId="76558619" w:rsidR="008D500C" w:rsidRDefault="008D500C">
      <w:pPr>
        <w:tabs>
          <w:tab w:val="left" w:pos="284"/>
        </w:tabs>
        <w:ind w:left="284" w:hanging="284"/>
        <w:jc w:val="both"/>
        <w:rPr>
          <w:rFonts w:ascii="Roboto" w:eastAsia="Roboto" w:hAnsi="Roboto" w:cs="Roboto"/>
          <w:sz w:val="20"/>
          <w:szCs w:val="20"/>
        </w:rPr>
      </w:pPr>
      <w:r w:rsidRPr="008D500C">
        <w:rPr>
          <w:rFonts w:ascii="Roboto" w:eastAsia="Roboto" w:hAnsi="Roboto" w:cs="Roboto"/>
          <w:noProof/>
          <w:sz w:val="20"/>
          <w:szCs w:val="20"/>
        </w:rPr>
        <w:drawing>
          <wp:inline distT="0" distB="0" distL="0" distR="0" wp14:anchorId="4A06657E" wp14:editId="0B4466B0">
            <wp:extent cx="3011170" cy="951865"/>
            <wp:effectExtent l="0" t="0" r="0" b="635"/>
            <wp:docPr id="20154404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404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61510" w14:textId="5A243737" w:rsidR="007179ED" w:rsidRDefault="007179ED">
      <w:pPr>
        <w:jc w:val="center"/>
        <w:rPr>
          <w:rFonts w:ascii="Roboto" w:eastAsia="Roboto" w:hAnsi="Roboto" w:cs="Roboto"/>
          <w:b/>
          <w:bCs/>
          <w:sz w:val="20"/>
          <w:szCs w:val="20"/>
        </w:rPr>
      </w:pPr>
    </w:p>
    <w:p w14:paraId="04F2DA10" w14:textId="44CED6D8" w:rsidR="007179ED" w:rsidRDefault="00000000">
      <w:p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Figura 1</w:t>
      </w:r>
      <w:r>
        <w:rPr>
          <w:rFonts w:ascii="Roboto" w:eastAsia="Roboto" w:hAnsi="Roboto" w:cs="Roboto"/>
          <w:sz w:val="20"/>
          <w:szCs w:val="20"/>
        </w:rPr>
        <w:t xml:space="preserve">. </w:t>
      </w:r>
      <w:r w:rsidR="008D500C">
        <w:rPr>
          <w:rFonts w:ascii="Roboto" w:eastAsia="Roboto" w:hAnsi="Roboto" w:cs="Roboto"/>
          <w:sz w:val="20"/>
          <w:szCs w:val="20"/>
        </w:rPr>
        <w:t>E</w:t>
      </w:r>
      <w:r w:rsidR="008D500C" w:rsidRPr="008D500C">
        <w:rPr>
          <w:rFonts w:ascii="Roboto" w:eastAsia="Roboto" w:hAnsi="Roboto" w:cs="Roboto"/>
          <w:sz w:val="20"/>
          <w:szCs w:val="20"/>
        </w:rPr>
        <w:t xml:space="preserve">valuación de actividades funcionales en cepas bacterianas aisladas de la rizósfera de </w:t>
      </w:r>
      <w:r w:rsidR="008D500C" w:rsidRPr="008D500C">
        <w:rPr>
          <w:rFonts w:ascii="Roboto" w:eastAsia="Roboto" w:hAnsi="Roboto" w:cs="Roboto"/>
          <w:i/>
          <w:iCs/>
          <w:sz w:val="20"/>
          <w:szCs w:val="20"/>
        </w:rPr>
        <w:t>Citrus latifolia</w:t>
      </w:r>
      <w:r w:rsidR="008D500C" w:rsidRPr="008D500C">
        <w:rPr>
          <w:rFonts w:ascii="Roboto" w:eastAsia="Roboto" w:hAnsi="Roboto" w:cs="Roboto"/>
          <w:sz w:val="20"/>
          <w:szCs w:val="20"/>
        </w:rPr>
        <w:t>: (</w:t>
      </w:r>
      <w:r w:rsidR="008D500C">
        <w:rPr>
          <w:rFonts w:ascii="Roboto" w:eastAsia="Roboto" w:hAnsi="Roboto" w:cs="Roboto"/>
          <w:sz w:val="20"/>
          <w:szCs w:val="20"/>
        </w:rPr>
        <w:t>A</w:t>
      </w:r>
      <w:r w:rsidR="008D500C" w:rsidRPr="008D500C">
        <w:rPr>
          <w:rFonts w:ascii="Roboto" w:eastAsia="Roboto" w:hAnsi="Roboto" w:cs="Roboto"/>
          <w:sz w:val="20"/>
          <w:szCs w:val="20"/>
        </w:rPr>
        <w:t>) crecimiento en medio JMV indicativo de fijación de nitrógeno</w:t>
      </w:r>
      <w:r w:rsidR="008D500C">
        <w:rPr>
          <w:rFonts w:ascii="Roboto" w:eastAsia="Roboto" w:hAnsi="Roboto" w:cs="Roboto"/>
          <w:sz w:val="20"/>
          <w:szCs w:val="20"/>
        </w:rPr>
        <w:t xml:space="preserve">; </w:t>
      </w:r>
      <w:r w:rsidR="008D500C" w:rsidRPr="008D500C">
        <w:rPr>
          <w:rFonts w:ascii="Roboto" w:eastAsia="Roboto" w:hAnsi="Roboto" w:cs="Roboto"/>
          <w:sz w:val="20"/>
          <w:szCs w:val="20"/>
        </w:rPr>
        <w:t>(</w:t>
      </w:r>
      <w:r w:rsidR="008D500C">
        <w:rPr>
          <w:rFonts w:ascii="Roboto" w:eastAsia="Roboto" w:hAnsi="Roboto" w:cs="Roboto"/>
          <w:sz w:val="20"/>
          <w:szCs w:val="20"/>
        </w:rPr>
        <w:t>B</w:t>
      </w:r>
      <w:r w:rsidR="008D500C" w:rsidRPr="008D500C">
        <w:rPr>
          <w:rFonts w:ascii="Roboto" w:eastAsia="Roboto" w:hAnsi="Roboto" w:cs="Roboto"/>
          <w:sz w:val="20"/>
          <w:szCs w:val="20"/>
        </w:rPr>
        <w:t>) solubilización de fosfato en medio NBRIP evidenciada por formación de halos</w:t>
      </w:r>
      <w:r w:rsidR="008D500C">
        <w:rPr>
          <w:rFonts w:ascii="Roboto" w:eastAsia="Roboto" w:hAnsi="Roboto" w:cs="Roboto"/>
          <w:sz w:val="20"/>
          <w:szCs w:val="20"/>
        </w:rPr>
        <w:t>.</w:t>
      </w:r>
    </w:p>
    <w:p w14:paraId="73A443B8" w14:textId="77777777" w:rsidR="007179ED" w:rsidRDefault="007179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73D99D82" w14:textId="77777777" w:rsidR="00C36399" w:rsidRDefault="00C36399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 w:rsidRPr="00C36399">
        <w:rPr>
          <w:rFonts w:ascii="Roboto" w:eastAsia="Roboto" w:hAnsi="Roboto" w:cs="Roboto"/>
          <w:b/>
          <w:bCs/>
          <w:sz w:val="20"/>
          <w:szCs w:val="20"/>
        </w:rPr>
        <w:t>CONCLUSIONES</w:t>
      </w:r>
    </w:p>
    <w:p w14:paraId="4F78CF33" w14:textId="77777777" w:rsidR="008D500C" w:rsidRDefault="008D500C" w:rsidP="008D500C">
      <w:pPr>
        <w:jc w:val="both"/>
        <w:rPr>
          <w:rFonts w:ascii="Roboto" w:eastAsia="Roboto" w:hAnsi="Roboto" w:cs="Roboto"/>
          <w:sz w:val="20"/>
          <w:szCs w:val="20"/>
        </w:rPr>
      </w:pPr>
      <w:r w:rsidRPr="008D500C">
        <w:rPr>
          <w:rFonts w:ascii="Roboto" w:eastAsia="Roboto" w:hAnsi="Roboto" w:cs="Roboto"/>
          <w:sz w:val="20"/>
          <w:szCs w:val="20"/>
        </w:rPr>
        <w:t xml:space="preserve">Las cepas bacterianas aisladas de la rizósfera de </w:t>
      </w:r>
      <w:r w:rsidRPr="008D500C">
        <w:rPr>
          <w:rFonts w:ascii="Roboto" w:eastAsia="Roboto" w:hAnsi="Roboto" w:cs="Roboto"/>
          <w:i/>
          <w:iCs/>
          <w:sz w:val="20"/>
          <w:szCs w:val="20"/>
        </w:rPr>
        <w:t>Citrus latifolia</w:t>
      </w:r>
      <w:r w:rsidRPr="008D500C">
        <w:rPr>
          <w:rFonts w:ascii="Roboto" w:eastAsia="Roboto" w:hAnsi="Roboto" w:cs="Roboto"/>
          <w:sz w:val="20"/>
          <w:szCs w:val="20"/>
        </w:rPr>
        <w:t xml:space="preserve"> presentan capacidades funcionales clave para la promoción del crecimiento vegetal, destacando la fijación de nitrógeno y la solubilización de fosfato. La presencia de cepas con actividad dual refuerza su potencial como biofertilizantes, particularmente en suelos kársticos con limitaciones nutricionales.</w:t>
      </w:r>
    </w:p>
    <w:p w14:paraId="2C19BF83" w14:textId="6AE7DF49" w:rsidR="007179ED" w:rsidRDefault="008D500C" w:rsidP="008D500C">
      <w:pPr>
        <w:jc w:val="both"/>
        <w:rPr>
          <w:rFonts w:ascii="Roboto" w:eastAsia="Roboto" w:hAnsi="Roboto" w:cs="Roboto"/>
          <w:sz w:val="20"/>
          <w:szCs w:val="20"/>
        </w:rPr>
      </w:pPr>
      <w:r w:rsidRPr="008D500C">
        <w:rPr>
          <w:rFonts w:ascii="Roboto" w:eastAsia="Roboto" w:hAnsi="Roboto" w:cs="Roboto"/>
          <w:sz w:val="20"/>
          <w:szCs w:val="20"/>
        </w:rPr>
        <w:lastRenderedPageBreak/>
        <w:t>Estos resultados contribuyen a la generación de alternativas sostenibles para la agricultura regional, promoviendo la reducción del uso de agroquímicos y el aprovechamiento de la microbiota nativa del suelo</w:t>
      </w:r>
      <w:r w:rsidR="00C36399" w:rsidRPr="00C36399">
        <w:rPr>
          <w:rFonts w:ascii="Roboto" w:eastAsia="Roboto" w:hAnsi="Roboto" w:cs="Roboto"/>
          <w:sz w:val="20"/>
          <w:szCs w:val="20"/>
        </w:rPr>
        <w:t>.</w:t>
      </w:r>
    </w:p>
    <w:p w14:paraId="50A91150" w14:textId="77777777" w:rsidR="00C36399" w:rsidRDefault="00C36399">
      <w:pPr>
        <w:jc w:val="both"/>
        <w:rPr>
          <w:rFonts w:ascii="Roboto" w:eastAsia="Roboto" w:hAnsi="Roboto" w:cs="Roboto"/>
          <w:sz w:val="20"/>
          <w:szCs w:val="20"/>
        </w:rPr>
      </w:pPr>
    </w:p>
    <w:p w14:paraId="72D4DD9A" w14:textId="739A8722" w:rsidR="007179ED" w:rsidRDefault="00000000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 xml:space="preserve">AGRADECIMIENTOS </w:t>
      </w:r>
    </w:p>
    <w:p w14:paraId="0439DA86" w14:textId="562B75C9" w:rsidR="007179ED" w:rsidRDefault="008D500C">
      <w:pPr>
        <w:jc w:val="both"/>
        <w:rPr>
          <w:rFonts w:ascii="Roboto" w:eastAsia="Roboto" w:hAnsi="Roboto" w:cs="Roboto"/>
          <w:sz w:val="20"/>
          <w:szCs w:val="20"/>
        </w:rPr>
      </w:pPr>
      <w:r w:rsidRPr="008D500C">
        <w:rPr>
          <w:rFonts w:ascii="Roboto" w:eastAsia="Roboto" w:hAnsi="Roboto" w:cs="Roboto"/>
          <w:sz w:val="20"/>
          <w:szCs w:val="20"/>
        </w:rPr>
        <w:t>Se agradece a la Universidad Anáhuac Mayab y al Centro de Investigación Científica de Yucatán (CICY) por el apoyo técnico y académico, así como a los estudiantes participantes por su colaboración en el desarrollo experimental.</w:t>
      </w:r>
    </w:p>
    <w:p w14:paraId="29E4DF65" w14:textId="77777777" w:rsidR="008D500C" w:rsidRDefault="008D500C">
      <w:pPr>
        <w:jc w:val="both"/>
        <w:rPr>
          <w:rFonts w:ascii="Roboto" w:eastAsia="Roboto" w:hAnsi="Roboto" w:cs="Roboto"/>
          <w:sz w:val="20"/>
          <w:szCs w:val="20"/>
        </w:rPr>
      </w:pPr>
    </w:p>
    <w:p w14:paraId="3A80F177" w14:textId="03587559" w:rsidR="007179ED" w:rsidRDefault="00000000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REFERENCIAS</w:t>
      </w:r>
    </w:p>
    <w:p w14:paraId="43ADA2C9" w14:textId="3FE66616" w:rsidR="008D500C" w:rsidRPr="008D500C" w:rsidRDefault="008D500C" w:rsidP="008D500C">
      <w:pPr>
        <w:jc w:val="both"/>
        <w:rPr>
          <w:rFonts w:ascii="Roboto" w:eastAsia="Roboto" w:hAnsi="Roboto" w:cs="Roboto"/>
          <w:sz w:val="20"/>
          <w:szCs w:val="20"/>
        </w:rPr>
      </w:pPr>
      <w:r w:rsidRPr="008D500C">
        <w:rPr>
          <w:rFonts w:ascii="Roboto" w:eastAsia="Roboto" w:hAnsi="Roboto" w:cs="Roboto"/>
          <w:sz w:val="20"/>
          <w:szCs w:val="20"/>
        </w:rPr>
        <w:t>Bautista, F. (2011). El suelo. En Biodiversidad y Desarrollo Humano en Yucatán. Centro de Investigación Científica de Yucatán (CICY).</w:t>
      </w:r>
    </w:p>
    <w:p w14:paraId="0CFDEE4B" w14:textId="04E742E5" w:rsidR="008D500C" w:rsidRPr="008D500C" w:rsidRDefault="008D500C" w:rsidP="008D500C">
      <w:pPr>
        <w:jc w:val="both"/>
        <w:rPr>
          <w:rFonts w:ascii="Roboto" w:eastAsia="Roboto" w:hAnsi="Roboto" w:cs="Roboto"/>
          <w:sz w:val="20"/>
          <w:szCs w:val="20"/>
        </w:rPr>
      </w:pPr>
      <w:r w:rsidRPr="008D500C">
        <w:rPr>
          <w:rFonts w:ascii="Roboto" w:eastAsia="Roboto" w:hAnsi="Roboto" w:cs="Roboto"/>
          <w:sz w:val="20"/>
          <w:szCs w:val="20"/>
        </w:rPr>
        <w:t xml:space="preserve">Bautista-Cruz, A., Ortiz-Hernández, Y. D., Martínez-Gallegos, V., &amp; Martínez-Gutiérrez, G. (2015). Effect of phosphate-solubilizing bacteria isolated from semiarid soils on pitahaya seedlings (Hylocereus undatus). Idesia (Arica), 33(2), 65–68. </w:t>
      </w:r>
      <w:hyperlink r:id="rId10" w:history="1">
        <w:r w:rsidRPr="0057497D">
          <w:rPr>
            <w:rStyle w:val="Hipervnculo"/>
            <w:rFonts w:ascii="Roboto" w:eastAsia="Roboto" w:hAnsi="Roboto" w:cs="Roboto"/>
            <w:sz w:val="20"/>
            <w:szCs w:val="20"/>
          </w:rPr>
          <w:t>https://doi.org/10.4067/S0718-34292015000200008</w:t>
        </w:r>
      </w:hyperlink>
    </w:p>
    <w:p w14:paraId="7689B697" w14:textId="36FE0A0F" w:rsidR="008D500C" w:rsidRPr="008D500C" w:rsidRDefault="008D500C" w:rsidP="008D500C">
      <w:pPr>
        <w:jc w:val="both"/>
        <w:rPr>
          <w:rFonts w:ascii="Roboto" w:eastAsia="Roboto" w:hAnsi="Roboto" w:cs="Roboto"/>
          <w:sz w:val="20"/>
          <w:szCs w:val="20"/>
        </w:rPr>
      </w:pPr>
      <w:r w:rsidRPr="008D500C">
        <w:rPr>
          <w:rFonts w:ascii="Roboto" w:eastAsia="Roboto" w:hAnsi="Roboto" w:cs="Roboto"/>
          <w:sz w:val="20"/>
          <w:szCs w:val="20"/>
        </w:rPr>
        <w:t>Benjumeda, D. (2017). Bacterias promotoras del crecimiento vegetal: Mecanismos y aplicaciones [Revisión bibliográfica, Universidad de Sevilla].</w:t>
      </w:r>
    </w:p>
    <w:p w14:paraId="47677F94" w14:textId="4AD4A423" w:rsidR="008D500C" w:rsidRPr="008D500C" w:rsidRDefault="008D500C" w:rsidP="008D500C">
      <w:pPr>
        <w:jc w:val="both"/>
        <w:rPr>
          <w:rFonts w:ascii="Roboto" w:eastAsia="Roboto" w:hAnsi="Roboto" w:cs="Roboto"/>
          <w:sz w:val="20"/>
          <w:szCs w:val="20"/>
        </w:rPr>
      </w:pPr>
      <w:r w:rsidRPr="008D500C">
        <w:rPr>
          <w:rFonts w:ascii="Roboto" w:eastAsia="Roboto" w:hAnsi="Roboto" w:cs="Roboto"/>
          <w:sz w:val="20"/>
          <w:szCs w:val="20"/>
        </w:rPr>
        <w:t>Borges, L., Soria, M., Casanova, V., Villanueva, E., &amp; Pereyda, G. (2008). Correlación y calibración del análisis de fósforo en suelos de Yucatán, México, para el cultivo de chile habanero. Agrociencia, 42(1), 1–10.</w:t>
      </w:r>
    </w:p>
    <w:p w14:paraId="61C286F0" w14:textId="5AA99F84" w:rsidR="008D500C" w:rsidRPr="008D500C" w:rsidRDefault="008D500C" w:rsidP="008D500C">
      <w:pPr>
        <w:jc w:val="both"/>
        <w:rPr>
          <w:rFonts w:ascii="Roboto" w:eastAsia="Roboto" w:hAnsi="Roboto" w:cs="Roboto"/>
          <w:sz w:val="20"/>
          <w:szCs w:val="20"/>
        </w:rPr>
      </w:pPr>
      <w:r w:rsidRPr="008D500C">
        <w:rPr>
          <w:rFonts w:ascii="Roboto" w:eastAsia="Roboto" w:hAnsi="Roboto" w:cs="Roboto"/>
          <w:sz w:val="20"/>
          <w:szCs w:val="20"/>
        </w:rPr>
        <w:t>Divan, V., Ivo, J., &amp; Döbereiner, J. (1996). Meios de cultura específicos para o isolamento de bactérias endofíticas que fixam N₂ atmosférico. Comunicado técnico.</w:t>
      </w:r>
    </w:p>
    <w:p w14:paraId="179DB17F" w14:textId="38596BC3" w:rsidR="008D500C" w:rsidRPr="008D500C" w:rsidRDefault="008D500C" w:rsidP="008D500C">
      <w:pPr>
        <w:jc w:val="both"/>
        <w:rPr>
          <w:rFonts w:ascii="Roboto" w:eastAsia="Roboto" w:hAnsi="Roboto" w:cs="Roboto"/>
          <w:sz w:val="20"/>
          <w:szCs w:val="20"/>
        </w:rPr>
      </w:pPr>
      <w:r w:rsidRPr="008D500C">
        <w:rPr>
          <w:rFonts w:ascii="Roboto" w:eastAsia="Roboto" w:hAnsi="Roboto" w:cs="Roboto"/>
          <w:sz w:val="20"/>
          <w:szCs w:val="20"/>
        </w:rPr>
        <w:t>Gómez, B., Ramírez, J., Veloz, J., Gasca, J., &amp; Herrera, I. (2014). Aislamiento y caracterización de bacterias de la rizósfera con capacidad promotora de crecimiento vegetal.</w:t>
      </w:r>
    </w:p>
    <w:p w14:paraId="0D9BE4A7" w14:textId="6DBE0AF2" w:rsidR="007179ED" w:rsidRDefault="008D500C" w:rsidP="008D500C">
      <w:pPr>
        <w:jc w:val="both"/>
        <w:rPr>
          <w:rFonts w:ascii="Roboto" w:eastAsia="Roboto" w:hAnsi="Roboto" w:cs="Roboto"/>
          <w:sz w:val="20"/>
          <w:szCs w:val="20"/>
        </w:rPr>
      </w:pPr>
      <w:r w:rsidRPr="008D500C">
        <w:rPr>
          <w:rFonts w:ascii="Roboto" w:eastAsia="Roboto" w:hAnsi="Roboto" w:cs="Roboto"/>
          <w:sz w:val="20"/>
          <w:szCs w:val="20"/>
        </w:rPr>
        <w:t>Guzmán-Plazola, P., Guevara-Gutiérrez, R. D., Olguín-López, J. L., &amp; Mancilla-Villa, O. R. (2016). Perspectiva campesina, intoxicaciones por plaguicidas y uso de agroquímicos. Idesia (Arica), 34(3), 69–80. https://doi.org/10.4067/S0718-34292016000300009</w:t>
      </w:r>
    </w:p>
    <w:p w14:paraId="309F9E54" w14:textId="77777777" w:rsidR="007179ED" w:rsidRDefault="007179ED">
      <w:pPr>
        <w:jc w:val="both"/>
        <w:rPr>
          <w:rFonts w:ascii="Roboto" w:eastAsia="Roboto" w:hAnsi="Roboto" w:cs="Roboto"/>
          <w:sz w:val="20"/>
          <w:szCs w:val="20"/>
        </w:rPr>
      </w:pPr>
    </w:p>
    <w:p w14:paraId="7689D72D" w14:textId="77777777" w:rsidR="007179ED" w:rsidRDefault="007179ED">
      <w:pPr>
        <w:jc w:val="both"/>
        <w:rPr>
          <w:rFonts w:ascii="Roboto" w:eastAsia="Roboto" w:hAnsi="Roboto" w:cs="Roboto"/>
          <w:sz w:val="20"/>
          <w:szCs w:val="20"/>
        </w:rPr>
        <w:sectPr w:rsidR="007179ED">
          <w:type w:val="continuous"/>
          <w:pgSz w:w="11906" w:h="16838"/>
          <w:pgMar w:top="1134" w:right="851" w:bottom="1134" w:left="851" w:header="357" w:footer="720" w:gutter="0"/>
          <w:cols w:num="2" w:space="720" w:equalWidth="0">
            <w:col w:w="4934" w:space="335"/>
            <w:col w:w="4934" w:space="0"/>
          </w:cols>
        </w:sectPr>
      </w:pPr>
    </w:p>
    <w:p w14:paraId="2110D14F" w14:textId="77777777" w:rsidR="007179ED" w:rsidRDefault="00000000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lastRenderedPageBreak/>
        <w:t>NO ELIMINAR ESTA HOJA DEL ARCHIVO. ENVÍE EL ARCHIVO COMPLETO</w:t>
      </w:r>
    </w:p>
    <w:p w14:paraId="1D3A9633" w14:textId="77777777" w:rsidR="007179ED" w:rsidRDefault="00000000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t>Declaración de originalidad y autorización de publicación</w:t>
      </w:r>
    </w:p>
    <w:p w14:paraId="6BA0D57A" w14:textId="77777777" w:rsidR="007179ED" w:rsidRDefault="00000000">
      <w:pPr>
        <w:spacing w:before="240"/>
        <w:jc w:val="center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III Encuentro de Investigadores de la Red Internacional de Universidades Regnum Christi (RIU)</w:t>
      </w:r>
    </w:p>
    <w:p w14:paraId="142A96F2" w14:textId="77777777" w:rsidR="007179ED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Al enviar el presente resumen para su inclusión en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Red Internacional de Universidades Regnum Christi (RIU)</w:t>
      </w:r>
      <w:r>
        <w:rPr>
          <w:rFonts w:ascii="Roboto" w:eastAsia="Roboto" w:hAnsi="Roboto" w:cs="Roboto"/>
          <w:sz w:val="20"/>
          <w:szCs w:val="20"/>
        </w:rPr>
        <w:t>, los autores declaran y aceptan lo siguiente:</w:t>
      </w:r>
    </w:p>
    <w:p w14:paraId="40ED6B80" w14:textId="77777777" w:rsidR="007179ED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1. Declaración de originalidad</w:t>
      </w:r>
    </w:p>
    <w:p w14:paraId="6F41E012" w14:textId="77777777" w:rsidR="007179ED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declaran que el trabajo presentado es </w:t>
      </w:r>
      <w:r>
        <w:rPr>
          <w:rFonts w:ascii="Roboto" w:eastAsia="Roboto" w:hAnsi="Roboto" w:cs="Roboto"/>
          <w:b/>
          <w:bCs/>
          <w:sz w:val="20"/>
          <w:szCs w:val="20"/>
        </w:rPr>
        <w:t>original</w:t>
      </w:r>
      <w:r>
        <w:rPr>
          <w:rFonts w:ascii="Roboto" w:eastAsia="Roboto" w:hAnsi="Roboto" w:cs="Roboto"/>
          <w:sz w:val="20"/>
          <w:szCs w:val="20"/>
        </w:rPr>
        <w:t>, que no infringe derechos de propiedad intelectual de terceros y que cuenta con las autorizaciones necesarias en caso de incluir información, datos, imágenes o materiales previamente publicados. Asimismo, manifiestan que todas las personas que contribuyeron significativamente al trabajo han sido debidamente reconocidas como autores o colaboradores.</w:t>
      </w:r>
    </w:p>
    <w:p w14:paraId="4D3DF2D2" w14:textId="77777777" w:rsidR="007179ED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2. Titularidad de los derechos</w:t>
      </w:r>
    </w:p>
    <w:p w14:paraId="5C994BDD" w14:textId="77777777" w:rsidR="007179ED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</w:t>
      </w:r>
      <w:r>
        <w:rPr>
          <w:rFonts w:ascii="Roboto" w:eastAsia="Roboto" w:hAnsi="Roboto" w:cs="Roboto"/>
          <w:b/>
          <w:bCs/>
          <w:sz w:val="20"/>
          <w:szCs w:val="20"/>
        </w:rPr>
        <w:t>conservan la titularidad de los derechos de autor y de propiedad intelectual</w:t>
      </w:r>
      <w:r>
        <w:rPr>
          <w:rFonts w:ascii="Roboto" w:eastAsia="Roboto" w:hAnsi="Roboto" w:cs="Roboto"/>
          <w:sz w:val="20"/>
          <w:szCs w:val="20"/>
        </w:rPr>
        <w:t xml:space="preserve"> sobre el contenido del resumen y sobre la investigación descrita en el mismo. La aceptación de esta declaración </w:t>
      </w:r>
      <w:r>
        <w:rPr>
          <w:rFonts w:ascii="Roboto" w:eastAsia="Roboto" w:hAnsi="Roboto" w:cs="Roboto"/>
          <w:b/>
          <w:bCs/>
          <w:sz w:val="20"/>
          <w:szCs w:val="20"/>
        </w:rPr>
        <w:t>no implica transferencia de derechos patrimoniales</w:t>
      </w:r>
      <w:r>
        <w:rPr>
          <w:rFonts w:ascii="Roboto" w:eastAsia="Roboto" w:hAnsi="Roboto" w:cs="Roboto"/>
          <w:sz w:val="20"/>
          <w:szCs w:val="20"/>
        </w:rPr>
        <w:t xml:space="preserve"> al organizador del congreso ni al sello editorial responsable de la publicación.</w:t>
      </w:r>
    </w:p>
    <w:p w14:paraId="00003482" w14:textId="77777777" w:rsidR="007179ED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3. Licencia de publicación</w:t>
      </w:r>
    </w:p>
    <w:p w14:paraId="22EAFCD3" w14:textId="77777777" w:rsidR="007179ED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conceden al </w:t>
      </w:r>
      <w:r>
        <w:rPr>
          <w:rFonts w:ascii="Roboto" w:eastAsia="Roboto" w:hAnsi="Roboto" w:cs="Roboto"/>
          <w:b/>
          <w:bCs/>
          <w:sz w:val="20"/>
          <w:szCs w:val="20"/>
        </w:rPr>
        <w:t>Sello Editorial de la Universidad Anáhuac Mayab</w:t>
      </w:r>
      <w:r>
        <w:rPr>
          <w:rFonts w:ascii="Roboto" w:eastAsia="Roboto" w:hAnsi="Roboto" w:cs="Roboto"/>
          <w:sz w:val="20"/>
          <w:szCs w:val="20"/>
        </w:rPr>
        <w:t xml:space="preserve">, en su carácter de responsable de la edición de las memorias del evento, una </w:t>
      </w:r>
      <w:r>
        <w:rPr>
          <w:rFonts w:ascii="Roboto" w:eastAsia="Roboto" w:hAnsi="Roboto" w:cs="Roboto"/>
          <w:b/>
          <w:bCs/>
          <w:sz w:val="20"/>
          <w:szCs w:val="20"/>
        </w:rPr>
        <w:t>licencia no exclusiva, gratuita y por tiempo indefinido</w:t>
      </w:r>
      <w:r>
        <w:rPr>
          <w:rFonts w:ascii="Roboto" w:eastAsia="Roboto" w:hAnsi="Roboto" w:cs="Roboto"/>
          <w:sz w:val="20"/>
          <w:szCs w:val="20"/>
        </w:rPr>
        <w:t xml:space="preserve"> para:</w:t>
      </w:r>
    </w:p>
    <w:p w14:paraId="2BF1FAD4" w14:textId="77777777" w:rsidR="007179ED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el resumen como parte de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RIU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7D3065E9" w14:textId="77777777" w:rsidR="007179ED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Realizar las adaptaciones editoriales necesarias para su </w:t>
      </w:r>
      <w:r>
        <w:rPr>
          <w:rFonts w:ascii="Roboto" w:eastAsia="Roboto" w:hAnsi="Roboto" w:cs="Roboto"/>
          <w:b/>
          <w:bCs/>
          <w:sz w:val="20"/>
          <w:szCs w:val="20"/>
        </w:rPr>
        <w:t>corrección de estilo, maquetación y edición</w:t>
      </w:r>
      <w:r>
        <w:rPr>
          <w:rFonts w:ascii="Roboto" w:eastAsia="Roboto" w:hAnsi="Roboto" w:cs="Roboto"/>
          <w:sz w:val="20"/>
          <w:szCs w:val="20"/>
        </w:rPr>
        <w:t xml:space="preserve"> dentro del volumen de memorias.</w:t>
      </w:r>
    </w:p>
    <w:p w14:paraId="44C2A61D" w14:textId="77777777" w:rsidR="007179ED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Reproducir, distribuir y comunicar públicamente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formatos impresos y digitales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7A6B73C8" w14:textId="77777777" w:rsidR="007179ED" w:rsidRDefault="00000000">
      <w:pPr>
        <w:numPr>
          <w:ilvl w:val="0"/>
          <w:numId w:val="1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Difundir la obra a través de </w:t>
      </w:r>
      <w:r>
        <w:rPr>
          <w:rFonts w:ascii="Roboto" w:eastAsia="Roboto" w:hAnsi="Roboto" w:cs="Roboto"/>
          <w:b/>
          <w:bCs/>
          <w:sz w:val="20"/>
          <w:szCs w:val="20"/>
        </w:rPr>
        <w:t>repositorios institucionales, bibliotecas digitales, plataformas académicas, bases de datos, sitios web institucionales y otros medios de difusión científica</w:t>
      </w:r>
      <w:r>
        <w:rPr>
          <w:rFonts w:ascii="Roboto" w:eastAsia="Roboto" w:hAnsi="Roboto" w:cs="Roboto"/>
          <w:sz w:val="20"/>
          <w:szCs w:val="20"/>
        </w:rPr>
        <w:t xml:space="preserve"> vinculados al congreso, a la Universidad Anáhuac Mayab o a la Red Internacional de Universidades Regnum Christi.</w:t>
      </w:r>
    </w:p>
    <w:p w14:paraId="0745CA47" w14:textId="77777777" w:rsidR="007179ED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4. Alcance de la autorización</w:t>
      </w:r>
    </w:p>
    <w:p w14:paraId="1B6DBA9F" w14:textId="77777777" w:rsidR="007179ED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La presente autorización se limita exclusivamente a la </w:t>
      </w:r>
      <w:r>
        <w:rPr>
          <w:rFonts w:ascii="Roboto" w:eastAsia="Roboto" w:hAnsi="Roboto" w:cs="Roboto"/>
          <w:b/>
          <w:bCs/>
          <w:sz w:val="20"/>
          <w:szCs w:val="20"/>
        </w:rPr>
        <w:t>publicación del resumen dentro de las memorias del congreso</w:t>
      </w:r>
      <w:r>
        <w:rPr>
          <w:rFonts w:ascii="Roboto" w:eastAsia="Roboto" w:hAnsi="Roboto" w:cs="Roboto"/>
          <w:sz w:val="20"/>
          <w:szCs w:val="20"/>
        </w:rPr>
        <w:t xml:space="preserve"> y no restringe el derecho de los autores a:</w:t>
      </w:r>
    </w:p>
    <w:p w14:paraId="5B9D1B69" w14:textId="77777777" w:rsidR="007179ED" w:rsidRDefault="00000000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versiones ampliadas del trabajo en </w:t>
      </w:r>
      <w:r>
        <w:rPr>
          <w:rFonts w:ascii="Roboto" w:eastAsia="Roboto" w:hAnsi="Roboto" w:cs="Roboto"/>
          <w:b/>
          <w:bCs/>
          <w:sz w:val="20"/>
          <w:szCs w:val="20"/>
        </w:rPr>
        <w:t>revistas científicas, libros u otros medios académicos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35316715" w14:textId="77777777" w:rsidR="007179ED" w:rsidRDefault="00000000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Utilizar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tesis, proyectos de investigación, reportes técnicos u otras publicaciones académicas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434C6599" w14:textId="77777777" w:rsidR="007179ED" w:rsidRDefault="00000000">
      <w:pPr>
        <w:numPr>
          <w:ilvl w:val="0"/>
          <w:numId w:val="2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Difundir su investigación en otros espacios científicos o de divulgación.</w:t>
      </w:r>
    </w:p>
    <w:p w14:paraId="64E277AB" w14:textId="77777777" w:rsidR="007179ED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5. Responsabilidad del contenido</w:t>
      </w:r>
    </w:p>
    <w:p w14:paraId="5F15DA33" w14:textId="77777777" w:rsidR="007179ED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asumen plena responsabilidad por el contenido del resumen, incluyendo la </w:t>
      </w:r>
      <w:r>
        <w:rPr>
          <w:rFonts w:ascii="Roboto" w:eastAsia="Roboto" w:hAnsi="Roboto" w:cs="Roboto"/>
          <w:b/>
          <w:bCs/>
          <w:sz w:val="20"/>
          <w:szCs w:val="20"/>
        </w:rPr>
        <w:t>veracidad de la información presentada, el cumplimiento de normas éticas de investigación y el respeto a derechos de terceros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6460B2C3" w14:textId="77777777" w:rsidR="007179ED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6. Aceptación de la declaración</w:t>
      </w:r>
    </w:p>
    <w:p w14:paraId="6CB6D3AE" w14:textId="77777777" w:rsidR="007179ED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El envío del resumen mediante el sistema o formato oficial del congreso </w:t>
      </w:r>
      <w:r>
        <w:rPr>
          <w:rFonts w:ascii="Roboto" w:eastAsia="Roboto" w:hAnsi="Roboto" w:cs="Roboto"/>
          <w:b/>
          <w:bCs/>
          <w:sz w:val="20"/>
          <w:szCs w:val="20"/>
        </w:rPr>
        <w:t>constituye evidencia de que todos los autores conocen y aceptan los términos de la presente declaración y autorización de publicación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3CE3A92E" w14:textId="77777777" w:rsidR="007179ED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(  Marque con X  )  Declaro que he leído y acepto los términos de esta declaración y autorización de publicación.</w:t>
      </w:r>
    </w:p>
    <w:p w14:paraId="04DE2401" w14:textId="77777777" w:rsidR="007179ED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lastRenderedPageBreak/>
        <w:t>Autor responsable:</w:t>
      </w:r>
      <w:r>
        <w:rPr>
          <w:rFonts w:ascii="Roboto" w:eastAsia="Roboto" w:hAnsi="Roboto" w:cs="Roboto"/>
          <w:b/>
          <w:bCs/>
          <w:sz w:val="20"/>
          <w:szCs w:val="20"/>
        </w:rPr>
        <w:br/>
      </w:r>
      <w:r>
        <w:rPr>
          <w:rFonts w:ascii="Roboto" w:eastAsia="Roboto" w:hAnsi="Roboto" w:cs="Roboto"/>
          <w:sz w:val="20"/>
          <w:szCs w:val="20"/>
        </w:rPr>
        <w:t xml:space="preserve"> </w:t>
      </w:r>
      <w:r>
        <w:rPr>
          <w:rFonts w:ascii="Roboto" w:eastAsia="Roboto" w:hAnsi="Roboto" w:cs="Roboto"/>
          <w:b/>
          <w:bCs/>
          <w:sz w:val="20"/>
          <w:szCs w:val="20"/>
        </w:rPr>
        <w:t>Institución:</w:t>
      </w:r>
      <w:r>
        <w:rPr>
          <w:rFonts w:ascii="Roboto" w:eastAsia="Roboto" w:hAnsi="Roboto" w:cs="Roboto"/>
          <w:b/>
          <w:bCs/>
          <w:sz w:val="20"/>
          <w:szCs w:val="20"/>
        </w:rPr>
        <w:br/>
      </w:r>
      <w:r>
        <w:rPr>
          <w:rFonts w:ascii="Roboto" w:eastAsia="Roboto" w:hAnsi="Roboto" w:cs="Roboto"/>
          <w:sz w:val="20"/>
          <w:szCs w:val="20"/>
        </w:rPr>
        <w:t xml:space="preserve"> </w:t>
      </w:r>
      <w:r>
        <w:rPr>
          <w:rFonts w:ascii="Roboto" w:eastAsia="Roboto" w:hAnsi="Roboto" w:cs="Roboto"/>
          <w:b/>
          <w:bCs/>
          <w:sz w:val="20"/>
          <w:szCs w:val="20"/>
        </w:rPr>
        <w:t>Título del trabajo con autores:</w:t>
      </w:r>
    </w:p>
    <w:sectPr w:rsidR="007179ED">
      <w:pgSz w:w="11906" w:h="16838"/>
      <w:pgMar w:top="1134" w:right="851" w:bottom="1134" w:left="851" w:header="357" w:footer="720" w:gutter="0"/>
      <w:cols w:space="720" w:equalWidth="0">
        <w:col w:w="10203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0B39F" w14:textId="77777777" w:rsidR="00AF2378" w:rsidRDefault="00AF2378">
      <w:r>
        <w:separator/>
      </w:r>
    </w:p>
  </w:endnote>
  <w:endnote w:type="continuationSeparator" w:id="0">
    <w:p w14:paraId="2C6EDCC2" w14:textId="77777777" w:rsidR="00AF2378" w:rsidRDefault="00AF2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6A60B7-D491-DF42-9B5B-FBD4146CA95A}"/>
    <w:embedBold r:id="rId2" w:fontKey="{DFF7022B-443C-E64E-9B07-8E6258E13A1C}"/>
    <w:embedItalic r:id="rId3" w:fontKey="{43BB6094-AA34-AC49-B250-A21EC52C5BB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58100392-54B2-A742-B0B5-93B8BAFED33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C74046C-AD9B-B541-BCAF-8BFFE14A330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A29EFB6-C23B-4A4F-969E-79E579D8B99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3D7E06F-3E84-7C47-86C3-65C4ED8232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1CC51761-5ADA-1640-AB72-A5BEAC8DDE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F9F8E52-0145-D046-807B-1699AF410D79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52496AB7-6DB4-8F44-A12C-0AD75E1D2599}"/>
    <w:embedBold r:id="rId11" w:fontKey="{53EEAF88-130B-654B-BEEF-07080291CB86}"/>
    <w:embedItalic r:id="rId12" w:fontKey="{664E3BE3-0CD6-7941-A3DD-649FDD96DA0D}"/>
    <w:embedBoldItalic r:id="rId13" w:fontKey="{6E0CDECF-52B7-6147-89A4-3592F7F53D5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17414575-824D-7C4F-88AB-647159205E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4BA89" w14:textId="77777777" w:rsidR="00AF2378" w:rsidRDefault="00AF2378">
      <w:r>
        <w:separator/>
      </w:r>
    </w:p>
  </w:footnote>
  <w:footnote w:type="continuationSeparator" w:id="0">
    <w:p w14:paraId="44F54282" w14:textId="77777777" w:rsidR="00AF2378" w:rsidRDefault="00AF23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E503A" w14:textId="77777777" w:rsidR="007179ED" w:rsidRDefault="007179E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tbl>
    <w:tblPr>
      <w:tblStyle w:val="a2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7179ED" w14:paraId="620718FE" w14:textId="77777777">
      <w:trPr>
        <w:trHeight w:val="345"/>
        <w:jc w:val="center"/>
      </w:trPr>
      <w:tc>
        <w:tcPr>
          <w:tcW w:w="6306" w:type="dxa"/>
          <w:vAlign w:val="center"/>
        </w:tcPr>
        <w:p w14:paraId="59D8822F" w14:textId="77777777" w:rsidR="007179ED" w:rsidRDefault="007179ED">
          <w:pPr>
            <w:jc w:val="center"/>
            <w:rPr>
              <w:i/>
              <w:iCs/>
              <w:sz w:val="18"/>
              <w:szCs w:val="18"/>
            </w:rPr>
          </w:pPr>
        </w:p>
      </w:tc>
    </w:tr>
  </w:tbl>
  <w:p w14:paraId="4556B2E5" w14:textId="77777777" w:rsidR="007179ED" w:rsidRDefault="007179E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482D34"/>
    <w:multiLevelType w:val="multilevel"/>
    <w:tmpl w:val="C34491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B6C2802"/>
    <w:multiLevelType w:val="multilevel"/>
    <w:tmpl w:val="2B5CF1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3431013"/>
    <w:multiLevelType w:val="hybridMultilevel"/>
    <w:tmpl w:val="175A607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81116421">
    <w:abstractNumId w:val="1"/>
  </w:num>
  <w:num w:numId="2" w16cid:durableId="1143086042">
    <w:abstractNumId w:val="0"/>
  </w:num>
  <w:num w:numId="3" w16cid:durableId="18170691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9ED"/>
    <w:rsid w:val="000D320C"/>
    <w:rsid w:val="002F697C"/>
    <w:rsid w:val="003768FF"/>
    <w:rsid w:val="006B09CE"/>
    <w:rsid w:val="00712DFA"/>
    <w:rsid w:val="007179ED"/>
    <w:rsid w:val="008225C4"/>
    <w:rsid w:val="008D500C"/>
    <w:rsid w:val="00A617D6"/>
    <w:rsid w:val="00AF2378"/>
    <w:rsid w:val="00C36399"/>
    <w:rsid w:val="00E61874"/>
    <w:rsid w:val="00E73BA4"/>
    <w:rsid w:val="00FA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4C607"/>
  <w15:docId w15:val="{A486AC54-6C4F-2846-ADF1-26F68D830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1">
    <w:name w:val="p1"/>
    <w:basedOn w:val="Normal"/>
    <w:rsid w:val="00C36399"/>
    <w:rPr>
      <w:rFonts w:ascii="Arial" w:hAnsi="Arial" w:cs="Arial"/>
      <w:color w:val="000000"/>
      <w:sz w:val="17"/>
      <w:szCs w:val="17"/>
    </w:rPr>
  </w:style>
  <w:style w:type="paragraph" w:customStyle="1" w:styleId="p2">
    <w:name w:val="p2"/>
    <w:basedOn w:val="Normal"/>
    <w:rsid w:val="00C36399"/>
    <w:rPr>
      <w:rFonts w:ascii="Arial" w:hAnsi="Arial" w:cs="Arial"/>
      <w:color w:val="103BC0"/>
      <w:sz w:val="17"/>
      <w:szCs w:val="17"/>
    </w:rPr>
  </w:style>
  <w:style w:type="character" w:customStyle="1" w:styleId="s1">
    <w:name w:val="s1"/>
    <w:basedOn w:val="Fuentedeprrafopredeter"/>
    <w:rsid w:val="00C36399"/>
    <w:rPr>
      <w:rFonts w:ascii="Arial" w:hAnsi="Arial" w:cs="Arial" w:hint="default"/>
      <w:sz w:val="11"/>
      <w:szCs w:val="11"/>
    </w:rPr>
  </w:style>
  <w:style w:type="character" w:customStyle="1" w:styleId="s2">
    <w:name w:val="s2"/>
    <w:basedOn w:val="Fuentedeprrafopredeter"/>
    <w:rsid w:val="00C36399"/>
    <w:rPr>
      <w:color w:val="000000"/>
    </w:rPr>
  </w:style>
  <w:style w:type="paragraph" w:styleId="Prrafodelista">
    <w:name w:val="List Paragraph"/>
    <w:basedOn w:val="Normal"/>
    <w:uiPriority w:val="34"/>
    <w:qFormat/>
    <w:rsid w:val="008D50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6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oi.org/10.4067/S0718-3429201500020000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1477</Words>
  <Characters>8125</Characters>
  <Application>Microsoft Office Word</Application>
  <DocSecurity>0</DocSecurity>
  <Lines>67</Lines>
  <Paragraphs>19</Paragraphs>
  <ScaleCrop>false</ScaleCrop>
  <Company/>
  <LinksUpToDate>false</LinksUpToDate>
  <CharactersWithSpaces>9583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Berenice González Leija</dc:creator>
  <cp:lastModifiedBy>Isabel García Cámara</cp:lastModifiedBy>
  <cp:revision>7</cp:revision>
  <dcterms:created xsi:type="dcterms:W3CDTF">2026-03-19T22:43:00Z</dcterms:created>
  <dcterms:modified xsi:type="dcterms:W3CDTF">2026-03-31T15:55:00Z</dcterms:modified>
</cp:coreProperties>
</file>