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1235E7B" w14:textId="77777777" w:rsidR="004C284A" w:rsidRDefault="00000000">
      <w:pPr>
        <w:pBdr>
          <w:top w:val="nil"/>
          <w:left w:val="nil"/>
          <w:bottom w:val="nil"/>
          <w:right w:val="nil"/>
          <w:between w:val="nil"/>
        </w:pBdr>
        <w:spacing w:before="120" w:after="120"/>
        <w:jc w:val="center"/>
        <w:rPr>
          <w:rFonts w:ascii="Roboto" w:eastAsia="Roboto" w:hAnsi="Roboto" w:cs="Roboto"/>
          <w:b/>
          <w:bCs/>
          <w:color w:val="000000"/>
        </w:rPr>
      </w:pPr>
      <w:r>
        <w:rPr>
          <w:rFonts w:ascii="Roboto" w:eastAsia="Roboto" w:hAnsi="Roboto" w:cs="Roboto"/>
          <w:b/>
          <w:bCs/>
        </w:rPr>
        <w:t xml:space="preserve">Soberanía del sujeto y </w:t>
      </w:r>
      <w:proofErr w:type="spellStart"/>
      <w:r>
        <w:rPr>
          <w:rFonts w:ascii="Roboto" w:eastAsia="Roboto" w:hAnsi="Roboto" w:cs="Roboto"/>
          <w:b/>
          <w:bCs/>
        </w:rPr>
        <w:t>co-creación</w:t>
      </w:r>
      <w:proofErr w:type="spellEnd"/>
      <w:r>
        <w:rPr>
          <w:rFonts w:ascii="Roboto" w:eastAsia="Roboto" w:hAnsi="Roboto" w:cs="Roboto"/>
          <w:b/>
          <w:bCs/>
        </w:rPr>
        <w:t xml:space="preserve"> del bienestar: Una </w:t>
      </w:r>
      <w:proofErr w:type="spellStart"/>
      <w:r>
        <w:rPr>
          <w:rFonts w:ascii="Roboto" w:eastAsia="Roboto" w:hAnsi="Roboto" w:cs="Roboto"/>
          <w:b/>
          <w:bCs/>
        </w:rPr>
        <w:t>autoetnografía</w:t>
      </w:r>
      <w:proofErr w:type="spellEnd"/>
      <w:r>
        <w:rPr>
          <w:rFonts w:ascii="Roboto" w:eastAsia="Roboto" w:hAnsi="Roboto" w:cs="Roboto"/>
          <w:b/>
          <w:bCs/>
        </w:rPr>
        <w:t xml:space="preserve"> sobre la asociación humano-IA en la gestión de la salud</w:t>
      </w:r>
    </w:p>
    <w:p w14:paraId="24EC88E6" w14:textId="77777777" w:rsidR="004C284A" w:rsidRDefault="00000000">
      <w:pPr>
        <w:pBdr>
          <w:top w:val="nil"/>
          <w:left w:val="nil"/>
          <w:bottom w:val="nil"/>
          <w:right w:val="nil"/>
          <w:between w:val="nil"/>
        </w:pBdr>
        <w:spacing w:before="120" w:after="120"/>
        <w:jc w:val="center"/>
        <w:rPr>
          <w:rFonts w:ascii="Roboto" w:eastAsia="Roboto" w:hAnsi="Roboto" w:cs="Roboto"/>
          <w:b/>
          <w:bCs/>
          <w:color w:val="000000"/>
          <w:sz w:val="20"/>
          <w:szCs w:val="20"/>
        </w:rPr>
      </w:pPr>
      <w:r>
        <w:rPr>
          <w:rFonts w:ascii="Roboto" w:eastAsia="Roboto" w:hAnsi="Roboto" w:cs="Roboto"/>
          <w:b/>
          <w:bCs/>
          <w:sz w:val="20"/>
          <w:szCs w:val="20"/>
        </w:rPr>
        <w:t>Koonce D.S.</w:t>
      </w:r>
      <w:r>
        <w:rPr>
          <w:rFonts w:ascii="Roboto" w:eastAsia="Roboto" w:hAnsi="Roboto" w:cs="Roboto"/>
          <w:b/>
          <w:bCs/>
          <w:color w:val="000000"/>
          <w:sz w:val="20"/>
          <w:szCs w:val="20"/>
          <w:vertAlign w:val="superscript"/>
        </w:rPr>
        <w:t>1</w:t>
      </w:r>
    </w:p>
    <w:p w14:paraId="214CAED5" w14:textId="77777777" w:rsidR="004C284A" w:rsidRDefault="00000000">
      <w:pPr>
        <w:pBdr>
          <w:top w:val="nil"/>
          <w:left w:val="nil"/>
          <w:bottom w:val="nil"/>
          <w:right w:val="nil"/>
          <w:between w:val="nil"/>
        </w:pBdr>
        <w:jc w:val="center"/>
        <w:rPr>
          <w:rFonts w:ascii="Roboto" w:eastAsia="Roboto" w:hAnsi="Roboto" w:cs="Roboto"/>
          <w:color w:val="000000"/>
          <w:sz w:val="18"/>
          <w:szCs w:val="18"/>
          <w:vertAlign w:val="superscript"/>
        </w:rPr>
      </w:pPr>
      <w:r>
        <w:rPr>
          <w:rFonts w:ascii="Roboto" w:eastAsia="Roboto" w:hAnsi="Roboto" w:cs="Roboto"/>
          <w:color w:val="000000"/>
          <w:sz w:val="18"/>
          <w:szCs w:val="18"/>
          <w:vertAlign w:val="superscript"/>
        </w:rPr>
        <w:t>1</w:t>
      </w:r>
      <w:r>
        <w:rPr>
          <w:rFonts w:ascii="Roboto" w:eastAsia="Roboto" w:hAnsi="Roboto" w:cs="Roboto"/>
          <w:sz w:val="18"/>
          <w:szCs w:val="18"/>
        </w:rPr>
        <w:t xml:space="preserve">APRA (Ateneo Pontificio Regina </w:t>
      </w:r>
      <w:proofErr w:type="spellStart"/>
      <w:r>
        <w:rPr>
          <w:rFonts w:ascii="Roboto" w:eastAsia="Roboto" w:hAnsi="Roboto" w:cs="Roboto"/>
          <w:sz w:val="18"/>
          <w:szCs w:val="18"/>
        </w:rPr>
        <w:t>Apostolorum</w:t>
      </w:r>
      <w:proofErr w:type="spellEnd"/>
      <w:r>
        <w:rPr>
          <w:rFonts w:ascii="Roboto" w:eastAsia="Roboto" w:hAnsi="Roboto" w:cs="Roboto"/>
          <w:sz w:val="18"/>
          <w:szCs w:val="18"/>
        </w:rPr>
        <w:t>, Roma),</w:t>
      </w:r>
      <w:r>
        <w:rPr>
          <w:rFonts w:ascii="Roboto" w:eastAsia="Roboto" w:hAnsi="Roboto" w:cs="Roboto"/>
          <w:color w:val="000000"/>
          <w:sz w:val="18"/>
          <w:szCs w:val="18"/>
        </w:rPr>
        <w:t xml:space="preserve"> </w:t>
      </w:r>
      <w:proofErr w:type="gramStart"/>
      <w:r>
        <w:rPr>
          <w:rFonts w:ascii="Roboto" w:eastAsia="Roboto" w:hAnsi="Roboto" w:cs="Roboto"/>
          <w:color w:val="000000"/>
          <w:sz w:val="18"/>
          <w:szCs w:val="18"/>
        </w:rPr>
        <w:t xml:space="preserve">ORCID </w:t>
      </w:r>
      <w:r>
        <w:rPr>
          <w:rFonts w:ascii="Roboto" w:eastAsia="Roboto" w:hAnsi="Roboto" w:cs="Roboto"/>
          <w:b/>
          <w:bCs/>
          <w:sz w:val="18"/>
          <w:szCs w:val="18"/>
        </w:rPr>
        <w:t>:</w:t>
      </w:r>
      <w:proofErr w:type="gramEnd"/>
      <w:r>
        <w:rPr>
          <w:rFonts w:ascii="Roboto" w:eastAsia="Roboto" w:hAnsi="Roboto" w:cs="Roboto"/>
          <w:sz w:val="18"/>
          <w:szCs w:val="18"/>
        </w:rPr>
        <w:t xml:space="preserve"> 0000-0002-9480-3706</w:t>
      </w:r>
    </w:p>
    <w:p w14:paraId="15DBDB9A" w14:textId="77777777" w:rsidR="004C284A" w:rsidRDefault="00000000">
      <w:pPr>
        <w:jc w:val="center"/>
        <w:rPr>
          <w:rFonts w:ascii="Roboto" w:eastAsia="Roboto" w:hAnsi="Roboto" w:cs="Roboto"/>
          <w:sz w:val="18"/>
          <w:szCs w:val="18"/>
        </w:rPr>
      </w:pPr>
      <w:r>
        <w:rPr>
          <w:rFonts w:ascii="Roboto" w:eastAsia="Roboto" w:hAnsi="Roboto" w:cs="Roboto"/>
          <w:sz w:val="18"/>
          <w:szCs w:val="18"/>
        </w:rPr>
        <w:t>*Autor de correspondencia: David S. Koonce (e-mail:</w:t>
      </w:r>
      <w:r>
        <w:rPr>
          <w:rFonts w:ascii="Roboto" w:eastAsia="Roboto" w:hAnsi="Roboto" w:cs="Roboto"/>
          <w:sz w:val="18"/>
          <w:szCs w:val="18"/>
          <w:highlight w:val="white"/>
        </w:rPr>
        <w:t xml:space="preserve"> </w:t>
      </w:r>
      <w:r>
        <w:rPr>
          <w:rFonts w:ascii="Roboto" w:eastAsia="Roboto" w:hAnsi="Roboto" w:cs="Roboto"/>
          <w:sz w:val="18"/>
          <w:szCs w:val="18"/>
        </w:rPr>
        <w:t>david.koonce@upra.org)</w:t>
      </w:r>
    </w:p>
    <w:p w14:paraId="2E845B98" w14:textId="77777777" w:rsidR="004C284A" w:rsidRDefault="00000000">
      <w:pPr>
        <w:spacing w:before="60"/>
        <w:jc w:val="center"/>
        <w:rPr>
          <w:rFonts w:ascii="Roboto" w:eastAsia="Roboto" w:hAnsi="Roboto" w:cs="Roboto"/>
          <w:sz w:val="18"/>
          <w:szCs w:val="18"/>
        </w:rPr>
        <w:sectPr w:rsidR="004C284A">
          <w:headerReference w:type="default" r:id="rId7"/>
          <w:footerReference w:type="default" r:id="rId8"/>
          <w:pgSz w:w="11906" w:h="16838"/>
          <w:pgMar w:top="851" w:right="851" w:bottom="828" w:left="851" w:header="357" w:footer="720" w:gutter="0"/>
          <w:pgNumType w:start="1"/>
          <w:cols w:space="720"/>
        </w:sectPr>
      </w:pPr>
      <w:r>
        <w:pict w14:anchorId="05183D91">
          <v:rect id="_x0000_i1025" style="width:0;height:1.5pt" o:hralign="center" o:hrstd="t" o:hr="t" fillcolor="#a0a0a0" stroked="f"/>
        </w:pict>
      </w:r>
    </w:p>
    <w:p w14:paraId="26BA95FC" w14:textId="77777777" w:rsidR="004C284A" w:rsidRDefault="00000000">
      <w:pPr>
        <w:keepNext/>
        <w:jc w:val="both"/>
        <w:rPr>
          <w:rFonts w:ascii="Roboto" w:eastAsia="Roboto" w:hAnsi="Roboto" w:cs="Roboto"/>
          <w:sz w:val="20"/>
          <w:szCs w:val="20"/>
        </w:rPr>
      </w:pPr>
      <w:r>
        <w:rPr>
          <w:rFonts w:ascii="Roboto" w:eastAsia="Roboto" w:hAnsi="Roboto" w:cs="Roboto"/>
          <w:b/>
          <w:bCs/>
          <w:sz w:val="20"/>
          <w:szCs w:val="20"/>
        </w:rPr>
        <w:t>RESUMEN</w:t>
      </w:r>
      <w:r>
        <w:rPr>
          <w:rFonts w:ascii="Roboto" w:eastAsia="Roboto" w:hAnsi="Roboto" w:cs="Roboto"/>
          <w:sz w:val="20"/>
          <w:szCs w:val="20"/>
        </w:rPr>
        <w:t>:</w:t>
      </w:r>
    </w:p>
    <w:p w14:paraId="5F18AE20" w14:textId="77777777" w:rsidR="004C284A" w:rsidRDefault="00000000">
      <w:pPr>
        <w:keepNext/>
        <w:jc w:val="both"/>
        <w:rPr>
          <w:rFonts w:ascii="Roboto" w:eastAsia="Roboto" w:hAnsi="Roboto" w:cs="Roboto"/>
          <w:sz w:val="20"/>
          <w:szCs w:val="20"/>
        </w:rPr>
      </w:pPr>
      <w:r>
        <w:rPr>
          <w:rFonts w:ascii="Roboto" w:eastAsia="Roboto" w:hAnsi="Roboto" w:cs="Roboto"/>
          <w:sz w:val="20"/>
          <w:szCs w:val="20"/>
        </w:rPr>
        <w:t xml:space="preserve">Este estudio </w:t>
      </w:r>
      <w:proofErr w:type="spellStart"/>
      <w:r>
        <w:rPr>
          <w:rFonts w:ascii="Roboto" w:eastAsia="Roboto" w:hAnsi="Roboto" w:cs="Roboto"/>
          <w:sz w:val="20"/>
          <w:szCs w:val="20"/>
        </w:rPr>
        <w:t>autoetnográfico</w:t>
      </w:r>
      <w:proofErr w:type="spellEnd"/>
      <w:r>
        <w:rPr>
          <w:rFonts w:ascii="Roboto" w:eastAsia="Roboto" w:hAnsi="Roboto" w:cs="Roboto"/>
          <w:sz w:val="20"/>
          <w:szCs w:val="20"/>
        </w:rPr>
        <w:t xml:space="preserve"> analiza la </w:t>
      </w:r>
      <w:proofErr w:type="spellStart"/>
      <w:r>
        <w:rPr>
          <w:rFonts w:ascii="Roboto" w:eastAsia="Roboto" w:hAnsi="Roboto" w:cs="Roboto"/>
          <w:sz w:val="20"/>
          <w:szCs w:val="20"/>
        </w:rPr>
        <w:t>co-creación</w:t>
      </w:r>
      <w:proofErr w:type="spellEnd"/>
      <w:r>
        <w:rPr>
          <w:rFonts w:ascii="Roboto" w:eastAsia="Roboto" w:hAnsi="Roboto" w:cs="Roboto"/>
          <w:sz w:val="20"/>
          <w:szCs w:val="20"/>
        </w:rPr>
        <w:t xml:space="preserve"> de un ecosistema de salud integral mediante la interacción dialógica entre un sujeto en ejercicio de discernimiento responsable y un modelo de lenguaje de gran escala (LLM), específicamente Gemini di </w:t>
      </w:r>
      <w:proofErr w:type="gramStart"/>
      <w:r>
        <w:rPr>
          <w:rFonts w:ascii="Roboto" w:eastAsia="Roboto" w:hAnsi="Roboto" w:cs="Roboto"/>
          <w:sz w:val="20"/>
          <w:szCs w:val="20"/>
        </w:rPr>
        <w:t>Google..</w:t>
      </w:r>
      <w:proofErr w:type="gramEnd"/>
      <w:r>
        <w:rPr>
          <w:rFonts w:ascii="Roboto" w:eastAsia="Roboto" w:hAnsi="Roboto" w:cs="Roboto"/>
          <w:sz w:val="20"/>
          <w:szCs w:val="20"/>
        </w:rPr>
        <w:t xml:space="preserve"> Centrándose en los primeros 56 días de un plan anual, la investigación explora cómo la formación humanística y teológica del autor proporciona las herramientas necesarias para una "agencia reflexiva" que trasciende la mera obediencia médica. Los resultados destacan una dinámica de corresponsabilidad dialógica, donde la IA aporta una vigilancia técnica de condiciones crónicas (Miastenia Gravis y psoriasis) que complementa y, en ocasiones, corrige la propiocepción del sujeto. Se concluye que la flexibilidad operativa y la corrección mutua de errores son pilares de una asociación humano-IA que protege la soberanía del individuo frente al paternalismo algorítmico y clínico.</w:t>
      </w:r>
    </w:p>
    <w:p w14:paraId="50DCE9B3" w14:textId="77777777" w:rsidR="004C284A" w:rsidRDefault="004C284A">
      <w:pPr>
        <w:keepNext/>
        <w:jc w:val="both"/>
        <w:rPr>
          <w:rFonts w:ascii="Roboto" w:eastAsia="Roboto" w:hAnsi="Roboto" w:cs="Roboto"/>
          <w:sz w:val="20"/>
          <w:szCs w:val="20"/>
        </w:rPr>
      </w:pPr>
    </w:p>
    <w:p w14:paraId="45FE5D55" w14:textId="77777777" w:rsidR="004C284A" w:rsidRDefault="00000000">
      <w:pPr>
        <w:keepNext/>
        <w:jc w:val="both"/>
        <w:rPr>
          <w:rFonts w:ascii="Roboto" w:eastAsia="Roboto" w:hAnsi="Roboto" w:cs="Roboto"/>
          <w:b/>
          <w:bCs/>
          <w:sz w:val="20"/>
          <w:szCs w:val="20"/>
        </w:rPr>
      </w:pPr>
      <w:r>
        <w:rPr>
          <w:rFonts w:ascii="Roboto" w:eastAsia="Roboto" w:hAnsi="Roboto" w:cs="Roboto"/>
          <w:b/>
          <w:bCs/>
          <w:sz w:val="20"/>
          <w:szCs w:val="20"/>
        </w:rPr>
        <w:t>1. INTRODUCCIÓN</w:t>
      </w:r>
    </w:p>
    <w:p w14:paraId="4A4F4F88" w14:textId="77777777" w:rsidR="004C284A" w:rsidRDefault="00000000">
      <w:pPr>
        <w:keepNext/>
        <w:jc w:val="both"/>
        <w:rPr>
          <w:rFonts w:ascii="Roboto" w:eastAsia="Roboto" w:hAnsi="Roboto" w:cs="Roboto"/>
          <w:sz w:val="20"/>
          <w:szCs w:val="20"/>
        </w:rPr>
      </w:pPr>
      <w:r>
        <w:rPr>
          <w:rFonts w:ascii="Roboto" w:eastAsia="Roboto" w:hAnsi="Roboto" w:cs="Roboto"/>
          <w:sz w:val="20"/>
          <w:szCs w:val="20"/>
        </w:rPr>
        <w:t>Frente a la tendencia de ver al paciente como un receptor pasivo (</w:t>
      </w:r>
      <w:proofErr w:type="spellStart"/>
      <w:r>
        <w:rPr>
          <w:rFonts w:ascii="Roboto" w:eastAsia="Roboto" w:hAnsi="Roboto" w:cs="Roboto"/>
          <w:i/>
          <w:iCs/>
          <w:sz w:val="20"/>
          <w:szCs w:val="20"/>
        </w:rPr>
        <w:t>patiens</w:t>
      </w:r>
      <w:proofErr w:type="spellEnd"/>
      <w:r>
        <w:rPr>
          <w:rFonts w:ascii="Roboto" w:eastAsia="Roboto" w:hAnsi="Roboto" w:cs="Roboto"/>
          <w:i/>
          <w:iCs/>
          <w:sz w:val="20"/>
          <w:szCs w:val="20"/>
        </w:rPr>
        <w:t xml:space="preserve">: </w:t>
      </w:r>
      <w:r>
        <w:rPr>
          <w:rFonts w:ascii="Roboto" w:eastAsia="Roboto" w:hAnsi="Roboto" w:cs="Roboto"/>
          <w:sz w:val="20"/>
          <w:szCs w:val="20"/>
        </w:rPr>
        <w:t xml:space="preserve">quien padece o recibe), este trabajo propone el paradigma de la </w:t>
      </w:r>
      <w:proofErr w:type="spellStart"/>
      <w:r>
        <w:rPr>
          <w:rFonts w:ascii="Roboto" w:eastAsia="Roboto" w:hAnsi="Roboto" w:cs="Roboto"/>
          <w:sz w:val="20"/>
          <w:szCs w:val="20"/>
        </w:rPr>
        <w:t>co-creación</w:t>
      </w:r>
      <w:proofErr w:type="spellEnd"/>
      <w:r>
        <w:rPr>
          <w:rFonts w:ascii="Roboto" w:eastAsia="Roboto" w:hAnsi="Roboto" w:cs="Roboto"/>
          <w:sz w:val="20"/>
          <w:szCs w:val="20"/>
        </w:rPr>
        <w:t xml:space="preserve"> dialógica de un programa de salud integral. La literatura actual sobre la IA y la medicina tiende a enfocarse en los riesgos de los presupuestos de la </w:t>
      </w:r>
      <w:proofErr w:type="spellStart"/>
      <w:r>
        <w:rPr>
          <w:rFonts w:ascii="Roboto" w:eastAsia="Roboto" w:hAnsi="Roboto" w:cs="Roboto"/>
          <w:sz w:val="20"/>
          <w:szCs w:val="20"/>
        </w:rPr>
        <w:t>algorética</w:t>
      </w:r>
      <w:proofErr w:type="spellEnd"/>
      <w:r>
        <w:rPr>
          <w:rFonts w:ascii="Roboto" w:eastAsia="Roboto" w:hAnsi="Roboto" w:cs="Roboto"/>
          <w:sz w:val="20"/>
          <w:szCs w:val="20"/>
        </w:rPr>
        <w:t>, o en el uso diagnóstico de la IA de parte de los médicos, pero deja un "vacío de agencia" con respecto al paciente como sujeto responsable de su propia salud. Este estudio busca demostrar que el uso de la IA, lejos de automatizar la vida, puede potenciar la soberanía personal cuando el sujeto utiliza el discernimiento responsable para negociar medios y fines en su proyecto de salud.</w:t>
      </w:r>
    </w:p>
    <w:p w14:paraId="5FAB0373" w14:textId="77777777" w:rsidR="004C284A" w:rsidRDefault="004C284A">
      <w:pPr>
        <w:keepNext/>
        <w:jc w:val="both"/>
        <w:rPr>
          <w:rFonts w:ascii="Roboto" w:eastAsia="Roboto" w:hAnsi="Roboto" w:cs="Roboto"/>
          <w:sz w:val="20"/>
          <w:szCs w:val="20"/>
        </w:rPr>
      </w:pPr>
    </w:p>
    <w:p w14:paraId="3EB033F6" w14:textId="77777777" w:rsidR="004C284A" w:rsidRDefault="00000000">
      <w:pPr>
        <w:keepNext/>
        <w:jc w:val="both"/>
        <w:rPr>
          <w:rFonts w:ascii="Roboto" w:eastAsia="Roboto" w:hAnsi="Roboto" w:cs="Roboto"/>
          <w:b/>
          <w:bCs/>
          <w:sz w:val="20"/>
          <w:szCs w:val="20"/>
        </w:rPr>
      </w:pPr>
      <w:r>
        <w:rPr>
          <w:rFonts w:ascii="Roboto" w:eastAsia="Roboto" w:hAnsi="Roboto" w:cs="Roboto"/>
          <w:b/>
          <w:bCs/>
          <w:sz w:val="20"/>
          <w:szCs w:val="20"/>
        </w:rPr>
        <w:t>2. METODOLOGÍA</w:t>
      </w:r>
    </w:p>
    <w:p w14:paraId="08C62E66" w14:textId="77777777" w:rsidR="004C284A" w:rsidRDefault="00000000">
      <w:pPr>
        <w:keepNext/>
        <w:jc w:val="both"/>
        <w:rPr>
          <w:rFonts w:ascii="Roboto" w:eastAsia="Roboto" w:hAnsi="Roboto" w:cs="Roboto"/>
          <w:sz w:val="20"/>
          <w:szCs w:val="20"/>
        </w:rPr>
      </w:pPr>
      <w:r>
        <w:rPr>
          <w:rFonts w:ascii="Roboto" w:eastAsia="Roboto" w:hAnsi="Roboto" w:cs="Roboto"/>
          <w:sz w:val="20"/>
          <w:szCs w:val="20"/>
        </w:rPr>
        <w:t xml:space="preserve">Se utiliza una metodología de </w:t>
      </w:r>
      <w:proofErr w:type="spellStart"/>
      <w:r>
        <w:rPr>
          <w:rFonts w:ascii="Roboto" w:eastAsia="Roboto" w:hAnsi="Roboto" w:cs="Roboto"/>
          <w:sz w:val="20"/>
          <w:szCs w:val="20"/>
        </w:rPr>
        <w:t>autoetnografía</w:t>
      </w:r>
      <w:proofErr w:type="spellEnd"/>
      <w:r>
        <w:rPr>
          <w:rFonts w:ascii="Roboto" w:eastAsia="Roboto" w:hAnsi="Roboto" w:cs="Roboto"/>
          <w:sz w:val="20"/>
          <w:szCs w:val="20"/>
        </w:rPr>
        <w:t xml:space="preserve"> digital para documentar el primer bloque (9 de febrero - 4 de abril de 2026) de un plan comprensivo de salud y entrenamiento. El investigador analiza el uso de la IA en la planificación, implementación y actualización de un programa personalizado de salud integral que comprende biometría, nutrición, y ejercicio físico. La recolección de datos consistió en el registro íntegro de las interacciones con el modelo Gemini de Google (versión gratuita) durante el periodo comprendido entre el 9 de febrero y el 4 de abril de 2026 y la comparación de las diversas versiones del plan (de. v. 1.0 a la v. 2.2.) El análisis se centra en identificar los cambios que resultan del diálogo entre sujeto humano y el entrenador virtual del LLM. Estos cambios reflejan un sistema </w:t>
      </w:r>
      <w:r>
        <w:rPr>
          <w:rFonts w:ascii="Roboto" w:eastAsia="Roboto" w:hAnsi="Roboto" w:cs="Roboto"/>
          <w:sz w:val="20"/>
          <w:szCs w:val="20"/>
        </w:rPr>
        <w:t xml:space="preserve">dinámico que conserva estabilidad en los parámetros de salud integral mientras adapta los medios y las tácticas diarias para alcanzar los objetivos de salud integral ordenados jerárquicamente (bienestar físico, resultados estéticos, prestación atlética). </w:t>
      </w:r>
    </w:p>
    <w:p w14:paraId="35EEC437" w14:textId="77777777" w:rsidR="004C284A" w:rsidRDefault="004C284A">
      <w:pPr>
        <w:keepNext/>
        <w:jc w:val="both"/>
        <w:rPr>
          <w:rFonts w:ascii="Roboto" w:eastAsia="Roboto" w:hAnsi="Roboto" w:cs="Roboto"/>
          <w:sz w:val="20"/>
          <w:szCs w:val="20"/>
        </w:rPr>
      </w:pPr>
    </w:p>
    <w:p w14:paraId="23EA3E8F" w14:textId="77777777" w:rsidR="004C284A" w:rsidRDefault="00000000">
      <w:pPr>
        <w:keepNext/>
        <w:jc w:val="both"/>
        <w:rPr>
          <w:rFonts w:ascii="Roboto" w:eastAsia="Roboto" w:hAnsi="Roboto" w:cs="Roboto"/>
          <w:b/>
          <w:bCs/>
          <w:sz w:val="20"/>
          <w:szCs w:val="20"/>
        </w:rPr>
      </w:pPr>
      <w:r>
        <w:rPr>
          <w:rFonts w:ascii="Roboto" w:eastAsia="Roboto" w:hAnsi="Roboto" w:cs="Roboto"/>
          <w:b/>
          <w:bCs/>
          <w:sz w:val="20"/>
          <w:szCs w:val="20"/>
        </w:rPr>
        <w:t>3. DESARROLLO Y RESULTADOS</w:t>
      </w:r>
    </w:p>
    <w:p w14:paraId="6C6EBFD9" w14:textId="77777777" w:rsidR="004C284A" w:rsidRDefault="004C284A">
      <w:pPr>
        <w:keepNext/>
        <w:jc w:val="both"/>
        <w:rPr>
          <w:rFonts w:ascii="Roboto" w:eastAsia="Roboto" w:hAnsi="Roboto" w:cs="Roboto"/>
          <w:b/>
          <w:bCs/>
          <w:sz w:val="20"/>
          <w:szCs w:val="20"/>
        </w:rPr>
      </w:pPr>
    </w:p>
    <w:p w14:paraId="6FC2E81B" w14:textId="77777777" w:rsidR="004C284A" w:rsidRDefault="00000000">
      <w:pPr>
        <w:keepNext/>
        <w:jc w:val="both"/>
        <w:rPr>
          <w:rFonts w:ascii="Roboto" w:eastAsia="Roboto" w:hAnsi="Roboto" w:cs="Roboto"/>
          <w:b/>
          <w:bCs/>
          <w:sz w:val="20"/>
          <w:szCs w:val="20"/>
        </w:rPr>
      </w:pPr>
      <w:r>
        <w:rPr>
          <w:rFonts w:ascii="Roboto" w:eastAsia="Roboto" w:hAnsi="Roboto" w:cs="Roboto"/>
          <w:b/>
          <w:bCs/>
          <w:sz w:val="20"/>
          <w:szCs w:val="20"/>
        </w:rPr>
        <w:t>3.1. FLEXIBILIDAD DE MEDIOS Y ESTABILIDAD DE FINES:</w:t>
      </w:r>
    </w:p>
    <w:p w14:paraId="234F52D0" w14:textId="77777777" w:rsidR="004C284A" w:rsidRDefault="00000000">
      <w:pPr>
        <w:keepNext/>
        <w:jc w:val="both"/>
        <w:rPr>
          <w:rFonts w:ascii="Roboto" w:eastAsia="Roboto" w:hAnsi="Roboto" w:cs="Roboto"/>
          <w:sz w:val="20"/>
          <w:szCs w:val="20"/>
        </w:rPr>
      </w:pPr>
      <w:r>
        <w:rPr>
          <w:rFonts w:ascii="Roboto" w:eastAsia="Roboto" w:hAnsi="Roboto" w:cs="Roboto"/>
          <w:sz w:val="20"/>
          <w:szCs w:val="20"/>
        </w:rPr>
        <w:t xml:space="preserve">El proceso documenta que la aplicación indiscriminada de un plan rígido es enemiga de la salud, sobre todo en presencia de condiciones crónicas. El diálogo constante con la IA ha permitido no solo el desarrollo de un plan integral de salud y bienestar físico, sino también su adaptación según las circunstancias y los resultados. </w:t>
      </w:r>
    </w:p>
    <w:p w14:paraId="3528CAE8" w14:textId="77777777" w:rsidR="004C284A" w:rsidRDefault="00000000">
      <w:pPr>
        <w:keepNext/>
        <w:jc w:val="both"/>
        <w:rPr>
          <w:rFonts w:ascii="Roboto" w:eastAsia="Roboto" w:hAnsi="Roboto" w:cs="Roboto"/>
          <w:sz w:val="20"/>
          <w:szCs w:val="20"/>
        </w:rPr>
      </w:pPr>
      <w:r>
        <w:rPr>
          <w:rFonts w:ascii="Roboto" w:eastAsia="Roboto" w:hAnsi="Roboto" w:cs="Roboto"/>
          <w:sz w:val="20"/>
          <w:szCs w:val="20"/>
        </w:rPr>
        <w:t xml:space="preserve">La flexibilidad operativa se manifestó con mayor claridad en la gestión de la fatiga neural. Mientras que el diseño original de la IA (Versión 1.0) sugería progresiones lineales estándar, la interacción dialógica permitió pivotar hacia metas intermedias para reforzar las bases neuromusculares (Versión 2.1). Un hito significativo fue la sustitución de las dominadas asistidas por remos invertidos en momentos de baja respuesta neuromuscular, una decisión </w:t>
      </w:r>
      <w:proofErr w:type="spellStart"/>
      <w:r>
        <w:rPr>
          <w:rFonts w:ascii="Roboto" w:eastAsia="Roboto" w:hAnsi="Roboto" w:cs="Roboto"/>
          <w:sz w:val="20"/>
          <w:szCs w:val="20"/>
        </w:rPr>
        <w:t>co-creada</w:t>
      </w:r>
      <w:proofErr w:type="spellEnd"/>
      <w:r>
        <w:rPr>
          <w:rFonts w:ascii="Roboto" w:eastAsia="Roboto" w:hAnsi="Roboto" w:cs="Roboto"/>
          <w:sz w:val="20"/>
          <w:szCs w:val="20"/>
        </w:rPr>
        <w:t xml:space="preserve"> para mantener la integridad del manguito rotador y evitar el agotamiento neural sistémico. Este ajuste dinámico de los medios para proteger fines estables (recomposición corporal y salud articular) evidencia que la asociación humano-IA es capaz de producir una medicina de precisión basada en la biografía y no solo en la estadística</w:t>
      </w:r>
    </w:p>
    <w:p w14:paraId="78FCFBD9" w14:textId="77777777" w:rsidR="004C284A" w:rsidRDefault="004C284A">
      <w:pPr>
        <w:keepNext/>
        <w:jc w:val="both"/>
        <w:rPr>
          <w:rFonts w:ascii="Roboto" w:eastAsia="Roboto" w:hAnsi="Roboto" w:cs="Roboto"/>
          <w:sz w:val="20"/>
          <w:szCs w:val="20"/>
        </w:rPr>
      </w:pPr>
    </w:p>
    <w:p w14:paraId="1C569E4F" w14:textId="77777777" w:rsidR="004C284A" w:rsidRDefault="004C284A">
      <w:pPr>
        <w:keepNext/>
        <w:jc w:val="both"/>
        <w:rPr>
          <w:rFonts w:ascii="Roboto" w:eastAsia="Roboto" w:hAnsi="Roboto" w:cs="Roboto"/>
          <w:sz w:val="20"/>
          <w:szCs w:val="20"/>
        </w:rPr>
      </w:pPr>
    </w:p>
    <w:p w14:paraId="4203F485" w14:textId="77777777" w:rsidR="004C284A" w:rsidRDefault="00000000">
      <w:pPr>
        <w:keepNext/>
        <w:jc w:val="both"/>
        <w:rPr>
          <w:rFonts w:ascii="Roboto" w:eastAsia="Roboto" w:hAnsi="Roboto" w:cs="Roboto"/>
          <w:b/>
          <w:bCs/>
          <w:sz w:val="20"/>
          <w:szCs w:val="20"/>
        </w:rPr>
      </w:pPr>
      <w:r>
        <w:rPr>
          <w:rFonts w:ascii="Roboto" w:eastAsia="Roboto" w:hAnsi="Roboto" w:cs="Roboto"/>
          <w:b/>
          <w:bCs/>
          <w:sz w:val="20"/>
          <w:szCs w:val="20"/>
        </w:rPr>
        <w:t>3.2. VIGILANCIA COMPARTIDA Y CORRECCIÓN MUTUA:</w:t>
      </w:r>
    </w:p>
    <w:p w14:paraId="2CC87885" w14:textId="77777777" w:rsidR="004C284A" w:rsidRDefault="00000000">
      <w:pPr>
        <w:keepNext/>
        <w:jc w:val="both"/>
        <w:rPr>
          <w:rFonts w:ascii="Roboto" w:eastAsia="Roboto" w:hAnsi="Roboto" w:cs="Roboto"/>
          <w:sz w:val="20"/>
          <w:szCs w:val="20"/>
        </w:rPr>
      </w:pPr>
      <w:r>
        <w:rPr>
          <w:rFonts w:ascii="Roboto" w:eastAsia="Roboto" w:hAnsi="Roboto" w:cs="Roboto"/>
          <w:sz w:val="20"/>
          <w:szCs w:val="20"/>
        </w:rPr>
        <w:t xml:space="preserve">Un hallazgo central de la investigación es la capacidad de la IA para actuar como un 'vigilante de la fragilidad' que compensa la tendencia del sujeto a la </w:t>
      </w:r>
      <w:proofErr w:type="spellStart"/>
      <w:r>
        <w:rPr>
          <w:rFonts w:ascii="Roboto" w:eastAsia="Roboto" w:hAnsi="Roboto" w:cs="Roboto"/>
          <w:sz w:val="20"/>
          <w:szCs w:val="20"/>
        </w:rPr>
        <w:t>sobreexigencia</w:t>
      </w:r>
      <w:proofErr w:type="spellEnd"/>
      <w:r>
        <w:rPr>
          <w:rFonts w:ascii="Roboto" w:eastAsia="Roboto" w:hAnsi="Roboto" w:cs="Roboto"/>
          <w:sz w:val="20"/>
          <w:szCs w:val="20"/>
        </w:rPr>
        <w:t xml:space="preserve">. En el contexto de un tratamiento con 17.5 mg de prednisona, el modelo Gemini mantuvo una atención constante sobre los efectos secundarios sistémicos y las implicaciones de la psoriasis en la recuperación dérmica y articular. Esta 'atención compartida' crea un entorno de seguridad donde la IA actúa como un freno prudencial, recordando al sujeto las limitaciones de la patología que el sujeto, en su afán de rendimiento, tiende a minimizar. La asociación humano-IA se </w:t>
      </w:r>
      <w:proofErr w:type="gramStart"/>
      <w:r>
        <w:rPr>
          <w:rFonts w:ascii="Roboto" w:eastAsia="Roboto" w:hAnsi="Roboto" w:cs="Roboto"/>
          <w:sz w:val="20"/>
          <w:szCs w:val="20"/>
        </w:rPr>
        <w:t>revela</w:t>
      </w:r>
      <w:proofErr w:type="gramEnd"/>
      <w:r>
        <w:rPr>
          <w:rFonts w:ascii="Roboto" w:eastAsia="Roboto" w:hAnsi="Roboto" w:cs="Roboto"/>
          <w:sz w:val="20"/>
          <w:szCs w:val="20"/>
        </w:rPr>
        <w:t xml:space="preserve"> así como una herramienta de 'cuidado relacional', donde la máquina aporta una memoria técnica infalible sobre la cronicidad, mientras el humano aporta la validación sensorial de esos datos, </w:t>
      </w:r>
      <w:r>
        <w:rPr>
          <w:rFonts w:ascii="Roboto" w:eastAsia="Roboto" w:hAnsi="Roboto" w:cs="Roboto"/>
          <w:sz w:val="20"/>
          <w:szCs w:val="20"/>
        </w:rPr>
        <w:lastRenderedPageBreak/>
        <w:t>cerrando la brecha entre el diagnóstico clínico y la vida cotidiana.</w:t>
      </w:r>
    </w:p>
    <w:p w14:paraId="21C456DE" w14:textId="77777777" w:rsidR="004C284A" w:rsidRDefault="00000000">
      <w:pPr>
        <w:keepNext/>
        <w:jc w:val="both"/>
        <w:rPr>
          <w:rFonts w:ascii="Roboto" w:eastAsia="Roboto" w:hAnsi="Roboto" w:cs="Roboto"/>
          <w:sz w:val="20"/>
          <w:szCs w:val="20"/>
        </w:rPr>
      </w:pPr>
      <w:r>
        <w:rPr>
          <w:rFonts w:ascii="Roboto" w:eastAsia="Roboto" w:hAnsi="Roboto" w:cs="Roboto"/>
          <w:sz w:val="20"/>
          <w:szCs w:val="20"/>
        </w:rPr>
        <w:t>Inversamente, el sujeto corrigió "alucinaciones" o errores de juicio de la IA en la programación de cargas. Esta asociación simbiótica permitió que la IA actuara como un "freno de seguridad" y el humano como el "validador ético" del proceso. A modo de ejemplo, cuando la pérdida de peso del participante superó las previsiones durante las tres primeras semanas del programa, este entabló un diálogo con la IA para reajustar el rumbo y reevaluar sus necesidades nutricionales con vistas a un proyecto sostenible de recomposición corporal. También en este caso, el participante asumió la responsabilidad de los resultados y los medios, mientras que la IA proporcionó nuevos parámetros, directrices y recursos para alcanzar los objetivos de salud a largo plazo.</w:t>
      </w:r>
    </w:p>
    <w:p w14:paraId="0445403E" w14:textId="77777777" w:rsidR="004C284A" w:rsidRDefault="004C284A">
      <w:pPr>
        <w:keepNext/>
        <w:jc w:val="both"/>
        <w:rPr>
          <w:rFonts w:ascii="Roboto" w:eastAsia="Roboto" w:hAnsi="Roboto" w:cs="Roboto"/>
          <w:sz w:val="20"/>
          <w:szCs w:val="20"/>
        </w:rPr>
      </w:pPr>
    </w:p>
    <w:p w14:paraId="6FBE49D6" w14:textId="77777777" w:rsidR="004C284A" w:rsidRDefault="00000000">
      <w:pPr>
        <w:keepNext/>
        <w:jc w:val="both"/>
        <w:rPr>
          <w:rFonts w:ascii="Roboto" w:eastAsia="Roboto" w:hAnsi="Roboto" w:cs="Roboto"/>
          <w:b/>
          <w:bCs/>
          <w:sz w:val="20"/>
          <w:szCs w:val="20"/>
        </w:rPr>
      </w:pPr>
      <w:r>
        <w:rPr>
          <w:rFonts w:ascii="Roboto" w:eastAsia="Roboto" w:hAnsi="Roboto" w:cs="Roboto"/>
          <w:b/>
          <w:bCs/>
          <w:sz w:val="20"/>
          <w:szCs w:val="20"/>
        </w:rPr>
        <w:t>4. DISCUSIÓN</w:t>
      </w:r>
    </w:p>
    <w:p w14:paraId="7223833C" w14:textId="77777777" w:rsidR="004C284A" w:rsidRDefault="00000000">
      <w:pPr>
        <w:keepNext/>
        <w:jc w:val="both"/>
        <w:rPr>
          <w:rFonts w:ascii="Roboto" w:eastAsia="Roboto" w:hAnsi="Roboto" w:cs="Roboto"/>
          <w:sz w:val="20"/>
          <w:szCs w:val="20"/>
        </w:rPr>
      </w:pPr>
      <w:r>
        <w:rPr>
          <w:rFonts w:ascii="Roboto" w:eastAsia="Roboto" w:hAnsi="Roboto" w:cs="Roboto"/>
          <w:sz w:val="20"/>
          <w:szCs w:val="20"/>
        </w:rPr>
        <w:t>La soberanía del sujeto no se ejerce en el aislamiento, sino en la capacidad de establecer una asociación con la técnica sin perder el juicio propio. La "vulnerabilidad relacional" se transforma en una fortaleza cuando el diálogo con la IA permite al sujeto asimilar las complicaciones asociadas con su tratamiento (prednisona) y adaptar su entrenamiento de forma consciente. El discernimiento responsable actúa aquí como el puente entre los datos biométricos y la vivencia personal.</w:t>
      </w:r>
    </w:p>
    <w:p w14:paraId="576E9599" w14:textId="77777777" w:rsidR="004C284A" w:rsidRDefault="00000000">
      <w:pPr>
        <w:keepNext/>
        <w:jc w:val="both"/>
        <w:rPr>
          <w:rFonts w:ascii="Roboto" w:eastAsia="Roboto" w:hAnsi="Roboto" w:cs="Roboto"/>
          <w:sz w:val="20"/>
          <w:szCs w:val="20"/>
        </w:rPr>
      </w:pPr>
      <w:r>
        <w:rPr>
          <w:rFonts w:ascii="Roboto" w:eastAsia="Roboto" w:hAnsi="Roboto" w:cs="Roboto"/>
          <w:sz w:val="20"/>
          <w:szCs w:val="20"/>
        </w:rPr>
        <w:t>El ejercicio de la soberanía en este estudio no se fundamenta en una competencia técnica médica, sino en el discernimiento responsable como hábito de la razón práctica (</w:t>
      </w:r>
      <w:proofErr w:type="spellStart"/>
      <w:r>
        <w:rPr>
          <w:rFonts w:ascii="Roboto" w:eastAsia="Roboto" w:hAnsi="Roboto" w:cs="Roboto"/>
          <w:i/>
          <w:iCs/>
          <w:sz w:val="20"/>
          <w:szCs w:val="20"/>
        </w:rPr>
        <w:t>phronesis</w:t>
      </w:r>
      <w:proofErr w:type="spellEnd"/>
      <w:r>
        <w:rPr>
          <w:rFonts w:ascii="Roboto" w:eastAsia="Roboto" w:hAnsi="Roboto" w:cs="Roboto"/>
          <w:sz w:val="20"/>
          <w:szCs w:val="20"/>
        </w:rPr>
        <w:t>). Frente a la opacidad epistémica común en los sistemas de IA, el sujeto utiliza su sentido crítico, forjado en el estudio filosófico-teológico, para someter las recomendaciones algorítmicas a un juicio de proporcionalidad. Por ejemplo, ante la recomendación de la IA de incrementar el volumen de tracción, el sujeto interviene evaluando el riesgo de una crisis miasténica latente, priorizando la estabilidad estructural sobre el rendimiento estético. Esta 'agencia calificada' demuestra que la mediación entre la tecnología y la salud requiere una antropología que reconozca la vulnerabilidad no como una falla del sistema, sino como un dato constitutivo que exige una respuesta ética personalizada, algo que el modelo Gemini procesa de manera adecuada cuando es guiado por un interlocutor con capacidad de discernimiento.</w:t>
      </w:r>
    </w:p>
    <w:p w14:paraId="486DF1B6" w14:textId="77777777" w:rsidR="004C284A" w:rsidRDefault="004C284A">
      <w:pPr>
        <w:keepNext/>
        <w:jc w:val="both"/>
        <w:rPr>
          <w:rFonts w:ascii="Roboto" w:eastAsia="Roboto" w:hAnsi="Roboto" w:cs="Roboto"/>
          <w:sz w:val="20"/>
          <w:szCs w:val="20"/>
        </w:rPr>
      </w:pPr>
    </w:p>
    <w:p w14:paraId="3CDEB8DF" w14:textId="77777777" w:rsidR="004C284A" w:rsidRDefault="00000000">
      <w:pPr>
        <w:keepNext/>
        <w:jc w:val="both"/>
        <w:rPr>
          <w:rFonts w:ascii="Roboto" w:eastAsia="Roboto" w:hAnsi="Roboto" w:cs="Roboto"/>
          <w:b/>
          <w:bCs/>
          <w:sz w:val="20"/>
          <w:szCs w:val="20"/>
        </w:rPr>
      </w:pPr>
      <w:r>
        <w:rPr>
          <w:rFonts w:ascii="Roboto" w:eastAsia="Roboto" w:hAnsi="Roboto" w:cs="Roboto"/>
          <w:b/>
          <w:bCs/>
          <w:sz w:val="20"/>
          <w:szCs w:val="20"/>
        </w:rPr>
        <w:t>5. CONCLUSIONES</w:t>
      </w:r>
    </w:p>
    <w:p w14:paraId="4767101D" w14:textId="77777777" w:rsidR="004C284A" w:rsidRDefault="00000000">
      <w:pPr>
        <w:keepNext/>
        <w:jc w:val="both"/>
        <w:rPr>
          <w:rFonts w:ascii="Roboto" w:eastAsia="Roboto" w:hAnsi="Roboto" w:cs="Roboto"/>
          <w:sz w:val="20"/>
          <w:szCs w:val="20"/>
        </w:rPr>
      </w:pPr>
      <w:r>
        <w:rPr>
          <w:rFonts w:ascii="Roboto" w:eastAsia="Roboto" w:hAnsi="Roboto" w:cs="Roboto"/>
          <w:sz w:val="20"/>
          <w:szCs w:val="20"/>
        </w:rPr>
        <w:t xml:space="preserve">Este estudio (N-of-1) muestra que, entre la medicina paternalista y la IA como sistema autónomo de diagnóstico, existe un modelo alternativo de salud integral centrado en el sujeto responsable de su propio bienestar físico, que se sirve de la IA como compañero digital en la gestión de la salud. Los 56 </w:t>
      </w:r>
      <w:proofErr w:type="gramStart"/>
      <w:r>
        <w:rPr>
          <w:rFonts w:ascii="Roboto" w:eastAsia="Roboto" w:hAnsi="Roboto" w:cs="Roboto"/>
          <w:sz w:val="20"/>
          <w:szCs w:val="20"/>
        </w:rPr>
        <w:t>días  de</w:t>
      </w:r>
      <w:proofErr w:type="gramEnd"/>
      <w:r>
        <w:rPr>
          <w:rFonts w:ascii="Roboto" w:eastAsia="Roboto" w:hAnsi="Roboto" w:cs="Roboto"/>
          <w:sz w:val="20"/>
          <w:szCs w:val="20"/>
        </w:rPr>
        <w:t xml:space="preserve"> programación, implementación, y adaptación analizados en este estudio validan que una formación humanística sólida ofrece herramientas eficaces para </w:t>
      </w:r>
      <w:r>
        <w:rPr>
          <w:rFonts w:ascii="Roboto" w:eastAsia="Roboto" w:hAnsi="Roboto" w:cs="Roboto"/>
          <w:sz w:val="20"/>
          <w:szCs w:val="20"/>
        </w:rPr>
        <w:t>gestionar la tecnología con sentido crítico. El sujeto formado en prudencia y responsabilidad puede encontrar en la IA una aliada en la búsqueda de la excelencia física y en el cuidado de condiciones crónicas.</w:t>
      </w:r>
    </w:p>
    <w:p w14:paraId="57E1FEDA" w14:textId="77777777" w:rsidR="004C284A" w:rsidRDefault="004C284A">
      <w:pPr>
        <w:jc w:val="both"/>
        <w:rPr>
          <w:rFonts w:ascii="Roboto" w:eastAsia="Roboto" w:hAnsi="Roboto" w:cs="Roboto"/>
          <w:sz w:val="20"/>
          <w:szCs w:val="20"/>
        </w:rPr>
      </w:pPr>
    </w:p>
    <w:p w14:paraId="13FAD4A1" w14:textId="77777777" w:rsidR="004C284A" w:rsidRPr="00297111" w:rsidRDefault="00000000">
      <w:pPr>
        <w:jc w:val="both"/>
        <w:rPr>
          <w:rFonts w:ascii="Roboto" w:eastAsia="Roboto" w:hAnsi="Roboto" w:cs="Roboto"/>
          <w:b/>
          <w:bCs/>
          <w:sz w:val="20"/>
          <w:szCs w:val="20"/>
          <w:lang w:val="en-GB"/>
        </w:rPr>
      </w:pPr>
      <w:r w:rsidRPr="00297111">
        <w:rPr>
          <w:rFonts w:ascii="Roboto" w:eastAsia="Roboto" w:hAnsi="Roboto" w:cs="Roboto"/>
          <w:b/>
          <w:bCs/>
          <w:sz w:val="20"/>
          <w:szCs w:val="20"/>
          <w:lang w:val="en-GB"/>
        </w:rPr>
        <w:t>REFERENCIAS</w:t>
      </w:r>
    </w:p>
    <w:p w14:paraId="18BBD964" w14:textId="77777777" w:rsidR="004C284A" w:rsidRPr="00297111" w:rsidRDefault="00000000">
      <w:pPr>
        <w:jc w:val="both"/>
        <w:rPr>
          <w:rFonts w:ascii="Roboto" w:eastAsia="Roboto" w:hAnsi="Roboto" w:cs="Roboto"/>
          <w:sz w:val="20"/>
          <w:szCs w:val="20"/>
          <w:lang w:val="en-GB"/>
        </w:rPr>
      </w:pPr>
      <w:r w:rsidRPr="00297111">
        <w:rPr>
          <w:rFonts w:ascii="Roboto" w:eastAsia="Roboto" w:hAnsi="Roboto" w:cs="Roboto"/>
          <w:sz w:val="20"/>
          <w:szCs w:val="20"/>
          <w:lang w:val="en-GB"/>
        </w:rPr>
        <w:t xml:space="preserve">Bochner, A. P. (2017). Heart of the Matter: A Mini-Manifesto for Autoethnography. International Review of Qualitative Research, 10(1), 67–80. </w:t>
      </w:r>
    </w:p>
    <w:p w14:paraId="798F8DF1" w14:textId="77777777" w:rsidR="004C284A" w:rsidRPr="00297111" w:rsidRDefault="00000000">
      <w:pPr>
        <w:jc w:val="both"/>
        <w:rPr>
          <w:rFonts w:ascii="Roboto" w:eastAsia="Roboto" w:hAnsi="Roboto" w:cs="Roboto"/>
          <w:sz w:val="20"/>
          <w:szCs w:val="20"/>
          <w:lang w:val="en-GB"/>
        </w:rPr>
      </w:pPr>
      <w:r w:rsidRPr="00297111">
        <w:rPr>
          <w:rFonts w:ascii="Roboto" w:eastAsia="Roboto" w:hAnsi="Roboto" w:cs="Roboto"/>
          <w:sz w:val="20"/>
          <w:szCs w:val="20"/>
          <w:lang w:val="en-GB"/>
        </w:rPr>
        <w:t xml:space="preserve">Ellis, C., Adams, T. E., &amp; Bochner, A. P. (2011). Autoethnography: An Overview. </w:t>
      </w:r>
      <w:r w:rsidRPr="00297111">
        <w:rPr>
          <w:rFonts w:ascii="Roboto" w:eastAsia="Roboto" w:hAnsi="Roboto" w:cs="Roboto"/>
          <w:i/>
          <w:iCs/>
          <w:sz w:val="20"/>
          <w:szCs w:val="20"/>
          <w:lang w:val="en-GB"/>
        </w:rPr>
        <w:t xml:space="preserve">Historical Social Research / </w:t>
      </w:r>
      <w:proofErr w:type="spellStart"/>
      <w:r w:rsidRPr="00297111">
        <w:rPr>
          <w:rFonts w:ascii="Roboto" w:eastAsia="Roboto" w:hAnsi="Roboto" w:cs="Roboto"/>
          <w:i/>
          <w:iCs/>
          <w:sz w:val="20"/>
          <w:szCs w:val="20"/>
          <w:lang w:val="en-GB"/>
        </w:rPr>
        <w:t>Historische</w:t>
      </w:r>
      <w:proofErr w:type="spellEnd"/>
      <w:r w:rsidRPr="00297111">
        <w:rPr>
          <w:rFonts w:ascii="Roboto" w:eastAsia="Roboto" w:hAnsi="Roboto" w:cs="Roboto"/>
          <w:i/>
          <w:iCs/>
          <w:sz w:val="20"/>
          <w:szCs w:val="20"/>
          <w:lang w:val="en-GB"/>
        </w:rPr>
        <w:t xml:space="preserve"> </w:t>
      </w:r>
      <w:proofErr w:type="spellStart"/>
      <w:r w:rsidRPr="00297111">
        <w:rPr>
          <w:rFonts w:ascii="Roboto" w:eastAsia="Roboto" w:hAnsi="Roboto" w:cs="Roboto"/>
          <w:i/>
          <w:iCs/>
          <w:sz w:val="20"/>
          <w:szCs w:val="20"/>
          <w:lang w:val="en-GB"/>
        </w:rPr>
        <w:t>Sozialforschung</w:t>
      </w:r>
      <w:proofErr w:type="spellEnd"/>
      <w:r w:rsidRPr="00297111">
        <w:rPr>
          <w:rFonts w:ascii="Roboto" w:eastAsia="Roboto" w:hAnsi="Roboto" w:cs="Roboto"/>
          <w:sz w:val="20"/>
          <w:szCs w:val="20"/>
          <w:lang w:val="en-GB"/>
        </w:rPr>
        <w:t xml:space="preserve">, </w:t>
      </w:r>
      <w:r w:rsidRPr="00297111">
        <w:rPr>
          <w:rFonts w:ascii="Roboto" w:eastAsia="Roboto" w:hAnsi="Roboto" w:cs="Roboto"/>
          <w:i/>
          <w:iCs/>
          <w:sz w:val="20"/>
          <w:szCs w:val="20"/>
          <w:lang w:val="en-GB"/>
        </w:rPr>
        <w:t>36</w:t>
      </w:r>
      <w:r w:rsidRPr="00297111">
        <w:rPr>
          <w:rFonts w:ascii="Roboto" w:eastAsia="Roboto" w:hAnsi="Roboto" w:cs="Roboto"/>
          <w:sz w:val="20"/>
          <w:szCs w:val="20"/>
          <w:lang w:val="en-GB"/>
        </w:rPr>
        <w:t xml:space="preserve"> (4 (138)), 273–290. </w:t>
      </w:r>
    </w:p>
    <w:p w14:paraId="134554BC" w14:textId="77777777" w:rsidR="004C284A" w:rsidRPr="00297111" w:rsidRDefault="00000000">
      <w:pPr>
        <w:jc w:val="both"/>
        <w:rPr>
          <w:rFonts w:ascii="Roboto" w:eastAsia="Roboto" w:hAnsi="Roboto" w:cs="Roboto"/>
          <w:sz w:val="20"/>
          <w:szCs w:val="20"/>
          <w:lang w:val="en-GB"/>
        </w:rPr>
      </w:pPr>
      <w:r w:rsidRPr="00297111">
        <w:rPr>
          <w:rFonts w:ascii="Roboto" w:eastAsia="Roboto" w:hAnsi="Roboto" w:cs="Roboto"/>
          <w:sz w:val="20"/>
          <w:szCs w:val="20"/>
          <w:lang w:val="en-GB"/>
        </w:rPr>
        <w:t>Ethics and Governance of Artificial Intelligence for Health: WHO Guidance. Executive Summary (1st ed). (2021). World Health Organization.</w:t>
      </w:r>
    </w:p>
    <w:p w14:paraId="65D05F46" w14:textId="77777777" w:rsidR="004C284A" w:rsidRPr="00297111" w:rsidRDefault="00000000">
      <w:pPr>
        <w:jc w:val="both"/>
        <w:rPr>
          <w:rFonts w:ascii="Roboto" w:eastAsia="Roboto" w:hAnsi="Roboto" w:cs="Roboto"/>
          <w:sz w:val="20"/>
          <w:szCs w:val="20"/>
          <w:lang w:val="en-GB"/>
        </w:rPr>
      </w:pPr>
      <w:proofErr w:type="spellStart"/>
      <w:r w:rsidRPr="00297111">
        <w:rPr>
          <w:rFonts w:ascii="Roboto" w:eastAsia="Roboto" w:hAnsi="Roboto" w:cs="Roboto"/>
          <w:sz w:val="20"/>
          <w:szCs w:val="20"/>
          <w:lang w:val="en-GB"/>
        </w:rPr>
        <w:t>Floridi</w:t>
      </w:r>
      <w:proofErr w:type="spellEnd"/>
      <w:r w:rsidRPr="00297111">
        <w:rPr>
          <w:rFonts w:ascii="Roboto" w:eastAsia="Roboto" w:hAnsi="Roboto" w:cs="Roboto"/>
          <w:sz w:val="20"/>
          <w:szCs w:val="20"/>
          <w:lang w:val="en-GB"/>
        </w:rPr>
        <w:t xml:space="preserve">, L. (2008). Artificial Intelligence’s New Frontier: Artificial Companions and the Fourth Revolution. </w:t>
      </w:r>
      <w:proofErr w:type="spellStart"/>
      <w:r w:rsidRPr="00297111">
        <w:rPr>
          <w:rFonts w:ascii="Roboto" w:eastAsia="Roboto" w:hAnsi="Roboto" w:cs="Roboto"/>
          <w:sz w:val="20"/>
          <w:szCs w:val="20"/>
          <w:lang w:val="en-GB"/>
        </w:rPr>
        <w:t>Metaphilosophy</w:t>
      </w:r>
      <w:proofErr w:type="spellEnd"/>
      <w:r w:rsidRPr="00297111">
        <w:rPr>
          <w:rFonts w:ascii="Roboto" w:eastAsia="Roboto" w:hAnsi="Roboto" w:cs="Roboto"/>
          <w:sz w:val="20"/>
          <w:szCs w:val="20"/>
          <w:lang w:val="en-GB"/>
        </w:rPr>
        <w:t>, 39(4/5), 651–655.</w:t>
      </w:r>
    </w:p>
    <w:p w14:paraId="05E3FC5D" w14:textId="77777777" w:rsidR="004C284A" w:rsidRPr="00297111" w:rsidRDefault="00000000">
      <w:pPr>
        <w:jc w:val="both"/>
        <w:rPr>
          <w:rFonts w:ascii="Roboto" w:eastAsia="Roboto" w:hAnsi="Roboto" w:cs="Roboto"/>
          <w:sz w:val="20"/>
          <w:szCs w:val="20"/>
          <w:lang w:val="en-GB"/>
        </w:rPr>
      </w:pPr>
      <w:r w:rsidRPr="00297111">
        <w:rPr>
          <w:rFonts w:ascii="Roboto" w:eastAsia="Roboto" w:hAnsi="Roboto" w:cs="Roboto"/>
          <w:sz w:val="20"/>
          <w:szCs w:val="20"/>
          <w:lang w:val="en-GB"/>
        </w:rPr>
        <w:t xml:space="preserve">International Theological Commission. (2026, </w:t>
      </w:r>
      <w:proofErr w:type="spellStart"/>
      <w:r w:rsidRPr="00297111">
        <w:rPr>
          <w:rFonts w:ascii="Roboto" w:eastAsia="Roboto" w:hAnsi="Roboto" w:cs="Roboto"/>
          <w:sz w:val="20"/>
          <w:szCs w:val="20"/>
          <w:lang w:val="en-GB"/>
        </w:rPr>
        <w:t>marzo</w:t>
      </w:r>
      <w:proofErr w:type="spellEnd"/>
      <w:r w:rsidRPr="00297111">
        <w:rPr>
          <w:rFonts w:ascii="Roboto" w:eastAsia="Roboto" w:hAnsi="Roboto" w:cs="Roboto"/>
          <w:sz w:val="20"/>
          <w:szCs w:val="20"/>
          <w:lang w:val="en-GB"/>
        </w:rPr>
        <w:t xml:space="preserve"> 4). Quo Vadis, Humanitas? Thinking Through Christian Anthropology in the Face of Certain Scenarios for the Future of Humanity. https://www.vatican.va/roman_ curia/congregations/cfaith/cti_documents/rc_cti_doc_20260304_quo-vadis-humanits_en.html</w:t>
      </w:r>
    </w:p>
    <w:p w14:paraId="16553FE6" w14:textId="77777777" w:rsidR="004C284A" w:rsidRPr="00297111" w:rsidRDefault="00000000">
      <w:pPr>
        <w:jc w:val="both"/>
        <w:rPr>
          <w:rFonts w:ascii="Roboto" w:eastAsia="Roboto" w:hAnsi="Roboto" w:cs="Roboto"/>
          <w:sz w:val="20"/>
          <w:szCs w:val="20"/>
          <w:lang w:val="en-GB"/>
        </w:rPr>
      </w:pPr>
      <w:r w:rsidRPr="00297111">
        <w:rPr>
          <w:rFonts w:ascii="Roboto" w:eastAsia="Roboto" w:hAnsi="Roboto" w:cs="Roboto"/>
          <w:sz w:val="20"/>
          <w:szCs w:val="20"/>
          <w:lang w:val="en-GB"/>
        </w:rPr>
        <w:t xml:space="preserve">Jiang, J., &amp; Cameron, A.-F. (2020). IT-Enabled Self-Monitoring for Chronic Disease Self-Management: An Interdisciplinary Review. MIS Quarterly, 44(1), 451–508. </w:t>
      </w:r>
    </w:p>
    <w:p w14:paraId="5F81124D" w14:textId="77777777" w:rsidR="004C284A" w:rsidRPr="00297111" w:rsidRDefault="00000000">
      <w:pPr>
        <w:jc w:val="both"/>
        <w:rPr>
          <w:rFonts w:ascii="Roboto" w:eastAsia="Roboto" w:hAnsi="Roboto" w:cs="Roboto"/>
          <w:sz w:val="20"/>
          <w:szCs w:val="20"/>
          <w:lang w:val="en-GB"/>
        </w:rPr>
      </w:pPr>
      <w:proofErr w:type="spellStart"/>
      <w:r w:rsidRPr="00297111">
        <w:rPr>
          <w:rFonts w:ascii="Roboto" w:eastAsia="Roboto" w:hAnsi="Roboto" w:cs="Roboto"/>
          <w:sz w:val="20"/>
          <w:szCs w:val="20"/>
          <w:lang w:val="en-GB"/>
        </w:rPr>
        <w:t>Kerasidou</w:t>
      </w:r>
      <w:proofErr w:type="spellEnd"/>
      <w:r w:rsidRPr="00297111">
        <w:rPr>
          <w:rFonts w:ascii="Roboto" w:eastAsia="Roboto" w:hAnsi="Roboto" w:cs="Roboto"/>
          <w:sz w:val="20"/>
          <w:szCs w:val="20"/>
          <w:lang w:val="en-GB"/>
        </w:rPr>
        <w:t>, C. (</w:t>
      </w:r>
      <w:proofErr w:type="spellStart"/>
      <w:r w:rsidRPr="00297111">
        <w:rPr>
          <w:rFonts w:ascii="Roboto" w:eastAsia="Roboto" w:hAnsi="Roboto" w:cs="Roboto"/>
          <w:sz w:val="20"/>
          <w:szCs w:val="20"/>
          <w:lang w:val="en-GB"/>
        </w:rPr>
        <w:t>Xaroula</w:t>
      </w:r>
      <w:proofErr w:type="spellEnd"/>
      <w:r w:rsidRPr="00297111">
        <w:rPr>
          <w:rFonts w:ascii="Roboto" w:eastAsia="Roboto" w:hAnsi="Roboto" w:cs="Roboto"/>
          <w:sz w:val="20"/>
          <w:szCs w:val="20"/>
          <w:lang w:val="en-GB"/>
        </w:rPr>
        <w:t xml:space="preserve">), </w:t>
      </w:r>
      <w:proofErr w:type="spellStart"/>
      <w:r w:rsidRPr="00297111">
        <w:rPr>
          <w:rFonts w:ascii="Roboto" w:eastAsia="Roboto" w:hAnsi="Roboto" w:cs="Roboto"/>
          <w:sz w:val="20"/>
          <w:szCs w:val="20"/>
          <w:lang w:val="en-GB"/>
        </w:rPr>
        <w:t>Kerasidou</w:t>
      </w:r>
      <w:proofErr w:type="spellEnd"/>
      <w:r w:rsidRPr="00297111">
        <w:rPr>
          <w:rFonts w:ascii="Roboto" w:eastAsia="Roboto" w:hAnsi="Roboto" w:cs="Roboto"/>
          <w:sz w:val="20"/>
          <w:szCs w:val="20"/>
          <w:lang w:val="en-GB"/>
        </w:rPr>
        <w:t xml:space="preserve">, A., Buscher, M., &amp; Wilkinson, S. (2022). Before and beyond trust: Reliance in medical AI. Journal of Medical Ethics, 48(11), 852–856. </w:t>
      </w:r>
    </w:p>
    <w:p w14:paraId="75A7F334" w14:textId="77777777" w:rsidR="004C284A" w:rsidRPr="00297111" w:rsidRDefault="00000000">
      <w:pPr>
        <w:jc w:val="both"/>
        <w:rPr>
          <w:rFonts w:ascii="Roboto" w:eastAsia="Roboto" w:hAnsi="Roboto" w:cs="Roboto"/>
          <w:sz w:val="20"/>
          <w:szCs w:val="20"/>
          <w:lang w:val="en-GB"/>
        </w:rPr>
      </w:pPr>
      <w:r w:rsidRPr="00297111">
        <w:rPr>
          <w:rFonts w:ascii="Roboto" w:eastAsia="Roboto" w:hAnsi="Roboto" w:cs="Roboto"/>
          <w:sz w:val="20"/>
          <w:szCs w:val="20"/>
          <w:lang w:val="en-GB"/>
        </w:rPr>
        <w:t xml:space="preserve">McDougall, R. J. (2019a). Computer knows </w:t>
      </w:r>
      <w:proofErr w:type="gramStart"/>
      <w:r w:rsidRPr="00297111">
        <w:rPr>
          <w:rFonts w:ascii="Roboto" w:eastAsia="Roboto" w:hAnsi="Roboto" w:cs="Roboto"/>
          <w:sz w:val="20"/>
          <w:szCs w:val="20"/>
          <w:lang w:val="en-GB"/>
        </w:rPr>
        <w:t>best?</w:t>
      </w:r>
      <w:proofErr w:type="gramEnd"/>
      <w:r w:rsidRPr="00297111">
        <w:rPr>
          <w:rFonts w:ascii="Roboto" w:eastAsia="Roboto" w:hAnsi="Roboto" w:cs="Roboto"/>
          <w:sz w:val="20"/>
          <w:szCs w:val="20"/>
          <w:lang w:val="en-GB"/>
        </w:rPr>
        <w:t xml:space="preserve"> The need for value-flexibility in medical AI. Journal of Medical Ethics, 45(3), 156–160. </w:t>
      </w:r>
    </w:p>
    <w:p w14:paraId="472A0CEC" w14:textId="77777777" w:rsidR="004C284A" w:rsidRPr="00297111" w:rsidRDefault="00000000">
      <w:pPr>
        <w:jc w:val="both"/>
        <w:rPr>
          <w:rFonts w:ascii="Roboto" w:eastAsia="Roboto" w:hAnsi="Roboto" w:cs="Roboto"/>
          <w:sz w:val="20"/>
          <w:szCs w:val="20"/>
          <w:lang w:val="en-GB"/>
        </w:rPr>
      </w:pPr>
      <w:r w:rsidRPr="00297111">
        <w:rPr>
          <w:rFonts w:ascii="Roboto" w:eastAsia="Roboto" w:hAnsi="Roboto" w:cs="Roboto"/>
          <w:sz w:val="20"/>
          <w:szCs w:val="20"/>
          <w:lang w:val="en-GB"/>
        </w:rPr>
        <w:t xml:space="preserve">McDougall, R. J. (2019b). </w:t>
      </w:r>
      <w:proofErr w:type="gramStart"/>
      <w:r w:rsidRPr="00297111">
        <w:rPr>
          <w:rFonts w:ascii="Roboto" w:eastAsia="Roboto" w:hAnsi="Roboto" w:cs="Roboto"/>
          <w:sz w:val="20"/>
          <w:szCs w:val="20"/>
          <w:lang w:val="en-GB"/>
        </w:rPr>
        <w:t>No</w:t>
      </w:r>
      <w:proofErr w:type="gramEnd"/>
      <w:r w:rsidRPr="00297111">
        <w:rPr>
          <w:rFonts w:ascii="Roboto" w:eastAsia="Roboto" w:hAnsi="Roboto" w:cs="Roboto"/>
          <w:sz w:val="20"/>
          <w:szCs w:val="20"/>
          <w:lang w:val="en-GB"/>
        </w:rPr>
        <w:t xml:space="preserve"> we shouldn’t be afraid of medical AI; it involves risks and opportunities. Journal of Medical Ethics, 45(8), 559–559. </w:t>
      </w:r>
    </w:p>
    <w:p w14:paraId="333E9D77" w14:textId="77777777" w:rsidR="004C284A" w:rsidRPr="00297111" w:rsidRDefault="00000000">
      <w:pPr>
        <w:jc w:val="both"/>
        <w:rPr>
          <w:rFonts w:ascii="Roboto" w:eastAsia="Roboto" w:hAnsi="Roboto" w:cs="Roboto"/>
          <w:sz w:val="20"/>
          <w:szCs w:val="20"/>
          <w:lang w:val="en-GB"/>
        </w:rPr>
      </w:pPr>
      <w:r w:rsidRPr="00297111">
        <w:rPr>
          <w:rFonts w:ascii="Roboto" w:eastAsia="Roboto" w:hAnsi="Roboto" w:cs="Roboto"/>
          <w:sz w:val="20"/>
          <w:szCs w:val="20"/>
          <w:lang w:val="en-GB"/>
        </w:rPr>
        <w:t>Sexton, M. (2025). AI and Emerging Technologies in Health Care. Third Way.</w:t>
      </w:r>
    </w:p>
    <w:p w14:paraId="042BAF02" w14:textId="77777777" w:rsidR="004C284A" w:rsidRPr="00297111" w:rsidRDefault="00000000">
      <w:pPr>
        <w:jc w:val="both"/>
        <w:rPr>
          <w:rFonts w:ascii="Roboto" w:eastAsia="Roboto" w:hAnsi="Roboto" w:cs="Roboto"/>
          <w:sz w:val="20"/>
          <w:szCs w:val="20"/>
          <w:lang w:val="en-GB"/>
        </w:rPr>
      </w:pPr>
      <w:r w:rsidRPr="00297111">
        <w:rPr>
          <w:rFonts w:ascii="Roboto" w:eastAsia="Roboto" w:hAnsi="Roboto" w:cs="Roboto"/>
          <w:sz w:val="20"/>
          <w:szCs w:val="20"/>
          <w:lang w:val="en-GB"/>
        </w:rPr>
        <w:t xml:space="preserve">Vallor, S., &amp; Vierkant, T. (2024). Find the Gap: AI, Responsible Agency and Vulnerability. Minds and Machines, 34(3), 20. </w:t>
      </w:r>
    </w:p>
    <w:p w14:paraId="1AE58BDD" w14:textId="77777777" w:rsidR="004C284A" w:rsidRDefault="00000000">
      <w:pPr>
        <w:jc w:val="both"/>
        <w:rPr>
          <w:rFonts w:ascii="Roboto" w:eastAsia="Roboto" w:hAnsi="Roboto" w:cs="Roboto"/>
          <w:sz w:val="20"/>
          <w:szCs w:val="20"/>
        </w:rPr>
      </w:pPr>
      <w:r w:rsidRPr="00297111">
        <w:rPr>
          <w:rFonts w:ascii="Roboto" w:eastAsia="Roboto" w:hAnsi="Roboto" w:cs="Roboto"/>
          <w:sz w:val="20"/>
          <w:szCs w:val="20"/>
          <w:lang w:val="en-GB"/>
        </w:rPr>
        <w:t xml:space="preserve">World Health Organization. (2021). Ethics And Governance </w:t>
      </w:r>
      <w:proofErr w:type="gramStart"/>
      <w:r w:rsidRPr="00297111">
        <w:rPr>
          <w:rFonts w:ascii="Roboto" w:eastAsia="Roboto" w:hAnsi="Roboto" w:cs="Roboto"/>
          <w:sz w:val="20"/>
          <w:szCs w:val="20"/>
          <w:lang w:val="en-GB"/>
        </w:rPr>
        <w:t>Of</w:t>
      </w:r>
      <w:proofErr w:type="gramEnd"/>
      <w:r w:rsidRPr="00297111">
        <w:rPr>
          <w:rFonts w:ascii="Roboto" w:eastAsia="Roboto" w:hAnsi="Roboto" w:cs="Roboto"/>
          <w:sz w:val="20"/>
          <w:szCs w:val="20"/>
          <w:lang w:val="en-GB"/>
        </w:rPr>
        <w:t xml:space="preserve"> Artificial Intelligence </w:t>
      </w:r>
      <w:proofErr w:type="gramStart"/>
      <w:r w:rsidRPr="00297111">
        <w:rPr>
          <w:rFonts w:ascii="Roboto" w:eastAsia="Roboto" w:hAnsi="Roboto" w:cs="Roboto"/>
          <w:sz w:val="20"/>
          <w:szCs w:val="20"/>
          <w:lang w:val="en-GB"/>
        </w:rPr>
        <w:t>For</w:t>
      </w:r>
      <w:proofErr w:type="gramEnd"/>
      <w:r w:rsidRPr="00297111">
        <w:rPr>
          <w:rFonts w:ascii="Roboto" w:eastAsia="Roboto" w:hAnsi="Roboto" w:cs="Roboto"/>
          <w:sz w:val="20"/>
          <w:szCs w:val="20"/>
          <w:lang w:val="en-GB"/>
        </w:rPr>
        <w:t xml:space="preserve"> Health: WHO Guidance. </w:t>
      </w:r>
      <w:r>
        <w:rPr>
          <w:rFonts w:ascii="Roboto" w:eastAsia="Roboto" w:hAnsi="Roboto" w:cs="Roboto"/>
          <w:sz w:val="20"/>
          <w:szCs w:val="20"/>
        </w:rPr>
        <w:t xml:space="preserve">World Health </w:t>
      </w:r>
      <w:proofErr w:type="spellStart"/>
      <w:r>
        <w:rPr>
          <w:rFonts w:ascii="Roboto" w:eastAsia="Roboto" w:hAnsi="Roboto" w:cs="Roboto"/>
          <w:sz w:val="20"/>
          <w:szCs w:val="20"/>
        </w:rPr>
        <w:t>Organization</w:t>
      </w:r>
      <w:proofErr w:type="spellEnd"/>
      <w:r>
        <w:rPr>
          <w:rFonts w:ascii="Roboto" w:eastAsia="Roboto" w:hAnsi="Roboto" w:cs="Roboto"/>
          <w:sz w:val="20"/>
          <w:szCs w:val="20"/>
        </w:rPr>
        <w:t>.</w:t>
      </w:r>
    </w:p>
    <w:p w14:paraId="7333503C" w14:textId="77777777" w:rsidR="004C284A" w:rsidRDefault="004C284A">
      <w:pPr>
        <w:jc w:val="both"/>
        <w:rPr>
          <w:rFonts w:ascii="Roboto" w:eastAsia="Roboto" w:hAnsi="Roboto" w:cs="Roboto"/>
          <w:sz w:val="20"/>
          <w:szCs w:val="20"/>
        </w:rPr>
      </w:pPr>
    </w:p>
    <w:p w14:paraId="1299FB6C" w14:textId="77777777" w:rsidR="004C284A" w:rsidRDefault="004C284A">
      <w:pPr>
        <w:jc w:val="both"/>
        <w:rPr>
          <w:rFonts w:ascii="Roboto" w:eastAsia="Roboto" w:hAnsi="Roboto" w:cs="Roboto"/>
          <w:sz w:val="20"/>
          <w:szCs w:val="20"/>
        </w:rPr>
      </w:pPr>
    </w:p>
    <w:p w14:paraId="384F07D2" w14:textId="77777777" w:rsidR="004C284A" w:rsidRDefault="004C284A">
      <w:pPr>
        <w:jc w:val="both"/>
        <w:rPr>
          <w:rFonts w:ascii="Roboto" w:eastAsia="Roboto" w:hAnsi="Roboto" w:cs="Roboto"/>
          <w:sz w:val="20"/>
          <w:szCs w:val="20"/>
        </w:rPr>
        <w:sectPr w:rsidR="004C284A">
          <w:type w:val="continuous"/>
          <w:pgSz w:w="11906" w:h="16838"/>
          <w:pgMar w:top="1134" w:right="851" w:bottom="1134" w:left="851" w:header="357" w:footer="720" w:gutter="0"/>
          <w:cols w:num="2" w:space="720" w:equalWidth="0">
            <w:col w:w="4934" w:space="335"/>
            <w:col w:w="4934" w:space="0"/>
          </w:cols>
        </w:sectPr>
      </w:pPr>
    </w:p>
    <w:p w14:paraId="4AEBD5DC" w14:textId="77777777" w:rsidR="004C284A" w:rsidRDefault="00000000">
      <w:pPr>
        <w:spacing w:before="240"/>
        <w:jc w:val="center"/>
        <w:rPr>
          <w:rFonts w:ascii="Roboto" w:eastAsia="Roboto" w:hAnsi="Roboto" w:cs="Roboto"/>
          <w:b/>
          <w:bCs/>
          <w:color w:val="FF0000"/>
          <w:sz w:val="20"/>
          <w:szCs w:val="20"/>
        </w:rPr>
      </w:pPr>
      <w:r>
        <w:rPr>
          <w:rFonts w:ascii="Roboto" w:eastAsia="Roboto" w:hAnsi="Roboto" w:cs="Roboto"/>
          <w:b/>
          <w:bCs/>
          <w:color w:val="FF0000"/>
          <w:sz w:val="20"/>
          <w:szCs w:val="20"/>
        </w:rPr>
        <w:lastRenderedPageBreak/>
        <w:t>NO ELIMINAR ESTA HOJA DEL ARCHIVO. ENVÍE EL ARCHIVO COMPLETO</w:t>
      </w:r>
    </w:p>
    <w:p w14:paraId="54783934" w14:textId="77777777" w:rsidR="004C284A" w:rsidRDefault="00000000">
      <w:pPr>
        <w:spacing w:before="240"/>
        <w:jc w:val="center"/>
        <w:rPr>
          <w:rFonts w:ascii="Roboto" w:eastAsia="Roboto" w:hAnsi="Roboto" w:cs="Roboto"/>
          <w:b/>
          <w:bCs/>
          <w:color w:val="FF0000"/>
          <w:sz w:val="20"/>
          <w:szCs w:val="20"/>
        </w:rPr>
      </w:pPr>
      <w:r>
        <w:rPr>
          <w:rFonts w:ascii="Roboto" w:eastAsia="Roboto" w:hAnsi="Roboto" w:cs="Roboto"/>
          <w:b/>
          <w:bCs/>
          <w:color w:val="FF0000"/>
          <w:sz w:val="20"/>
          <w:szCs w:val="20"/>
        </w:rPr>
        <w:t>Declaración de originalidad y autorización de publicación</w:t>
      </w:r>
    </w:p>
    <w:p w14:paraId="23376964" w14:textId="77777777" w:rsidR="004C284A" w:rsidRDefault="00000000">
      <w:pPr>
        <w:spacing w:before="240"/>
        <w:jc w:val="center"/>
        <w:rPr>
          <w:rFonts w:ascii="Roboto" w:eastAsia="Roboto" w:hAnsi="Roboto" w:cs="Roboto"/>
          <w:b/>
          <w:bCs/>
          <w:sz w:val="20"/>
          <w:szCs w:val="20"/>
        </w:rPr>
      </w:pPr>
      <w:r>
        <w:rPr>
          <w:rFonts w:ascii="Roboto" w:eastAsia="Roboto" w:hAnsi="Roboto" w:cs="Roboto"/>
          <w:b/>
          <w:bCs/>
          <w:sz w:val="20"/>
          <w:szCs w:val="20"/>
        </w:rPr>
        <w:t xml:space="preserve">III Encuentro de Investigadores de la Red Internacional de Universidades </w:t>
      </w:r>
      <w:proofErr w:type="spellStart"/>
      <w:r>
        <w:rPr>
          <w:rFonts w:ascii="Roboto" w:eastAsia="Roboto" w:hAnsi="Roboto" w:cs="Roboto"/>
          <w:b/>
          <w:bCs/>
          <w:sz w:val="20"/>
          <w:szCs w:val="20"/>
        </w:rPr>
        <w:t>Regnum</w:t>
      </w:r>
      <w:proofErr w:type="spellEnd"/>
      <w:r>
        <w:rPr>
          <w:rFonts w:ascii="Roboto" w:eastAsia="Roboto" w:hAnsi="Roboto" w:cs="Roboto"/>
          <w:b/>
          <w:bCs/>
          <w:sz w:val="20"/>
          <w:szCs w:val="20"/>
        </w:rPr>
        <w:t xml:space="preserve"> Christi (RIU)</w:t>
      </w:r>
    </w:p>
    <w:p w14:paraId="1FD2F194" w14:textId="77777777" w:rsidR="004C284A"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Al enviar el presente resumen para su inclusión en las </w:t>
      </w:r>
      <w:r>
        <w:rPr>
          <w:rFonts w:ascii="Roboto" w:eastAsia="Roboto" w:hAnsi="Roboto" w:cs="Roboto"/>
          <w:b/>
          <w:bCs/>
          <w:sz w:val="20"/>
          <w:szCs w:val="20"/>
        </w:rPr>
        <w:t xml:space="preserve">Memorias del III Encuentro de Investigadores de la Red Internacional de Universidades </w:t>
      </w:r>
      <w:proofErr w:type="spellStart"/>
      <w:r>
        <w:rPr>
          <w:rFonts w:ascii="Roboto" w:eastAsia="Roboto" w:hAnsi="Roboto" w:cs="Roboto"/>
          <w:b/>
          <w:bCs/>
          <w:sz w:val="20"/>
          <w:szCs w:val="20"/>
        </w:rPr>
        <w:t>Regnum</w:t>
      </w:r>
      <w:proofErr w:type="spellEnd"/>
      <w:r>
        <w:rPr>
          <w:rFonts w:ascii="Roboto" w:eastAsia="Roboto" w:hAnsi="Roboto" w:cs="Roboto"/>
          <w:b/>
          <w:bCs/>
          <w:sz w:val="20"/>
          <w:szCs w:val="20"/>
        </w:rPr>
        <w:t xml:space="preserve"> Christi (RIU)</w:t>
      </w:r>
      <w:r>
        <w:rPr>
          <w:rFonts w:ascii="Roboto" w:eastAsia="Roboto" w:hAnsi="Roboto" w:cs="Roboto"/>
          <w:sz w:val="20"/>
          <w:szCs w:val="20"/>
        </w:rPr>
        <w:t>, los autores declaran y aceptan lo siguiente:</w:t>
      </w:r>
    </w:p>
    <w:p w14:paraId="7A8A82D8" w14:textId="77777777" w:rsidR="004C284A"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1. Declaración de originalidad</w:t>
      </w:r>
    </w:p>
    <w:p w14:paraId="2ECA8EA2" w14:textId="77777777" w:rsidR="004C284A"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Los autores declaran que el trabajo presentado es </w:t>
      </w:r>
      <w:r>
        <w:rPr>
          <w:rFonts w:ascii="Roboto" w:eastAsia="Roboto" w:hAnsi="Roboto" w:cs="Roboto"/>
          <w:b/>
          <w:bCs/>
          <w:sz w:val="20"/>
          <w:szCs w:val="20"/>
        </w:rPr>
        <w:t>original</w:t>
      </w:r>
      <w:r>
        <w:rPr>
          <w:rFonts w:ascii="Roboto" w:eastAsia="Roboto" w:hAnsi="Roboto" w:cs="Roboto"/>
          <w:sz w:val="20"/>
          <w:szCs w:val="20"/>
        </w:rPr>
        <w:t>, que no infringe derechos de propiedad intelectual de terceros y que cuenta con las autorizaciones necesarias en caso de incluir información, datos, imágenes o materiales previamente publicados. Asimismo, manifiestan que todas las personas que contribuyeron significativamente al trabajo han sido debidamente reconocidas como autores o colaboradores.</w:t>
      </w:r>
    </w:p>
    <w:p w14:paraId="2BCEA190" w14:textId="77777777" w:rsidR="004C284A"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2. Titularidad de los derechos</w:t>
      </w:r>
    </w:p>
    <w:p w14:paraId="3118DA72" w14:textId="77777777" w:rsidR="004C284A"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Los autores </w:t>
      </w:r>
      <w:r>
        <w:rPr>
          <w:rFonts w:ascii="Roboto" w:eastAsia="Roboto" w:hAnsi="Roboto" w:cs="Roboto"/>
          <w:b/>
          <w:bCs/>
          <w:sz w:val="20"/>
          <w:szCs w:val="20"/>
        </w:rPr>
        <w:t>conservan la titularidad de los derechos de autor y de propiedad intelectual</w:t>
      </w:r>
      <w:r>
        <w:rPr>
          <w:rFonts w:ascii="Roboto" w:eastAsia="Roboto" w:hAnsi="Roboto" w:cs="Roboto"/>
          <w:sz w:val="20"/>
          <w:szCs w:val="20"/>
        </w:rPr>
        <w:t xml:space="preserve"> sobre el contenido del resumen y sobre la investigación descrita en el mismo. La aceptación de esta declaración </w:t>
      </w:r>
      <w:r>
        <w:rPr>
          <w:rFonts w:ascii="Roboto" w:eastAsia="Roboto" w:hAnsi="Roboto" w:cs="Roboto"/>
          <w:b/>
          <w:bCs/>
          <w:sz w:val="20"/>
          <w:szCs w:val="20"/>
        </w:rPr>
        <w:t>no implica transferencia de derechos patrimoniales</w:t>
      </w:r>
      <w:r>
        <w:rPr>
          <w:rFonts w:ascii="Roboto" w:eastAsia="Roboto" w:hAnsi="Roboto" w:cs="Roboto"/>
          <w:sz w:val="20"/>
          <w:szCs w:val="20"/>
        </w:rPr>
        <w:t xml:space="preserve"> al organizador del congreso ni al sello editorial responsable de la publicación.</w:t>
      </w:r>
    </w:p>
    <w:p w14:paraId="218105AF" w14:textId="77777777" w:rsidR="004C284A"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3. Licencia de publicación</w:t>
      </w:r>
    </w:p>
    <w:p w14:paraId="6DC3BBE0" w14:textId="77777777" w:rsidR="004C284A"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Los autores conceden al </w:t>
      </w:r>
      <w:r>
        <w:rPr>
          <w:rFonts w:ascii="Roboto" w:eastAsia="Roboto" w:hAnsi="Roboto" w:cs="Roboto"/>
          <w:b/>
          <w:bCs/>
          <w:sz w:val="20"/>
          <w:szCs w:val="20"/>
        </w:rPr>
        <w:t>Sello Editorial de la Universidad Anáhuac Mayab</w:t>
      </w:r>
      <w:r>
        <w:rPr>
          <w:rFonts w:ascii="Roboto" w:eastAsia="Roboto" w:hAnsi="Roboto" w:cs="Roboto"/>
          <w:sz w:val="20"/>
          <w:szCs w:val="20"/>
        </w:rPr>
        <w:t xml:space="preserve">, en su carácter de responsable de la edición de las memorias del evento, una </w:t>
      </w:r>
      <w:r>
        <w:rPr>
          <w:rFonts w:ascii="Roboto" w:eastAsia="Roboto" w:hAnsi="Roboto" w:cs="Roboto"/>
          <w:b/>
          <w:bCs/>
          <w:sz w:val="20"/>
          <w:szCs w:val="20"/>
        </w:rPr>
        <w:t>licencia no exclusiva, gratuita y por tiempo indefinido</w:t>
      </w:r>
      <w:r>
        <w:rPr>
          <w:rFonts w:ascii="Roboto" w:eastAsia="Roboto" w:hAnsi="Roboto" w:cs="Roboto"/>
          <w:sz w:val="20"/>
          <w:szCs w:val="20"/>
        </w:rPr>
        <w:t xml:space="preserve"> para:</w:t>
      </w:r>
    </w:p>
    <w:p w14:paraId="090B6E26" w14:textId="77777777" w:rsidR="004C284A" w:rsidRDefault="00000000">
      <w:pPr>
        <w:numPr>
          <w:ilvl w:val="0"/>
          <w:numId w:val="1"/>
        </w:numPr>
        <w:jc w:val="both"/>
        <w:rPr>
          <w:rFonts w:ascii="Roboto" w:eastAsia="Roboto" w:hAnsi="Roboto" w:cs="Roboto"/>
          <w:sz w:val="20"/>
          <w:szCs w:val="20"/>
        </w:rPr>
      </w:pPr>
      <w:r>
        <w:rPr>
          <w:rFonts w:ascii="Roboto" w:eastAsia="Roboto" w:hAnsi="Roboto" w:cs="Roboto"/>
          <w:sz w:val="20"/>
          <w:szCs w:val="20"/>
        </w:rPr>
        <w:t xml:space="preserve">Publicar el resumen como parte de las </w:t>
      </w:r>
      <w:r>
        <w:rPr>
          <w:rFonts w:ascii="Roboto" w:eastAsia="Roboto" w:hAnsi="Roboto" w:cs="Roboto"/>
          <w:b/>
          <w:bCs/>
          <w:sz w:val="20"/>
          <w:szCs w:val="20"/>
        </w:rPr>
        <w:t>Memorias del III Encuentro de Investigadores de la RIU</w:t>
      </w:r>
      <w:r>
        <w:rPr>
          <w:rFonts w:ascii="Roboto" w:eastAsia="Roboto" w:hAnsi="Roboto" w:cs="Roboto"/>
          <w:sz w:val="20"/>
          <w:szCs w:val="20"/>
        </w:rPr>
        <w:t>.</w:t>
      </w:r>
    </w:p>
    <w:p w14:paraId="168D5F54" w14:textId="77777777" w:rsidR="004C284A" w:rsidRDefault="00000000">
      <w:pPr>
        <w:numPr>
          <w:ilvl w:val="0"/>
          <w:numId w:val="1"/>
        </w:numPr>
        <w:jc w:val="both"/>
        <w:rPr>
          <w:rFonts w:ascii="Roboto" w:eastAsia="Roboto" w:hAnsi="Roboto" w:cs="Roboto"/>
          <w:sz w:val="20"/>
          <w:szCs w:val="20"/>
        </w:rPr>
      </w:pPr>
      <w:r>
        <w:rPr>
          <w:rFonts w:ascii="Roboto" w:eastAsia="Roboto" w:hAnsi="Roboto" w:cs="Roboto"/>
          <w:sz w:val="20"/>
          <w:szCs w:val="20"/>
        </w:rPr>
        <w:t xml:space="preserve">Realizar las adaptaciones editoriales necesarias para su </w:t>
      </w:r>
      <w:r>
        <w:rPr>
          <w:rFonts w:ascii="Roboto" w:eastAsia="Roboto" w:hAnsi="Roboto" w:cs="Roboto"/>
          <w:b/>
          <w:bCs/>
          <w:sz w:val="20"/>
          <w:szCs w:val="20"/>
        </w:rPr>
        <w:t>corrección de estilo, maquetación y edición</w:t>
      </w:r>
      <w:r>
        <w:rPr>
          <w:rFonts w:ascii="Roboto" w:eastAsia="Roboto" w:hAnsi="Roboto" w:cs="Roboto"/>
          <w:sz w:val="20"/>
          <w:szCs w:val="20"/>
        </w:rPr>
        <w:t xml:space="preserve"> dentro del volumen de memorias.</w:t>
      </w:r>
    </w:p>
    <w:p w14:paraId="488EE3D8" w14:textId="77777777" w:rsidR="004C284A" w:rsidRDefault="00000000">
      <w:pPr>
        <w:numPr>
          <w:ilvl w:val="0"/>
          <w:numId w:val="1"/>
        </w:numPr>
        <w:jc w:val="both"/>
        <w:rPr>
          <w:rFonts w:ascii="Roboto" w:eastAsia="Roboto" w:hAnsi="Roboto" w:cs="Roboto"/>
          <w:sz w:val="20"/>
          <w:szCs w:val="20"/>
        </w:rPr>
      </w:pPr>
      <w:r>
        <w:rPr>
          <w:rFonts w:ascii="Roboto" w:eastAsia="Roboto" w:hAnsi="Roboto" w:cs="Roboto"/>
          <w:sz w:val="20"/>
          <w:szCs w:val="20"/>
        </w:rPr>
        <w:t xml:space="preserve">Reproducir, distribuir y comunicar públicamente el contenido en </w:t>
      </w:r>
      <w:r>
        <w:rPr>
          <w:rFonts w:ascii="Roboto" w:eastAsia="Roboto" w:hAnsi="Roboto" w:cs="Roboto"/>
          <w:b/>
          <w:bCs/>
          <w:sz w:val="20"/>
          <w:szCs w:val="20"/>
        </w:rPr>
        <w:t>formatos impresos y digitales</w:t>
      </w:r>
      <w:r>
        <w:rPr>
          <w:rFonts w:ascii="Roboto" w:eastAsia="Roboto" w:hAnsi="Roboto" w:cs="Roboto"/>
          <w:sz w:val="20"/>
          <w:szCs w:val="20"/>
        </w:rPr>
        <w:t>.</w:t>
      </w:r>
    </w:p>
    <w:p w14:paraId="2CC7B681" w14:textId="77777777" w:rsidR="004C284A" w:rsidRDefault="00000000">
      <w:pPr>
        <w:numPr>
          <w:ilvl w:val="0"/>
          <w:numId w:val="1"/>
        </w:numPr>
        <w:spacing w:after="240"/>
        <w:jc w:val="both"/>
        <w:rPr>
          <w:rFonts w:ascii="Roboto" w:eastAsia="Roboto" w:hAnsi="Roboto" w:cs="Roboto"/>
          <w:sz w:val="20"/>
          <w:szCs w:val="20"/>
        </w:rPr>
      </w:pPr>
      <w:r>
        <w:rPr>
          <w:rFonts w:ascii="Roboto" w:eastAsia="Roboto" w:hAnsi="Roboto" w:cs="Roboto"/>
          <w:sz w:val="20"/>
          <w:szCs w:val="20"/>
        </w:rPr>
        <w:t xml:space="preserve">Difundir la obra a través de </w:t>
      </w:r>
      <w:r>
        <w:rPr>
          <w:rFonts w:ascii="Roboto" w:eastAsia="Roboto" w:hAnsi="Roboto" w:cs="Roboto"/>
          <w:b/>
          <w:bCs/>
          <w:sz w:val="20"/>
          <w:szCs w:val="20"/>
        </w:rPr>
        <w:t>repositorios institucionales, bibliotecas digitales, plataformas académicas, bases de datos, sitios web institucionales y otros medios de difusión científica</w:t>
      </w:r>
      <w:r>
        <w:rPr>
          <w:rFonts w:ascii="Roboto" w:eastAsia="Roboto" w:hAnsi="Roboto" w:cs="Roboto"/>
          <w:sz w:val="20"/>
          <w:szCs w:val="20"/>
        </w:rPr>
        <w:t xml:space="preserve"> vinculados al congreso, a la Universidad Anáhuac Mayab o a la Red Internacional de Universidades </w:t>
      </w:r>
      <w:proofErr w:type="spellStart"/>
      <w:r>
        <w:rPr>
          <w:rFonts w:ascii="Roboto" w:eastAsia="Roboto" w:hAnsi="Roboto" w:cs="Roboto"/>
          <w:sz w:val="20"/>
          <w:szCs w:val="20"/>
        </w:rPr>
        <w:t>Regnum</w:t>
      </w:r>
      <w:proofErr w:type="spellEnd"/>
      <w:r>
        <w:rPr>
          <w:rFonts w:ascii="Roboto" w:eastAsia="Roboto" w:hAnsi="Roboto" w:cs="Roboto"/>
          <w:sz w:val="20"/>
          <w:szCs w:val="20"/>
        </w:rPr>
        <w:t xml:space="preserve"> Christi.</w:t>
      </w:r>
    </w:p>
    <w:p w14:paraId="04B12EF6" w14:textId="77777777" w:rsidR="004C284A"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4. Alcance de la autorización</w:t>
      </w:r>
    </w:p>
    <w:p w14:paraId="1C633A68" w14:textId="77777777" w:rsidR="004C284A"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La presente autorización se limita exclusivamente a la </w:t>
      </w:r>
      <w:r>
        <w:rPr>
          <w:rFonts w:ascii="Roboto" w:eastAsia="Roboto" w:hAnsi="Roboto" w:cs="Roboto"/>
          <w:b/>
          <w:bCs/>
          <w:sz w:val="20"/>
          <w:szCs w:val="20"/>
        </w:rPr>
        <w:t>publicación del resumen dentro de las memorias del congreso</w:t>
      </w:r>
      <w:r>
        <w:rPr>
          <w:rFonts w:ascii="Roboto" w:eastAsia="Roboto" w:hAnsi="Roboto" w:cs="Roboto"/>
          <w:sz w:val="20"/>
          <w:szCs w:val="20"/>
        </w:rPr>
        <w:t xml:space="preserve"> y no restringe el derecho de los autores a:</w:t>
      </w:r>
    </w:p>
    <w:p w14:paraId="25C4739C" w14:textId="77777777" w:rsidR="004C284A" w:rsidRDefault="00000000">
      <w:pPr>
        <w:numPr>
          <w:ilvl w:val="0"/>
          <w:numId w:val="2"/>
        </w:numPr>
        <w:jc w:val="both"/>
        <w:rPr>
          <w:rFonts w:ascii="Roboto" w:eastAsia="Roboto" w:hAnsi="Roboto" w:cs="Roboto"/>
          <w:sz w:val="20"/>
          <w:szCs w:val="20"/>
        </w:rPr>
      </w:pPr>
      <w:r>
        <w:rPr>
          <w:rFonts w:ascii="Roboto" w:eastAsia="Roboto" w:hAnsi="Roboto" w:cs="Roboto"/>
          <w:sz w:val="20"/>
          <w:szCs w:val="20"/>
        </w:rPr>
        <w:t xml:space="preserve">Publicar versiones ampliadas del trabajo en </w:t>
      </w:r>
      <w:r>
        <w:rPr>
          <w:rFonts w:ascii="Roboto" w:eastAsia="Roboto" w:hAnsi="Roboto" w:cs="Roboto"/>
          <w:b/>
          <w:bCs/>
          <w:sz w:val="20"/>
          <w:szCs w:val="20"/>
        </w:rPr>
        <w:t>revistas científicas, libros u otros medios académicos</w:t>
      </w:r>
      <w:r>
        <w:rPr>
          <w:rFonts w:ascii="Roboto" w:eastAsia="Roboto" w:hAnsi="Roboto" w:cs="Roboto"/>
          <w:sz w:val="20"/>
          <w:szCs w:val="20"/>
        </w:rPr>
        <w:t>.</w:t>
      </w:r>
    </w:p>
    <w:p w14:paraId="7C93FA9D" w14:textId="77777777" w:rsidR="004C284A" w:rsidRDefault="00000000">
      <w:pPr>
        <w:numPr>
          <w:ilvl w:val="0"/>
          <w:numId w:val="2"/>
        </w:numPr>
        <w:jc w:val="both"/>
        <w:rPr>
          <w:rFonts w:ascii="Roboto" w:eastAsia="Roboto" w:hAnsi="Roboto" w:cs="Roboto"/>
          <w:sz w:val="20"/>
          <w:szCs w:val="20"/>
        </w:rPr>
      </w:pPr>
      <w:r>
        <w:rPr>
          <w:rFonts w:ascii="Roboto" w:eastAsia="Roboto" w:hAnsi="Roboto" w:cs="Roboto"/>
          <w:sz w:val="20"/>
          <w:szCs w:val="20"/>
        </w:rPr>
        <w:t xml:space="preserve">Utilizar el contenido en </w:t>
      </w:r>
      <w:r>
        <w:rPr>
          <w:rFonts w:ascii="Roboto" w:eastAsia="Roboto" w:hAnsi="Roboto" w:cs="Roboto"/>
          <w:b/>
          <w:bCs/>
          <w:sz w:val="20"/>
          <w:szCs w:val="20"/>
        </w:rPr>
        <w:t>tesis, proyectos de investigación, reportes técnicos u otras publicaciones académicas</w:t>
      </w:r>
      <w:r>
        <w:rPr>
          <w:rFonts w:ascii="Roboto" w:eastAsia="Roboto" w:hAnsi="Roboto" w:cs="Roboto"/>
          <w:sz w:val="20"/>
          <w:szCs w:val="20"/>
        </w:rPr>
        <w:t>.</w:t>
      </w:r>
    </w:p>
    <w:p w14:paraId="54025C29" w14:textId="77777777" w:rsidR="004C284A" w:rsidRDefault="00000000">
      <w:pPr>
        <w:numPr>
          <w:ilvl w:val="0"/>
          <w:numId w:val="2"/>
        </w:numPr>
        <w:spacing w:after="240"/>
        <w:jc w:val="both"/>
        <w:rPr>
          <w:rFonts w:ascii="Roboto" w:eastAsia="Roboto" w:hAnsi="Roboto" w:cs="Roboto"/>
          <w:sz w:val="20"/>
          <w:szCs w:val="20"/>
        </w:rPr>
      </w:pPr>
      <w:r>
        <w:rPr>
          <w:rFonts w:ascii="Roboto" w:eastAsia="Roboto" w:hAnsi="Roboto" w:cs="Roboto"/>
          <w:sz w:val="20"/>
          <w:szCs w:val="20"/>
        </w:rPr>
        <w:t>Difundir su investigación en otros espacios científicos o de divulgación.</w:t>
      </w:r>
    </w:p>
    <w:p w14:paraId="799665EF" w14:textId="77777777" w:rsidR="004C284A"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5. Responsabilidad del contenido</w:t>
      </w:r>
    </w:p>
    <w:p w14:paraId="19D18840" w14:textId="77777777" w:rsidR="004C284A"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Los autores asumen plena responsabilidad por el contenido del resumen, incluyendo la </w:t>
      </w:r>
      <w:r>
        <w:rPr>
          <w:rFonts w:ascii="Roboto" w:eastAsia="Roboto" w:hAnsi="Roboto" w:cs="Roboto"/>
          <w:b/>
          <w:bCs/>
          <w:sz w:val="20"/>
          <w:szCs w:val="20"/>
        </w:rPr>
        <w:t>veracidad de la información presentada, el cumplimiento de normas éticas de investigación y el respeto a derechos de terceros</w:t>
      </w:r>
      <w:r>
        <w:rPr>
          <w:rFonts w:ascii="Roboto" w:eastAsia="Roboto" w:hAnsi="Roboto" w:cs="Roboto"/>
          <w:sz w:val="20"/>
          <w:szCs w:val="20"/>
        </w:rPr>
        <w:t>.</w:t>
      </w:r>
    </w:p>
    <w:p w14:paraId="1664ADA2" w14:textId="77777777" w:rsidR="004C284A"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6. Aceptación de la declaración</w:t>
      </w:r>
    </w:p>
    <w:p w14:paraId="2F65E40A" w14:textId="77777777" w:rsidR="004C284A"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El envío del resumen mediante el sistema o formato oficial del congreso </w:t>
      </w:r>
      <w:r>
        <w:rPr>
          <w:rFonts w:ascii="Roboto" w:eastAsia="Roboto" w:hAnsi="Roboto" w:cs="Roboto"/>
          <w:b/>
          <w:bCs/>
          <w:sz w:val="20"/>
          <w:szCs w:val="20"/>
        </w:rPr>
        <w:t>constituye evidencia de que todos los autores conocen y aceptan los términos de la presente declaración y autorización de publicación</w:t>
      </w:r>
      <w:r>
        <w:rPr>
          <w:rFonts w:ascii="Roboto" w:eastAsia="Roboto" w:hAnsi="Roboto" w:cs="Roboto"/>
          <w:sz w:val="20"/>
          <w:szCs w:val="20"/>
        </w:rPr>
        <w:t>.</w:t>
      </w:r>
    </w:p>
    <w:p w14:paraId="72EA1258" w14:textId="77777777" w:rsidR="004C284A" w:rsidRDefault="00000000">
      <w:pPr>
        <w:spacing w:before="240" w:after="240"/>
        <w:jc w:val="both"/>
        <w:rPr>
          <w:rFonts w:ascii="Roboto" w:eastAsia="Roboto" w:hAnsi="Roboto" w:cs="Roboto"/>
          <w:sz w:val="20"/>
          <w:szCs w:val="20"/>
        </w:rPr>
      </w:pPr>
      <w:proofErr w:type="gramStart"/>
      <w:r>
        <w:rPr>
          <w:rFonts w:ascii="Roboto" w:eastAsia="Roboto" w:hAnsi="Roboto" w:cs="Roboto"/>
          <w:sz w:val="20"/>
          <w:szCs w:val="20"/>
        </w:rPr>
        <w:t xml:space="preserve">(  </w:t>
      </w:r>
      <w:r>
        <w:rPr>
          <w:rFonts w:ascii="Roboto" w:eastAsia="Roboto" w:hAnsi="Roboto" w:cs="Roboto"/>
          <w:b/>
          <w:bCs/>
          <w:sz w:val="28"/>
          <w:szCs w:val="28"/>
        </w:rPr>
        <w:t xml:space="preserve">X </w:t>
      </w:r>
      <w:r>
        <w:rPr>
          <w:rFonts w:ascii="Roboto" w:eastAsia="Roboto" w:hAnsi="Roboto" w:cs="Roboto"/>
          <w:sz w:val="20"/>
          <w:szCs w:val="20"/>
        </w:rPr>
        <w:t xml:space="preserve"> )</w:t>
      </w:r>
      <w:proofErr w:type="gramEnd"/>
      <w:r>
        <w:rPr>
          <w:rFonts w:ascii="Roboto" w:eastAsia="Roboto" w:hAnsi="Roboto" w:cs="Roboto"/>
          <w:sz w:val="20"/>
          <w:szCs w:val="20"/>
        </w:rPr>
        <w:t xml:space="preserve">  Declaro que he leído y acepto los términos de esta declaración y autorización de publicación.</w:t>
      </w:r>
    </w:p>
    <w:p w14:paraId="18CEBB73" w14:textId="49FEC722" w:rsidR="004C284A" w:rsidRDefault="00000000">
      <w:pPr>
        <w:spacing w:before="240" w:after="240"/>
        <w:jc w:val="both"/>
        <w:rPr>
          <w:rFonts w:ascii="Roboto" w:eastAsia="Roboto" w:hAnsi="Roboto" w:cs="Roboto"/>
          <w:sz w:val="20"/>
          <w:szCs w:val="20"/>
        </w:rPr>
      </w:pPr>
      <w:r>
        <w:rPr>
          <w:rFonts w:ascii="Roboto" w:eastAsia="Roboto" w:hAnsi="Roboto" w:cs="Roboto"/>
          <w:b/>
          <w:bCs/>
          <w:sz w:val="20"/>
          <w:szCs w:val="20"/>
        </w:rPr>
        <w:lastRenderedPageBreak/>
        <w:t xml:space="preserve">Autor responsable: </w:t>
      </w:r>
      <w:r>
        <w:rPr>
          <w:rFonts w:ascii="Roboto" w:eastAsia="Roboto" w:hAnsi="Roboto" w:cs="Roboto"/>
          <w:sz w:val="20"/>
          <w:szCs w:val="20"/>
        </w:rPr>
        <w:t>David S. Koonce</w:t>
      </w:r>
      <w:r w:rsidR="00297111">
        <w:rPr>
          <w:rFonts w:ascii="Roboto" w:eastAsia="Roboto" w:hAnsi="Roboto" w:cs="Roboto"/>
          <w:sz w:val="20"/>
          <w:szCs w:val="20"/>
        </w:rPr>
        <w:tab/>
      </w:r>
      <w:r>
        <w:rPr>
          <w:rFonts w:ascii="Roboto" w:eastAsia="Roboto" w:hAnsi="Roboto" w:cs="Roboto"/>
          <w:b/>
          <w:bCs/>
          <w:sz w:val="20"/>
          <w:szCs w:val="20"/>
        </w:rPr>
        <w:br/>
        <w:t xml:space="preserve">Institución: </w:t>
      </w:r>
      <w:r>
        <w:rPr>
          <w:rFonts w:ascii="Roboto" w:eastAsia="Roboto" w:hAnsi="Roboto" w:cs="Roboto"/>
          <w:sz w:val="20"/>
          <w:szCs w:val="20"/>
        </w:rPr>
        <w:t xml:space="preserve">APRA (Ateneo Pontificio Regina </w:t>
      </w:r>
      <w:proofErr w:type="spellStart"/>
      <w:r>
        <w:rPr>
          <w:rFonts w:ascii="Roboto" w:eastAsia="Roboto" w:hAnsi="Roboto" w:cs="Roboto"/>
          <w:sz w:val="20"/>
          <w:szCs w:val="20"/>
        </w:rPr>
        <w:t>Apostolorum</w:t>
      </w:r>
      <w:proofErr w:type="spellEnd"/>
      <w:r>
        <w:rPr>
          <w:rFonts w:ascii="Roboto" w:eastAsia="Roboto" w:hAnsi="Roboto" w:cs="Roboto"/>
          <w:sz w:val="20"/>
          <w:szCs w:val="20"/>
        </w:rPr>
        <w:t>)</w:t>
      </w:r>
      <w:r w:rsidR="00297111">
        <w:rPr>
          <w:rFonts w:ascii="Roboto" w:eastAsia="Roboto" w:hAnsi="Roboto" w:cs="Roboto"/>
          <w:sz w:val="20"/>
          <w:szCs w:val="20"/>
        </w:rPr>
        <w:tab/>
      </w:r>
      <w:r>
        <w:rPr>
          <w:rFonts w:ascii="Roboto" w:eastAsia="Roboto" w:hAnsi="Roboto" w:cs="Roboto"/>
          <w:b/>
          <w:bCs/>
          <w:sz w:val="20"/>
          <w:szCs w:val="20"/>
        </w:rPr>
        <w:br/>
        <w:t xml:space="preserve">Título del trabajo con autores: </w:t>
      </w:r>
      <w:r>
        <w:rPr>
          <w:rFonts w:ascii="Roboto" w:eastAsia="Roboto" w:hAnsi="Roboto" w:cs="Roboto"/>
          <w:sz w:val="20"/>
          <w:szCs w:val="20"/>
        </w:rPr>
        <w:t xml:space="preserve">Soberanía del sujeto y </w:t>
      </w:r>
      <w:proofErr w:type="spellStart"/>
      <w:r>
        <w:rPr>
          <w:rFonts w:ascii="Roboto" w:eastAsia="Roboto" w:hAnsi="Roboto" w:cs="Roboto"/>
          <w:sz w:val="20"/>
          <w:szCs w:val="20"/>
        </w:rPr>
        <w:t>co-creación</w:t>
      </w:r>
      <w:proofErr w:type="spellEnd"/>
      <w:r>
        <w:rPr>
          <w:rFonts w:ascii="Roboto" w:eastAsia="Roboto" w:hAnsi="Roboto" w:cs="Roboto"/>
          <w:sz w:val="20"/>
          <w:szCs w:val="20"/>
        </w:rPr>
        <w:t xml:space="preserve"> del bienestar: Una </w:t>
      </w:r>
      <w:proofErr w:type="spellStart"/>
      <w:r>
        <w:rPr>
          <w:rFonts w:ascii="Roboto" w:eastAsia="Roboto" w:hAnsi="Roboto" w:cs="Roboto"/>
          <w:sz w:val="20"/>
          <w:szCs w:val="20"/>
        </w:rPr>
        <w:t>autoetnografía</w:t>
      </w:r>
      <w:proofErr w:type="spellEnd"/>
      <w:r>
        <w:rPr>
          <w:rFonts w:ascii="Roboto" w:eastAsia="Roboto" w:hAnsi="Roboto" w:cs="Roboto"/>
          <w:sz w:val="20"/>
          <w:szCs w:val="20"/>
        </w:rPr>
        <w:t xml:space="preserve"> sobre la asociación humano-IA en la gestión de la salud (Koonce D.S.)</w:t>
      </w:r>
    </w:p>
    <w:p w14:paraId="4DF9D975" w14:textId="77777777" w:rsidR="004C284A" w:rsidRDefault="004C284A">
      <w:pPr>
        <w:spacing w:before="240" w:after="240"/>
        <w:jc w:val="both"/>
        <w:rPr>
          <w:rFonts w:ascii="Roboto" w:eastAsia="Roboto" w:hAnsi="Roboto" w:cs="Roboto"/>
          <w:b/>
          <w:bCs/>
          <w:sz w:val="20"/>
          <w:szCs w:val="20"/>
        </w:rPr>
      </w:pPr>
    </w:p>
    <w:sectPr w:rsidR="004C284A">
      <w:pgSz w:w="11906" w:h="16838"/>
      <w:pgMar w:top="1134" w:right="851" w:bottom="1134" w:left="851" w:header="357" w:footer="720" w:gutter="0"/>
      <w:cols w:space="720" w:equalWidth="0">
        <w:col w:w="10203" w:space="0"/>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AD1FA79" w14:textId="77777777" w:rsidR="00BF413F" w:rsidRDefault="00BF413F">
      <w:r>
        <w:separator/>
      </w:r>
    </w:p>
  </w:endnote>
  <w:endnote w:type="continuationSeparator" w:id="0">
    <w:p w14:paraId="474C3D32" w14:textId="77777777" w:rsidR="00BF413F" w:rsidRDefault="00BF413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auto"/>
    <w:pitch w:val="default"/>
    <w:embedItalic r:id="rId1" w:fontKey="{166245A6-DB7B-4B01-8215-C59C846358CE}"/>
  </w:font>
  <w:font w:name="Roboto">
    <w:charset w:val="00"/>
    <w:family w:val="auto"/>
    <w:pitch w:val="variable"/>
    <w:sig w:usb0="E0000AFF" w:usb1="5000217F" w:usb2="00000021" w:usb3="00000000" w:csb0="0000019F" w:csb1="00000000"/>
    <w:embedRegular r:id="rId2" w:fontKey="{509705D4-F45E-44BC-A7CE-F70FF3131A81}"/>
    <w:embedBold r:id="rId3" w:fontKey="{F2CDDB6F-5128-4000-B51D-CBB61CE5AD6A}"/>
    <w:embedItalic r:id="rId4" w:fontKey="{F9AC0A1A-BEC0-4411-AE53-7C8641D62296}"/>
  </w:font>
  <w:font w:name="Calibri">
    <w:panose1 w:val="020F0502020204030204"/>
    <w:charset w:val="00"/>
    <w:family w:val="swiss"/>
    <w:pitch w:val="variable"/>
    <w:sig w:usb0="E4002EFF" w:usb1="C200247B" w:usb2="00000009" w:usb3="00000000" w:csb0="000001FF" w:csb1="00000000"/>
    <w:embedRegular r:id="rId5" w:fontKey="{1D731A6F-2D71-4CD5-9791-745142A34728}"/>
  </w:font>
  <w:font w:name="Cambria">
    <w:panose1 w:val="02040503050406030204"/>
    <w:charset w:val="00"/>
    <w:family w:val="roman"/>
    <w:pitch w:val="variable"/>
    <w:sig w:usb0="E00006FF" w:usb1="420024FF" w:usb2="02000000" w:usb3="00000000" w:csb0="0000019F" w:csb1="00000000"/>
    <w:embedRegular r:id="rId6" w:fontKey="{511B31D3-9F03-41AC-9D5A-101CC20143BF}"/>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F5D41B" w14:textId="77777777" w:rsidR="004C284A" w:rsidRDefault="004C284A"/>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E452D0B" w14:textId="77777777" w:rsidR="00BF413F" w:rsidRDefault="00BF413F">
      <w:r>
        <w:separator/>
      </w:r>
    </w:p>
  </w:footnote>
  <w:footnote w:type="continuationSeparator" w:id="0">
    <w:p w14:paraId="42A2FB15" w14:textId="77777777" w:rsidR="00BF413F" w:rsidRDefault="00BF413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152198" w14:textId="77777777" w:rsidR="004C284A" w:rsidRDefault="004C284A">
    <w:pPr>
      <w:widowControl w:val="0"/>
      <w:pBdr>
        <w:top w:val="nil"/>
        <w:left w:val="nil"/>
        <w:bottom w:val="nil"/>
        <w:right w:val="nil"/>
        <w:between w:val="nil"/>
      </w:pBdr>
      <w:spacing w:line="276" w:lineRule="auto"/>
      <w:rPr>
        <w:rFonts w:ascii="Roboto" w:eastAsia="Roboto" w:hAnsi="Roboto" w:cs="Roboto"/>
      </w:rPr>
    </w:pPr>
  </w:p>
  <w:tbl>
    <w:tblPr>
      <w:tblStyle w:val="a"/>
      <w:tblW w:w="6306" w:type="dxa"/>
      <w:jc w:val="center"/>
      <w:tblInd w:w="0" w:type="dxa"/>
      <w:tblLayout w:type="fixed"/>
      <w:tblLook w:val="0400" w:firstRow="0" w:lastRow="0" w:firstColumn="0" w:lastColumn="0" w:noHBand="0" w:noVBand="1"/>
    </w:tblPr>
    <w:tblGrid>
      <w:gridCol w:w="6306"/>
    </w:tblGrid>
    <w:tr w:rsidR="004C284A" w14:paraId="57F42A72" w14:textId="77777777">
      <w:trPr>
        <w:trHeight w:val="345"/>
        <w:jc w:val="center"/>
      </w:trPr>
      <w:tc>
        <w:tcPr>
          <w:tcW w:w="6306" w:type="dxa"/>
          <w:vAlign w:val="center"/>
        </w:tcPr>
        <w:p w14:paraId="76B6A566" w14:textId="77777777" w:rsidR="004C284A" w:rsidRDefault="004C284A">
          <w:pPr>
            <w:jc w:val="center"/>
            <w:rPr>
              <w:i/>
              <w:iCs/>
              <w:sz w:val="18"/>
              <w:szCs w:val="18"/>
            </w:rPr>
          </w:pPr>
        </w:p>
      </w:tc>
    </w:tr>
  </w:tbl>
  <w:p w14:paraId="4D0D42F0" w14:textId="77777777" w:rsidR="004C284A" w:rsidRDefault="004C284A">
    <w:pPr>
      <w:pBdr>
        <w:top w:val="nil"/>
        <w:left w:val="nil"/>
        <w:bottom w:val="nil"/>
        <w:right w:val="nil"/>
        <w:between w:val="nil"/>
      </w:pBdr>
      <w:tabs>
        <w:tab w:val="center" w:pos="4320"/>
        <w:tab w:val="right" w:pos="8640"/>
      </w:tabs>
      <w:rPr>
        <w:rFonts w:ascii="Calibri" w:eastAsia="Calibri" w:hAnsi="Calibri" w:cs="Calibri"/>
        <w:color w:val="000000"/>
        <w:sz w:val="22"/>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8332B42"/>
    <w:multiLevelType w:val="multilevel"/>
    <w:tmpl w:val="28AA54F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52570F96"/>
    <w:multiLevelType w:val="multilevel"/>
    <w:tmpl w:val="35D0E76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1548755081">
    <w:abstractNumId w:val="0"/>
  </w:num>
  <w:num w:numId="2" w16cid:durableId="34852673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C284A"/>
    <w:rsid w:val="00297111"/>
    <w:rsid w:val="004C284A"/>
    <w:rsid w:val="00785121"/>
    <w:rsid w:val="00BF413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07CC0C"/>
  <w15:docId w15:val="{6B0DCBF2-DEB2-4318-8E28-D753EB0E15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es-MX"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bCs/>
      <w:sz w:val="48"/>
      <w:szCs w:val="48"/>
    </w:rPr>
  </w:style>
  <w:style w:type="paragraph" w:styleId="Heading2">
    <w:name w:val="heading 2"/>
    <w:basedOn w:val="Normal"/>
    <w:next w:val="Normal"/>
    <w:uiPriority w:val="9"/>
    <w:semiHidden/>
    <w:unhideWhenUsed/>
    <w:qFormat/>
    <w:pPr>
      <w:keepNext/>
      <w:keepLines/>
      <w:spacing w:before="360" w:after="80"/>
      <w:outlineLvl w:val="1"/>
    </w:pPr>
    <w:rPr>
      <w:b/>
      <w:bCs/>
      <w:sz w:val="36"/>
      <w:szCs w:val="36"/>
    </w:rPr>
  </w:style>
  <w:style w:type="paragraph" w:styleId="Heading3">
    <w:name w:val="heading 3"/>
    <w:basedOn w:val="Normal"/>
    <w:next w:val="Normal"/>
    <w:uiPriority w:val="9"/>
    <w:semiHidden/>
    <w:unhideWhenUsed/>
    <w:qFormat/>
    <w:pPr>
      <w:keepNext/>
      <w:keepLines/>
      <w:spacing w:before="280" w:after="80"/>
      <w:outlineLvl w:val="2"/>
    </w:pPr>
    <w:rPr>
      <w:b/>
      <w:bCs/>
      <w:sz w:val="28"/>
      <w:szCs w:val="28"/>
    </w:rPr>
  </w:style>
  <w:style w:type="paragraph" w:styleId="Heading4">
    <w:name w:val="heading 4"/>
    <w:basedOn w:val="Normal"/>
    <w:next w:val="Normal"/>
    <w:uiPriority w:val="9"/>
    <w:semiHidden/>
    <w:unhideWhenUsed/>
    <w:qFormat/>
    <w:pPr>
      <w:keepNext/>
      <w:keepLines/>
      <w:spacing w:before="240" w:after="40"/>
      <w:outlineLvl w:val="3"/>
    </w:pPr>
    <w:rPr>
      <w:b/>
      <w:bCs/>
    </w:rPr>
  </w:style>
  <w:style w:type="paragraph" w:styleId="Heading5">
    <w:name w:val="heading 5"/>
    <w:basedOn w:val="Normal"/>
    <w:next w:val="Normal"/>
    <w:uiPriority w:val="9"/>
    <w:semiHidden/>
    <w:unhideWhenUsed/>
    <w:qFormat/>
    <w:pPr>
      <w:keepNext/>
      <w:keepLines/>
      <w:spacing w:before="220" w:after="40"/>
      <w:outlineLvl w:val="4"/>
    </w:pPr>
    <w:rPr>
      <w:b/>
      <w:bCs/>
      <w:sz w:val="22"/>
      <w:szCs w:val="22"/>
    </w:rPr>
  </w:style>
  <w:style w:type="paragraph" w:styleId="Heading6">
    <w:name w:val="heading 6"/>
    <w:basedOn w:val="Normal"/>
    <w:next w:val="Normal"/>
    <w:uiPriority w:val="9"/>
    <w:semiHidden/>
    <w:unhideWhenUsed/>
    <w:qFormat/>
    <w:pPr>
      <w:keepNext/>
      <w:keepLines/>
      <w:spacing w:before="200" w:after="40"/>
      <w:outlineLvl w:val="5"/>
    </w:pPr>
    <w:rPr>
      <w:b/>
      <w:b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100" w:type="dxa"/>
        <w:left w:w="100" w:type="dxa"/>
        <w:bottom w:w="100" w:type="dxa"/>
        <w:right w:w="100" w:type="dxa"/>
      </w:tblCellMar>
    </w:tblPr>
  </w:style>
  <w:style w:type="paragraph" w:styleId="Title">
    <w:name w:val="Title"/>
    <w:basedOn w:val="Normal"/>
    <w:next w:val="Normal"/>
    <w:uiPriority w:val="10"/>
    <w:qFormat/>
    <w:pPr>
      <w:keepNext/>
      <w:keepLines/>
      <w:spacing w:before="480" w:after="120"/>
    </w:pPr>
    <w:rPr>
      <w:b/>
      <w:bCs/>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iCs/>
      <w:color w:val="666666"/>
      <w:sz w:val="48"/>
      <w:szCs w:val="48"/>
    </w:rPr>
  </w:style>
  <w:style w:type="table" w:customStyle="1" w:styleId="a">
    <w:basedOn w:val="TableNormal0"/>
    <w:tblPr>
      <w:tblStyleRowBandSize w:val="1"/>
      <w:tblStyleColBandSize w:val="1"/>
      <w:tblCellMar>
        <w:top w:w="0" w:type="dxa"/>
        <w:left w:w="115" w:type="dxa"/>
        <w:bottom w:w="0"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1869</Words>
  <Characters>11553</Characters>
  <Application>Microsoft Office Word</Application>
  <DocSecurity>0</DocSecurity>
  <Lines>202</Lines>
  <Paragraphs>93</Paragraphs>
  <ScaleCrop>false</ScaleCrop>
  <Company/>
  <LinksUpToDate>false</LinksUpToDate>
  <CharactersWithSpaces>13329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David Koonce</cp:lastModifiedBy>
  <cp:revision>2</cp:revision>
  <dcterms:created xsi:type="dcterms:W3CDTF">2026-03-31T15:57:00Z</dcterms:created>
  <dcterms:modified xsi:type="dcterms:W3CDTF">2026-03-31T15:57:00Z</dcterms:modified>
</cp:coreProperties>
</file>