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DC763" w14:textId="7BB0FE63" w:rsidR="0026465A" w:rsidRDefault="0026465A" w:rsidP="002C3731">
      <w:pPr>
        <w:pBdr>
          <w:top w:val="nil"/>
          <w:left w:val="nil"/>
          <w:bottom w:val="nil"/>
          <w:right w:val="nil"/>
          <w:between w:val="nil"/>
        </w:pBdr>
        <w:spacing w:before="120" w:after="120"/>
        <w:jc w:val="center"/>
        <w:rPr>
          <w:rFonts w:ascii="Roboto" w:eastAsia="Roboto" w:hAnsi="Roboto" w:cs="Roboto"/>
          <w:b/>
          <w:color w:val="000000"/>
        </w:rPr>
      </w:pPr>
      <w:r w:rsidRPr="00FC0FE7">
        <w:rPr>
          <w:rFonts w:ascii="Roboto" w:eastAsia="Roboto" w:hAnsi="Roboto" w:cs="Roboto"/>
          <w:b/>
          <w:color w:val="000000"/>
        </w:rPr>
        <w:t xml:space="preserve">Formando </w:t>
      </w:r>
      <w:r w:rsidR="002C3731">
        <w:rPr>
          <w:rFonts w:ascii="Roboto" w:eastAsia="Roboto" w:hAnsi="Roboto" w:cs="Roboto"/>
          <w:b/>
          <w:color w:val="000000"/>
        </w:rPr>
        <w:t>l</w:t>
      </w:r>
      <w:r w:rsidRPr="00FC0FE7">
        <w:rPr>
          <w:rFonts w:ascii="Roboto" w:eastAsia="Roboto" w:hAnsi="Roboto" w:cs="Roboto"/>
          <w:b/>
          <w:color w:val="000000"/>
        </w:rPr>
        <w:t xml:space="preserve">íderes de </w:t>
      </w:r>
      <w:r w:rsidR="002C3731">
        <w:rPr>
          <w:rFonts w:ascii="Roboto" w:eastAsia="Roboto" w:hAnsi="Roboto" w:cs="Roboto"/>
          <w:b/>
          <w:color w:val="000000"/>
        </w:rPr>
        <w:t>a</w:t>
      </w:r>
      <w:r w:rsidRPr="00FC0FE7">
        <w:rPr>
          <w:rFonts w:ascii="Roboto" w:eastAsia="Roboto" w:hAnsi="Roboto" w:cs="Roboto"/>
          <w:b/>
          <w:color w:val="000000"/>
        </w:rPr>
        <w:t xml:space="preserve">cción </w:t>
      </w:r>
      <w:r w:rsidR="002C3731">
        <w:rPr>
          <w:rFonts w:ascii="Roboto" w:eastAsia="Roboto" w:hAnsi="Roboto" w:cs="Roboto"/>
          <w:b/>
          <w:color w:val="000000"/>
        </w:rPr>
        <w:t>c</w:t>
      </w:r>
      <w:r w:rsidRPr="00FC0FE7">
        <w:rPr>
          <w:rFonts w:ascii="Roboto" w:eastAsia="Roboto" w:hAnsi="Roboto" w:cs="Roboto"/>
          <w:b/>
          <w:color w:val="000000"/>
        </w:rPr>
        <w:t xml:space="preserve">limática a través del </w:t>
      </w:r>
      <w:r w:rsidR="002C3731">
        <w:rPr>
          <w:rFonts w:ascii="Roboto" w:eastAsia="Roboto" w:hAnsi="Roboto" w:cs="Roboto"/>
          <w:b/>
          <w:color w:val="000000"/>
        </w:rPr>
        <w:t>p</w:t>
      </w:r>
      <w:r w:rsidRPr="00FC0FE7">
        <w:rPr>
          <w:rFonts w:ascii="Roboto" w:eastAsia="Roboto" w:hAnsi="Roboto" w:cs="Roboto"/>
          <w:b/>
          <w:color w:val="000000"/>
        </w:rPr>
        <w:t xml:space="preserve">lato: </w:t>
      </w:r>
      <w:r>
        <w:rPr>
          <w:rFonts w:ascii="Roboto" w:eastAsia="Roboto" w:hAnsi="Roboto" w:cs="Roboto"/>
          <w:b/>
          <w:color w:val="000000"/>
        </w:rPr>
        <w:t xml:space="preserve">                                                       </w:t>
      </w:r>
      <w:r w:rsidR="001C04FD">
        <w:rPr>
          <w:rFonts w:ascii="Roboto" w:eastAsia="Roboto" w:hAnsi="Roboto" w:cs="Roboto"/>
          <w:b/>
          <w:color w:val="000000"/>
        </w:rPr>
        <w:t xml:space="preserve">    </w:t>
      </w:r>
      <w:r>
        <w:rPr>
          <w:rFonts w:ascii="Roboto" w:eastAsia="Roboto" w:hAnsi="Roboto" w:cs="Roboto"/>
          <w:b/>
          <w:color w:val="000000"/>
        </w:rPr>
        <w:t xml:space="preserve">         </w:t>
      </w:r>
      <w:r w:rsidR="002C3731">
        <w:rPr>
          <w:rFonts w:ascii="Roboto" w:eastAsia="Roboto" w:hAnsi="Roboto" w:cs="Roboto"/>
          <w:b/>
          <w:color w:val="000000"/>
        </w:rPr>
        <w:t xml:space="preserve">   </w:t>
      </w:r>
      <w:r w:rsidRPr="00FC0FE7">
        <w:rPr>
          <w:rFonts w:ascii="Roboto" w:eastAsia="Roboto" w:hAnsi="Roboto" w:cs="Roboto"/>
          <w:b/>
          <w:color w:val="000000"/>
        </w:rPr>
        <w:t>El rol de la RIU en la transición hacia dietas sostenibles.</w:t>
      </w:r>
    </w:p>
    <w:p w14:paraId="64F70C7C" w14:textId="77777777" w:rsidR="0026465A" w:rsidRDefault="0026465A" w:rsidP="0026465A">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Martínez de Velasco-Aguirre Emilio</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 xml:space="preserve"> y Ávila-Castillo Víctor.</w:t>
      </w:r>
      <w:r>
        <w:rPr>
          <w:rFonts w:ascii="Roboto" w:eastAsia="Roboto" w:hAnsi="Roboto" w:cs="Roboto"/>
          <w:b/>
          <w:color w:val="000000"/>
          <w:sz w:val="20"/>
          <w:szCs w:val="20"/>
          <w:vertAlign w:val="superscript"/>
        </w:rPr>
        <w:t>2</w:t>
      </w:r>
    </w:p>
    <w:p w14:paraId="74A6E3FC" w14:textId="77777777" w:rsidR="0026465A" w:rsidRDefault="0026465A" w:rsidP="0026465A">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 xml:space="preserve">1 </w:t>
      </w:r>
      <w:r>
        <w:rPr>
          <w:rFonts w:ascii="Roboto" w:eastAsia="Roboto" w:hAnsi="Roboto" w:cs="Roboto"/>
          <w:color w:val="000000"/>
          <w:sz w:val="18"/>
          <w:szCs w:val="18"/>
        </w:rPr>
        <w:t xml:space="preserve">Director del Laboratorio de Innovación Colaborativa, Universidad Anáhuac Mayab, ORCID: </w:t>
      </w:r>
      <w:r w:rsidRPr="00403832">
        <w:rPr>
          <w:rFonts w:ascii="Roboto" w:eastAsia="Roboto" w:hAnsi="Roboto" w:cs="Roboto"/>
          <w:color w:val="000000"/>
          <w:sz w:val="18"/>
          <w:szCs w:val="18"/>
        </w:rPr>
        <w:t>0009-0007-0601-6248</w:t>
      </w:r>
    </w:p>
    <w:p w14:paraId="41852CD0" w14:textId="10929F94" w:rsidR="0026465A" w:rsidRDefault="0026465A" w:rsidP="0026465A">
      <w:pPr>
        <w:jc w:val="center"/>
        <w:rPr>
          <w:rFonts w:ascii="Roboto" w:eastAsia="Roboto" w:hAnsi="Roboto" w:cs="Roboto"/>
          <w:sz w:val="18"/>
          <w:szCs w:val="18"/>
        </w:rPr>
      </w:pPr>
      <w:r>
        <w:rPr>
          <w:rFonts w:ascii="Roboto" w:eastAsia="Roboto" w:hAnsi="Roboto" w:cs="Roboto"/>
          <w:sz w:val="18"/>
          <w:szCs w:val="18"/>
          <w:vertAlign w:val="superscript"/>
        </w:rPr>
        <w:t xml:space="preserve">2 </w:t>
      </w:r>
      <w:r>
        <w:rPr>
          <w:rFonts w:ascii="Roboto" w:eastAsia="Roboto" w:hAnsi="Roboto" w:cs="Roboto"/>
          <w:sz w:val="18"/>
          <w:szCs w:val="18"/>
        </w:rPr>
        <w:t>Director de Visión Global y Sostenibilidad, Universidad Anáhuac Mayab</w:t>
      </w:r>
      <w:r w:rsidR="00E4131B">
        <w:rPr>
          <w:rFonts w:ascii="Roboto" w:eastAsia="Roboto" w:hAnsi="Roboto" w:cs="Roboto"/>
          <w:sz w:val="18"/>
          <w:szCs w:val="18"/>
        </w:rPr>
        <w:t xml:space="preserve"> </w:t>
      </w:r>
      <w:r w:rsidR="00E4131B">
        <w:rPr>
          <w:rFonts w:ascii="Roboto" w:eastAsia="Roboto" w:hAnsi="Roboto" w:cs="Roboto"/>
          <w:color w:val="000000"/>
          <w:sz w:val="18"/>
          <w:szCs w:val="18"/>
        </w:rPr>
        <w:t xml:space="preserve">ORCID: </w:t>
      </w:r>
      <w:r w:rsidR="00E4131B" w:rsidRPr="00E4131B">
        <w:rPr>
          <w:rFonts w:ascii="Roboto" w:eastAsia="Roboto" w:hAnsi="Roboto" w:cs="Roboto"/>
          <w:sz w:val="18"/>
          <w:szCs w:val="18"/>
        </w:rPr>
        <w:t>0009-0007-6856-9446</w:t>
      </w:r>
    </w:p>
    <w:p w14:paraId="2D15018E" w14:textId="77777777" w:rsidR="0026465A" w:rsidRDefault="0026465A" w:rsidP="0026465A">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emilio.martinezv@anahuac.mx)</w:t>
      </w:r>
    </w:p>
    <w:p w14:paraId="08954AF0" w14:textId="77777777" w:rsidR="0026465A" w:rsidRDefault="0026465A" w:rsidP="0026465A">
      <w:pPr>
        <w:jc w:val="both"/>
        <w:rPr>
          <w:rFonts w:ascii="Roboto" w:eastAsia="Roboto" w:hAnsi="Roboto" w:cs="Roboto"/>
          <w:b/>
          <w:bCs/>
          <w:sz w:val="20"/>
          <w:szCs w:val="20"/>
        </w:rPr>
      </w:pPr>
    </w:p>
    <w:p w14:paraId="7CDA9F1E" w14:textId="77777777" w:rsidR="00E23FDB" w:rsidRDefault="00E23FDB" w:rsidP="0026465A">
      <w:pPr>
        <w:jc w:val="both"/>
        <w:rPr>
          <w:rFonts w:ascii="Roboto" w:eastAsia="Roboto" w:hAnsi="Roboto" w:cs="Roboto"/>
          <w:b/>
          <w:bCs/>
          <w:sz w:val="20"/>
          <w:szCs w:val="20"/>
        </w:rPr>
        <w:sectPr w:rsidR="00E23FDB" w:rsidSect="00E23FDB">
          <w:type w:val="continuous"/>
          <w:pgSz w:w="11906" w:h="16838"/>
          <w:pgMar w:top="1134" w:right="851" w:bottom="1134" w:left="851" w:header="357" w:footer="720" w:gutter="0"/>
          <w:cols w:space="335"/>
          <w:docGrid w:linePitch="326"/>
        </w:sectPr>
      </w:pPr>
    </w:p>
    <w:p w14:paraId="307DAA85" w14:textId="32AF2CCA" w:rsidR="0026465A" w:rsidRPr="0026465A" w:rsidRDefault="0026465A" w:rsidP="0026465A">
      <w:pPr>
        <w:jc w:val="both"/>
        <w:rPr>
          <w:rFonts w:ascii="Roboto" w:eastAsia="Roboto" w:hAnsi="Roboto" w:cs="Roboto"/>
          <w:b/>
          <w:bCs/>
          <w:sz w:val="20"/>
          <w:szCs w:val="20"/>
        </w:rPr>
      </w:pPr>
      <w:r w:rsidRPr="0026465A">
        <w:rPr>
          <w:rFonts w:ascii="Roboto" w:eastAsia="Roboto" w:hAnsi="Roboto" w:cs="Roboto"/>
          <w:b/>
          <w:bCs/>
          <w:sz w:val="20"/>
          <w:szCs w:val="20"/>
        </w:rPr>
        <w:t xml:space="preserve">1. Introducción: El </w:t>
      </w:r>
      <w:r w:rsidR="0096313B">
        <w:rPr>
          <w:rFonts w:ascii="Roboto" w:eastAsia="Roboto" w:hAnsi="Roboto" w:cs="Roboto"/>
          <w:b/>
          <w:bCs/>
          <w:sz w:val="20"/>
          <w:szCs w:val="20"/>
        </w:rPr>
        <w:t>p</w:t>
      </w:r>
      <w:r w:rsidRPr="0026465A">
        <w:rPr>
          <w:rFonts w:ascii="Roboto" w:eastAsia="Roboto" w:hAnsi="Roboto" w:cs="Roboto"/>
          <w:b/>
          <w:bCs/>
          <w:sz w:val="20"/>
          <w:szCs w:val="20"/>
        </w:rPr>
        <w:t xml:space="preserve">lato como </w:t>
      </w:r>
      <w:r w:rsidR="0096313B">
        <w:rPr>
          <w:rFonts w:ascii="Roboto" w:eastAsia="Roboto" w:hAnsi="Roboto" w:cs="Roboto"/>
          <w:b/>
          <w:bCs/>
          <w:sz w:val="20"/>
          <w:szCs w:val="20"/>
        </w:rPr>
        <w:t>e</w:t>
      </w:r>
      <w:r w:rsidRPr="0026465A">
        <w:rPr>
          <w:rFonts w:ascii="Roboto" w:eastAsia="Roboto" w:hAnsi="Roboto" w:cs="Roboto"/>
          <w:b/>
          <w:bCs/>
          <w:sz w:val="20"/>
          <w:szCs w:val="20"/>
        </w:rPr>
        <w:t xml:space="preserve">je de la </w:t>
      </w:r>
      <w:r w:rsidR="008E09CA">
        <w:rPr>
          <w:rFonts w:ascii="Roboto" w:eastAsia="Roboto" w:hAnsi="Roboto" w:cs="Roboto"/>
          <w:b/>
          <w:bCs/>
          <w:sz w:val="20"/>
          <w:szCs w:val="20"/>
        </w:rPr>
        <w:t>e</w:t>
      </w:r>
      <w:r w:rsidRPr="0026465A">
        <w:rPr>
          <w:rFonts w:ascii="Roboto" w:eastAsia="Roboto" w:hAnsi="Roboto" w:cs="Roboto"/>
          <w:b/>
          <w:bCs/>
          <w:sz w:val="20"/>
          <w:szCs w:val="20"/>
        </w:rPr>
        <w:t xml:space="preserve">cología </w:t>
      </w:r>
      <w:r w:rsidR="008E09CA">
        <w:rPr>
          <w:rFonts w:ascii="Roboto" w:eastAsia="Roboto" w:hAnsi="Roboto" w:cs="Roboto"/>
          <w:b/>
          <w:bCs/>
          <w:sz w:val="20"/>
          <w:szCs w:val="20"/>
        </w:rPr>
        <w:t>i</w:t>
      </w:r>
      <w:r w:rsidRPr="0026465A">
        <w:rPr>
          <w:rFonts w:ascii="Roboto" w:eastAsia="Roboto" w:hAnsi="Roboto" w:cs="Roboto"/>
          <w:b/>
          <w:bCs/>
          <w:sz w:val="20"/>
          <w:szCs w:val="20"/>
        </w:rPr>
        <w:t>ntegral</w:t>
      </w:r>
    </w:p>
    <w:p w14:paraId="49310F54" w14:textId="6B0CD18B" w:rsidR="00C83895" w:rsidRDefault="00C83895" w:rsidP="0026465A">
      <w:pPr>
        <w:spacing w:before="120"/>
        <w:jc w:val="both"/>
        <w:rPr>
          <w:rFonts w:ascii="Roboto" w:eastAsia="Roboto" w:hAnsi="Roboto" w:cs="Roboto"/>
          <w:sz w:val="20"/>
          <w:szCs w:val="20"/>
        </w:rPr>
      </w:pPr>
      <w:r w:rsidRPr="00C83895">
        <w:rPr>
          <w:rFonts w:ascii="Roboto" w:eastAsia="Roboto" w:hAnsi="Roboto" w:cs="Roboto"/>
          <w:sz w:val="20"/>
          <w:szCs w:val="20"/>
        </w:rPr>
        <w:t>La transición hacia sistemas alimentarios sostenibles es una urgencia crítica ante la vulneración de siete de los nueve límites planetarios</w:t>
      </w:r>
      <w:r w:rsidR="00335C83">
        <w:rPr>
          <w:rFonts w:ascii="Roboto" w:eastAsia="Roboto" w:hAnsi="Roboto" w:cs="Roboto"/>
          <w:sz w:val="20"/>
          <w:szCs w:val="20"/>
        </w:rPr>
        <w:t xml:space="preserve"> </w:t>
      </w:r>
      <w:sdt>
        <w:sdtPr>
          <w:rPr>
            <w:rFonts w:ascii="Roboto" w:eastAsia="Roboto" w:hAnsi="Roboto" w:cs="Roboto"/>
            <w:color w:val="000000"/>
            <w:sz w:val="20"/>
            <w:szCs w:val="20"/>
            <w:highlight w:val="white"/>
          </w:rPr>
          <w:alias w:val="Citation"/>
          <w:tag w:val="{&quot;referencesIds&quot;:[&quot;doc:69777bf82ea0b31b61fcd4d0&quot;,&quot;doc:69777a62d8d585793fac1116&quot;,&quot;doc:69777984a097695403e9091d&quot;,&quot;doc:69665ac8c116df5d010b9e91&quot;],&quot;referencesOptions&quot;:{&quot;doc:69777bf82ea0b31b61fcd4d0&quot;:{&quot;author&quot;:true,&quot;year&quot;:true,&quot;formatAuthorYear&quot;:false,&quot;additionalField&quot;:&quot;Page&quot;,&quot;additionalValue&quot;:&quot;&quot;,&quot;prefix&quot;:&quot;&quot;,&quot;suffix&quot;:&quot;&quot;},&quot;doc:69777a62d8d585793fac1116&quot;:{&quot;author&quot;:true,&quot;year&quot;:true,&quot;formatAuthorYear&quot;:false,&quot;additionalField&quot;:&quot;Page&quot;,&quot;additionalValue&quot;:&quot;&quot;,&quot;prefix&quot;:&quot;&quot;,&quot;suffix&quot;:&quot;&quot;},&quot;doc:69777984a097695403e9091d&quot;:{&quot;author&quot;:true,&quot;year&quot;:true,&quot;formatAuthorYear&quot;:false,&quot;additionalField&quot;:&quot;Page&quot;,&quot;additionalValue&quot;:&quot;&quot;,&quot;prefix&quot;:&quot;&quot;,&quot;suffix&quot;:&quot;&quot;},&quot;doc:69665ac8c116df5d010b9e91&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1434866078,&quot;citationText&quot;:&quot;&lt;span style=\&quot;font-family:Roboto;font-size:13.333333333333332px;color:#000000\&quot;&gt;(Richardson et al., 2023; Rockström et al., 2025; Tilman &amp;amp; Clark, 2014; Zhang et al., 2024)&lt;/span&gt;&quot;}"/>
          <w:id w:val="-710886182"/>
          <w:placeholder>
            <w:docPart w:val="58BE028216164FDFBA55D15C2B76660B"/>
          </w:placeholder>
        </w:sdtPr>
        <w:sdtContent>
          <w:r w:rsidR="00EC7AB0">
            <w:rPr>
              <w:rFonts w:ascii="Roboto" w:hAnsi="Roboto"/>
              <w:color w:val="000000"/>
              <w:sz w:val="20"/>
              <w:szCs w:val="20"/>
            </w:rPr>
            <w:t>(Richardson et al., 2023; Rockström et al., 2025; Tilman &amp; Clark, 2014; Zhang et al., 2024)</w:t>
          </w:r>
        </w:sdtContent>
      </w:sdt>
      <w:r w:rsidRPr="00C83895">
        <w:rPr>
          <w:rFonts w:ascii="Roboto" w:eastAsia="Roboto" w:hAnsi="Roboto" w:cs="Roboto"/>
          <w:sz w:val="20"/>
          <w:szCs w:val="20"/>
        </w:rPr>
        <w:t xml:space="preserve"> Las universidades son escenarios estratégicos para liderar este cambio debido a su impacto dual. Operativamente, actúan como "pequeñas ciudades" cuya escala masiva —con millones de servicios alimentarios al año— genera una huella ambiental profunda que puede mitigarse mediante compras basadas en valores y gestión de residuos. Formativamente, representan una "ventana de intervención" decisiva: es el periodo donde los jóvenes consolidan hábitos de salud y sostenibilidad que perduran en la adultez</w:t>
      </w:r>
      <w:r w:rsidR="003F30EA">
        <w:rPr>
          <w:rFonts w:ascii="Roboto" w:eastAsia="Roboto" w:hAnsi="Roboto" w:cs="Roboto"/>
          <w:sz w:val="20"/>
          <w:szCs w:val="20"/>
        </w:rPr>
        <w:t xml:space="preserve"> </w:t>
      </w:r>
      <w:sdt>
        <w:sdtPr>
          <w:rPr>
            <w:rFonts w:ascii="Roboto" w:eastAsia="Roboto" w:hAnsi="Roboto" w:cs="Roboto"/>
            <w:color w:val="000000"/>
            <w:sz w:val="20"/>
            <w:szCs w:val="20"/>
            <w:highlight w:val="white"/>
          </w:rPr>
          <w:alias w:val="Citation"/>
          <w:tag w:val="{&quot;referencesIds&quot;:[&quot;doc:696654bb6a95d85c15cdfd4f&quot;,&quot;doc:697a21816015d4689df25305&quot;,&quot;doc:697b6dc6182e34539ffcdf48&quot;],&quot;referencesOptions&quot;:{&quot;doc:696654bb6a95d85c15cdfd4f&quot;:{&quot;author&quot;:true,&quot;year&quot;:true,&quot;formatAuthorYear&quot;:false,&quot;additionalField&quot;:&quot;Page&quot;,&quot;additionalValue&quot;:&quot;&quot;,&quot;prefix&quot;:&quot;&quot;,&quot;suffix&quot;:&quot;&quot;},&quot;doc:697a21816015d4689df25305&quot;:{&quot;author&quot;:true,&quot;year&quot;:true,&quot;formatAuthorYear&quot;:false,&quot;additionalField&quot;:&quot;Page&quot;,&quot;additionalValue&quot;:&quot;&quot;,&quot;prefix&quot;:&quot;&quot;,&quot;suffix&quot;:&quot;&quot;},&quot;doc:697b6dc6182e34539ffcdf48&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1857261438,&quot;citationText&quot;:&quot;&lt;span style=\&quot;font-family:Roboto;font-size:13.333333333333332px;color:#000000\&quot;&gt;(Aguirre Sánchez et al., 2021; Jurado-Gonzalez et al., 2025; Kratzer et al., 2025a)&lt;/span&gt;&quot;}"/>
          <w:id w:val="780696017"/>
          <w:placeholder>
            <w:docPart w:val="04978DA0F39142BF909401460C64ED30"/>
          </w:placeholder>
        </w:sdtPr>
        <w:sdtContent>
          <w:r w:rsidR="00EC7AB0">
            <w:rPr>
              <w:rFonts w:ascii="Roboto" w:hAnsi="Roboto"/>
              <w:color w:val="000000"/>
              <w:sz w:val="20"/>
              <w:szCs w:val="20"/>
            </w:rPr>
            <w:t>(Aguirre Sánchez et al., 2021; Jurado-Gonzalez et al., 2025; Kratzer et al., 2025)</w:t>
          </w:r>
        </w:sdtContent>
      </w:sdt>
      <w:r w:rsidRPr="00C83895">
        <w:rPr>
          <w:rFonts w:ascii="Roboto" w:eastAsia="Roboto" w:hAnsi="Roboto" w:cs="Roboto"/>
          <w:sz w:val="20"/>
          <w:szCs w:val="20"/>
        </w:rPr>
        <w:t xml:space="preserve">. Para la Red Internacional de Universidades Regnum Christi (RIU), integrar la sostenibilidad alimentaria en la gobernanza no es solo una meta técnica, sino un compromiso con la </w:t>
      </w:r>
      <w:r w:rsidR="00A02F44">
        <w:rPr>
          <w:rFonts w:ascii="Roboto" w:eastAsia="Roboto" w:hAnsi="Roboto" w:cs="Roboto"/>
          <w:sz w:val="20"/>
          <w:szCs w:val="20"/>
        </w:rPr>
        <w:t>e</w:t>
      </w:r>
      <w:r w:rsidRPr="00C83895">
        <w:rPr>
          <w:rFonts w:ascii="Roboto" w:eastAsia="Roboto" w:hAnsi="Roboto" w:cs="Roboto"/>
          <w:sz w:val="20"/>
          <w:szCs w:val="20"/>
        </w:rPr>
        <w:t xml:space="preserve">cología </w:t>
      </w:r>
      <w:r w:rsidR="00A02F44">
        <w:rPr>
          <w:rFonts w:ascii="Roboto" w:eastAsia="Roboto" w:hAnsi="Roboto" w:cs="Roboto"/>
          <w:sz w:val="20"/>
          <w:szCs w:val="20"/>
        </w:rPr>
        <w:t>i</w:t>
      </w:r>
      <w:r w:rsidRPr="00C83895">
        <w:rPr>
          <w:rFonts w:ascii="Roboto" w:eastAsia="Roboto" w:hAnsi="Roboto" w:cs="Roboto"/>
          <w:sz w:val="20"/>
          <w:szCs w:val="20"/>
        </w:rPr>
        <w:t>ntegral</w:t>
      </w:r>
      <w:r w:rsidR="00A02F44">
        <w:rPr>
          <w:rFonts w:ascii="Roboto" w:eastAsia="Roboto" w:hAnsi="Roboto" w:cs="Roboto"/>
          <w:sz w:val="20"/>
          <w:szCs w:val="20"/>
        </w:rPr>
        <w:t xml:space="preserve"> </w:t>
      </w:r>
      <w:sdt>
        <w:sdtPr>
          <w:rPr>
            <w:rFonts w:ascii="Roboto" w:eastAsia="Roboto" w:hAnsi="Roboto" w:cs="Roboto"/>
            <w:color w:val="000000"/>
            <w:sz w:val="20"/>
            <w:szCs w:val="20"/>
            <w:highlight w:val="white"/>
          </w:rPr>
          <w:alias w:val="Citation"/>
          <w:tag w:val="{&quot;referencesIds&quot;:[&quot;doc:6a0b20ed6be6455b53225e34&quot;],&quot;referencesOptions&quot;:{&quot;doc:6a0b20ed6be6455b53225e34&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
          <w:id w:val="-1661766823"/>
          <w:placeholder>
            <w:docPart w:val="A03DF808A2484BE0A8FE496D16BBAAAC"/>
          </w:placeholder>
        </w:sdtPr>
        <w:sdtContent>
          <w:r w:rsidR="00EC7AB0">
            <w:rPr>
              <w:rFonts w:ascii="Roboto" w:hAnsi="Roboto"/>
              <w:color w:val="000000"/>
              <w:sz w:val="20"/>
              <w:szCs w:val="20"/>
            </w:rPr>
            <w:t>(Francisco, 2016)</w:t>
          </w:r>
        </w:sdtContent>
      </w:sdt>
      <w:r w:rsidRPr="00C83895">
        <w:rPr>
          <w:rFonts w:ascii="Roboto" w:eastAsia="Roboto" w:hAnsi="Roboto" w:cs="Roboto"/>
          <w:sz w:val="20"/>
          <w:szCs w:val="20"/>
        </w:rPr>
        <w:t xml:space="preserve">, transformando el campus en un </w:t>
      </w:r>
      <w:r w:rsidR="00A636DE">
        <w:rPr>
          <w:rFonts w:ascii="Roboto" w:eastAsia="Roboto" w:hAnsi="Roboto" w:cs="Roboto"/>
          <w:sz w:val="20"/>
          <w:szCs w:val="20"/>
        </w:rPr>
        <w:t>“</w:t>
      </w:r>
      <w:r w:rsidRPr="00C83895">
        <w:rPr>
          <w:rFonts w:ascii="Roboto" w:eastAsia="Roboto" w:hAnsi="Roboto" w:cs="Roboto"/>
          <w:sz w:val="20"/>
          <w:szCs w:val="20"/>
        </w:rPr>
        <w:t>laboratorio vivo</w:t>
      </w:r>
      <w:r w:rsidR="00A636DE">
        <w:rPr>
          <w:rFonts w:ascii="Roboto" w:eastAsia="Roboto" w:hAnsi="Roboto" w:cs="Roboto"/>
          <w:sz w:val="20"/>
          <w:szCs w:val="20"/>
        </w:rPr>
        <w:t>”</w:t>
      </w:r>
      <w:r w:rsidRPr="00C83895">
        <w:rPr>
          <w:rFonts w:ascii="Roboto" w:eastAsia="Roboto" w:hAnsi="Roboto" w:cs="Roboto"/>
          <w:sz w:val="20"/>
          <w:szCs w:val="20"/>
        </w:rPr>
        <w:t xml:space="preserve"> para formar líderes de acción climática.</w:t>
      </w:r>
    </w:p>
    <w:p w14:paraId="140D4C00" w14:textId="3CD45064" w:rsidR="0026465A" w:rsidRDefault="00C96A6A" w:rsidP="00C96A6A">
      <w:pPr>
        <w:spacing w:before="120"/>
        <w:jc w:val="both"/>
        <w:rPr>
          <w:rFonts w:ascii="Roboto" w:eastAsia="Roboto" w:hAnsi="Roboto" w:cs="Roboto"/>
          <w:sz w:val="20"/>
          <w:szCs w:val="20"/>
        </w:rPr>
      </w:pPr>
      <w:r>
        <w:rPr>
          <w:rFonts w:ascii="Roboto" w:eastAsia="Roboto" w:hAnsi="Roboto" w:cs="Roboto"/>
          <w:sz w:val="20"/>
          <w:szCs w:val="20"/>
        </w:rPr>
        <w:t xml:space="preserve">El presente trabajo responde la siguiente </w:t>
      </w:r>
      <w:r w:rsidRPr="00C96A6A">
        <w:rPr>
          <w:rFonts w:ascii="Roboto" w:eastAsia="Roboto" w:hAnsi="Roboto" w:cs="Roboto"/>
          <w:sz w:val="20"/>
          <w:szCs w:val="20"/>
        </w:rPr>
        <w:t xml:space="preserve">pregunta de investigación: </w:t>
      </w:r>
      <w:r w:rsidRPr="00500E33">
        <w:rPr>
          <w:rFonts w:ascii="Roboto" w:eastAsia="Roboto" w:hAnsi="Roboto" w:cs="Roboto"/>
          <w:sz w:val="20"/>
          <w:szCs w:val="20"/>
        </w:rPr>
        <w:t>¿De qué manera las las instituciones de la Red Internacional de Universidades del Regnum Christi (RIU) están integrando la sostenibilidad alimentaria en su gobernanza institucional?</w:t>
      </w:r>
      <w:r>
        <w:rPr>
          <w:rFonts w:ascii="Roboto" w:eastAsia="Roboto" w:hAnsi="Roboto" w:cs="Roboto"/>
          <w:sz w:val="20"/>
          <w:szCs w:val="20"/>
        </w:rPr>
        <w:t xml:space="preserve"> </w:t>
      </w:r>
      <w:r w:rsidRPr="00DC175E">
        <w:rPr>
          <w:rFonts w:ascii="Roboto" w:eastAsia="Roboto" w:hAnsi="Roboto" w:cs="Roboto"/>
          <w:sz w:val="20"/>
          <w:szCs w:val="20"/>
        </w:rPr>
        <w:t xml:space="preserve">La investigación examina cómo estas universidades incorporan la alimentación dentro de sus documentos normativos y planes estratégicos, identificando las acciones prioritarias desarrolladas para mitigar el impacto ambiental de sus servicios de alimentación </w:t>
      </w:r>
      <w:r w:rsidRPr="00DC175E">
        <w:rPr>
          <w:rFonts w:ascii="Roboto" w:eastAsia="Roboto" w:hAnsi="Roboto" w:cs="Roboto"/>
          <w:color w:val="000000" w:themeColor="text1"/>
          <w:sz w:val="20"/>
          <w:szCs w:val="20"/>
        </w:rPr>
        <w:t>y</w:t>
      </w:r>
      <w:r w:rsidRPr="00DC175E">
        <w:rPr>
          <w:rFonts w:ascii="Roboto" w:eastAsia="Roboto" w:hAnsi="Roboto" w:cs="Roboto"/>
          <w:sz w:val="20"/>
          <w:szCs w:val="20"/>
        </w:rPr>
        <w:t xml:space="preserve"> las intervenciones orientadas a fomentar la transición hacia dietas sostenibles en sus comunidades universitarias.</w:t>
      </w:r>
    </w:p>
    <w:p w14:paraId="46BF9C6A" w14:textId="77777777" w:rsidR="00C96A6A" w:rsidRDefault="00C96A6A" w:rsidP="00C96A6A">
      <w:pPr>
        <w:jc w:val="both"/>
        <w:rPr>
          <w:rFonts w:ascii="Roboto" w:eastAsia="Roboto" w:hAnsi="Roboto" w:cs="Roboto"/>
          <w:b/>
          <w:bCs/>
          <w:sz w:val="20"/>
          <w:szCs w:val="20"/>
        </w:rPr>
      </w:pPr>
    </w:p>
    <w:p w14:paraId="7653E58B" w14:textId="72D2978F" w:rsidR="0026465A" w:rsidRPr="0026465A" w:rsidRDefault="0026465A" w:rsidP="0026465A">
      <w:pPr>
        <w:jc w:val="both"/>
        <w:rPr>
          <w:rFonts w:ascii="Roboto" w:eastAsia="Roboto" w:hAnsi="Roboto" w:cs="Roboto"/>
          <w:b/>
          <w:bCs/>
          <w:sz w:val="20"/>
          <w:szCs w:val="20"/>
        </w:rPr>
      </w:pPr>
      <w:r w:rsidRPr="0026465A">
        <w:rPr>
          <w:rFonts w:ascii="Roboto" w:eastAsia="Roboto" w:hAnsi="Roboto" w:cs="Roboto"/>
          <w:b/>
          <w:bCs/>
          <w:sz w:val="20"/>
          <w:szCs w:val="20"/>
        </w:rPr>
        <w:t>2. Metodología</w:t>
      </w:r>
    </w:p>
    <w:p w14:paraId="0474B77F" w14:textId="1EEFCEA4" w:rsidR="00983235" w:rsidRDefault="00983235" w:rsidP="00983235">
      <w:pPr>
        <w:spacing w:before="120"/>
        <w:jc w:val="both"/>
        <w:rPr>
          <w:rFonts w:ascii="Roboto" w:eastAsia="Roboto" w:hAnsi="Roboto" w:cs="Roboto"/>
          <w:sz w:val="20"/>
          <w:szCs w:val="20"/>
        </w:rPr>
      </w:pPr>
      <w:r w:rsidRPr="00983235">
        <w:rPr>
          <w:rFonts w:ascii="Roboto" w:eastAsia="Roboto" w:hAnsi="Roboto" w:cs="Roboto"/>
          <w:sz w:val="20"/>
          <w:szCs w:val="20"/>
        </w:rPr>
        <w:t>La investigación empleó un análisis documental cualitativo centrado en 11 universidades de la Red: ocho sedes en México</w:t>
      </w:r>
      <w:r>
        <w:rPr>
          <w:rFonts w:ascii="Roboto" w:eastAsia="Roboto" w:hAnsi="Roboto" w:cs="Roboto"/>
          <w:sz w:val="20"/>
          <w:szCs w:val="20"/>
        </w:rPr>
        <w:t xml:space="preserve"> </w:t>
      </w:r>
      <w:r w:rsidRPr="00983235">
        <w:rPr>
          <w:rFonts w:ascii="Roboto" w:eastAsia="Roboto" w:hAnsi="Roboto" w:cs="Roboto"/>
          <w:sz w:val="20"/>
          <w:szCs w:val="20"/>
        </w:rPr>
        <w:t>(</w:t>
      </w:r>
      <w:r w:rsidRPr="006D02AF">
        <w:rPr>
          <w:rFonts w:ascii="Roboto" w:eastAsia="Roboto" w:hAnsi="Roboto" w:cs="Roboto"/>
          <w:sz w:val="20"/>
          <w:szCs w:val="20"/>
        </w:rPr>
        <w:t>Anáhuac México, Mayab, Cancún, Oaxaca, Puebla, Querétaro, Veracruz e IEST Anáhuac</w:t>
      </w:r>
      <w:r w:rsidRPr="00983235">
        <w:rPr>
          <w:rFonts w:ascii="Roboto" w:eastAsia="Roboto" w:hAnsi="Roboto" w:cs="Roboto"/>
          <w:sz w:val="20"/>
          <w:szCs w:val="20"/>
        </w:rPr>
        <w:t>) y tres internacionales en Chile (U. Finis Terrae), España (U. Francisco de Vitoria) e Italia (U. Europea di Roma). La estrategia se ejecutó en tres fases secuenciales:</w:t>
      </w:r>
    </w:p>
    <w:p w14:paraId="0CB02801" w14:textId="2F38AF64" w:rsidR="00983235" w:rsidRPr="00983235" w:rsidRDefault="00983235" w:rsidP="00983235">
      <w:pPr>
        <w:numPr>
          <w:ilvl w:val="0"/>
          <w:numId w:val="15"/>
        </w:numPr>
        <w:tabs>
          <w:tab w:val="num" w:pos="720"/>
        </w:tabs>
        <w:spacing w:before="120"/>
        <w:jc w:val="both"/>
        <w:rPr>
          <w:rFonts w:ascii="Roboto" w:eastAsia="Roboto" w:hAnsi="Roboto" w:cs="Roboto"/>
          <w:b/>
          <w:bCs/>
          <w:sz w:val="20"/>
          <w:szCs w:val="20"/>
        </w:rPr>
      </w:pPr>
      <w:r w:rsidRPr="00983235">
        <w:rPr>
          <w:rFonts w:ascii="Roboto" w:eastAsia="Roboto" w:hAnsi="Roboto" w:cs="Roboto"/>
          <w:b/>
          <w:bCs/>
          <w:sz w:val="20"/>
          <w:szCs w:val="20"/>
        </w:rPr>
        <w:t>Configuración del Corpus:</w:t>
      </w:r>
      <w:r w:rsidRPr="00983235">
        <w:rPr>
          <w:rFonts w:ascii="Roboto" w:eastAsia="Roboto" w:hAnsi="Roboto" w:cs="Roboto"/>
          <w:sz w:val="20"/>
          <w:szCs w:val="20"/>
        </w:rPr>
        <w:t xml:space="preserve"> Recopilación de pilares normativos, incluyendo Estatutos, el Modelo Educativo Anáhuac 2025, Planes Estratégicos</w:t>
      </w:r>
      <w:r>
        <w:rPr>
          <w:rFonts w:ascii="Roboto" w:eastAsia="Roboto" w:hAnsi="Roboto" w:cs="Roboto"/>
          <w:sz w:val="20"/>
          <w:szCs w:val="20"/>
        </w:rPr>
        <w:t>, Informes Anuales</w:t>
      </w:r>
      <w:r w:rsidRPr="00983235">
        <w:rPr>
          <w:rFonts w:ascii="Roboto" w:eastAsia="Roboto" w:hAnsi="Roboto" w:cs="Roboto"/>
          <w:sz w:val="20"/>
          <w:szCs w:val="20"/>
        </w:rPr>
        <w:t xml:space="preserve"> y </w:t>
      </w:r>
      <w:r>
        <w:rPr>
          <w:rFonts w:ascii="Roboto" w:eastAsia="Roboto" w:hAnsi="Roboto" w:cs="Roboto"/>
          <w:sz w:val="20"/>
          <w:szCs w:val="20"/>
        </w:rPr>
        <w:t>Reportes</w:t>
      </w:r>
      <w:r w:rsidRPr="00983235">
        <w:rPr>
          <w:rFonts w:ascii="Roboto" w:eastAsia="Roboto" w:hAnsi="Roboto" w:cs="Roboto"/>
          <w:sz w:val="20"/>
          <w:szCs w:val="20"/>
        </w:rPr>
        <w:t xml:space="preserve"> de Sostenibilidad</w:t>
      </w:r>
      <w:r>
        <w:rPr>
          <w:rFonts w:ascii="Roboto" w:eastAsia="Roboto" w:hAnsi="Roboto" w:cs="Roboto"/>
          <w:sz w:val="20"/>
          <w:szCs w:val="20"/>
        </w:rPr>
        <w:t xml:space="preserve"> </w:t>
      </w:r>
      <w:r w:rsidRPr="006D02AF">
        <w:rPr>
          <w:rFonts w:ascii="Roboto" w:eastAsia="Roboto" w:hAnsi="Roboto" w:cs="Roboto"/>
          <w:sz w:val="20"/>
          <w:szCs w:val="20"/>
        </w:rPr>
        <w:t>o Informes de Responsabilidad Social Universitaria (RSU)</w:t>
      </w:r>
      <w:r w:rsidRPr="00983235">
        <w:rPr>
          <w:rFonts w:ascii="Roboto" w:eastAsia="Roboto" w:hAnsi="Roboto" w:cs="Roboto"/>
          <w:sz w:val="20"/>
          <w:szCs w:val="20"/>
        </w:rPr>
        <w:t>.</w:t>
      </w:r>
    </w:p>
    <w:p w14:paraId="5CFB6FED" w14:textId="62AC511A" w:rsidR="00983235" w:rsidRPr="00983235" w:rsidRDefault="00983235" w:rsidP="00983235">
      <w:pPr>
        <w:numPr>
          <w:ilvl w:val="0"/>
          <w:numId w:val="15"/>
        </w:numPr>
        <w:tabs>
          <w:tab w:val="num" w:pos="720"/>
        </w:tabs>
        <w:spacing w:before="120"/>
        <w:jc w:val="both"/>
        <w:rPr>
          <w:rFonts w:ascii="Roboto" w:eastAsia="Roboto" w:hAnsi="Roboto" w:cs="Roboto"/>
          <w:b/>
          <w:bCs/>
          <w:sz w:val="20"/>
          <w:szCs w:val="20"/>
        </w:rPr>
      </w:pPr>
      <w:r w:rsidRPr="00983235">
        <w:rPr>
          <w:rFonts w:ascii="Roboto" w:eastAsia="Roboto" w:hAnsi="Roboto" w:cs="Roboto"/>
          <w:b/>
          <w:bCs/>
          <w:sz w:val="20"/>
          <w:szCs w:val="20"/>
        </w:rPr>
        <w:t>Prospección Tecnológica:</w:t>
      </w:r>
      <w:r w:rsidRPr="00983235">
        <w:rPr>
          <w:rFonts w:ascii="Roboto" w:eastAsia="Roboto" w:hAnsi="Roboto" w:cs="Roboto"/>
          <w:sz w:val="20"/>
          <w:szCs w:val="20"/>
        </w:rPr>
        <w:t xml:space="preserve"> Uso de procesamiento de lenguaje natural (Gemini Pro, ChatGPT y Perplexity) para la localización profunda de términos </w:t>
      </w:r>
      <w:r w:rsidR="002A7937">
        <w:rPr>
          <w:rFonts w:ascii="Roboto" w:eastAsia="Roboto" w:hAnsi="Roboto" w:cs="Roboto"/>
          <w:sz w:val="20"/>
          <w:szCs w:val="20"/>
        </w:rPr>
        <w:t>como</w:t>
      </w:r>
      <w:r w:rsidRPr="00983235">
        <w:rPr>
          <w:rFonts w:ascii="Roboto" w:eastAsia="Roboto" w:hAnsi="Roboto" w:cs="Roboto"/>
          <w:sz w:val="20"/>
          <w:szCs w:val="20"/>
        </w:rPr>
        <w:t xml:space="preserve"> "sostenibilidad alimentaria" en portales institucionales.</w:t>
      </w:r>
    </w:p>
    <w:p w14:paraId="3501AE77" w14:textId="638000E9" w:rsidR="00983235" w:rsidRPr="00983235" w:rsidRDefault="00983235" w:rsidP="00983235">
      <w:pPr>
        <w:numPr>
          <w:ilvl w:val="0"/>
          <w:numId w:val="15"/>
        </w:numPr>
        <w:tabs>
          <w:tab w:val="num" w:pos="720"/>
        </w:tabs>
        <w:spacing w:before="120"/>
        <w:jc w:val="both"/>
        <w:rPr>
          <w:rFonts w:ascii="Roboto" w:eastAsia="Roboto" w:hAnsi="Roboto" w:cs="Roboto"/>
          <w:b/>
          <w:bCs/>
          <w:sz w:val="20"/>
          <w:szCs w:val="20"/>
        </w:rPr>
      </w:pPr>
      <w:r w:rsidRPr="00983235">
        <w:rPr>
          <w:rFonts w:ascii="Roboto" w:eastAsia="Roboto" w:hAnsi="Roboto" w:cs="Roboto"/>
          <w:b/>
          <w:bCs/>
          <w:sz w:val="20"/>
          <w:szCs w:val="20"/>
        </w:rPr>
        <w:t>Triangulación y Validación:</w:t>
      </w:r>
      <w:r w:rsidRPr="00983235">
        <w:rPr>
          <w:rFonts w:ascii="Roboto" w:eastAsia="Roboto" w:hAnsi="Roboto" w:cs="Roboto"/>
          <w:sz w:val="20"/>
          <w:szCs w:val="20"/>
        </w:rPr>
        <w:t xml:space="preserve"> Verificación manual de los hallazgos mediante consulta directa a fuentes originales y contraste con reportes de redes externas, como la Red Campus Sustentable </w:t>
      </w:r>
      <w:r w:rsidR="002A7937">
        <w:rPr>
          <w:rFonts w:ascii="Roboto" w:eastAsia="Roboto" w:hAnsi="Roboto" w:cs="Roboto"/>
          <w:sz w:val="20"/>
          <w:szCs w:val="20"/>
        </w:rPr>
        <w:t>en Chile,</w:t>
      </w:r>
      <w:r w:rsidRPr="00983235">
        <w:rPr>
          <w:rFonts w:ascii="Roboto" w:eastAsia="Roboto" w:hAnsi="Roboto" w:cs="Roboto"/>
          <w:sz w:val="20"/>
          <w:szCs w:val="20"/>
        </w:rPr>
        <w:t xml:space="preserve"> garantizando el respaldo oficial de cada dato.</w:t>
      </w:r>
    </w:p>
    <w:p w14:paraId="6FD4EB0E" w14:textId="7F95DA1C" w:rsidR="00983235" w:rsidRDefault="001F2304" w:rsidP="001F2304">
      <w:pPr>
        <w:spacing w:before="120"/>
        <w:jc w:val="both"/>
        <w:rPr>
          <w:rFonts w:ascii="Roboto" w:eastAsia="Roboto" w:hAnsi="Roboto" w:cs="Roboto"/>
          <w:sz w:val="20"/>
          <w:szCs w:val="20"/>
        </w:rPr>
      </w:pPr>
      <w:r w:rsidRPr="001F2304">
        <w:rPr>
          <w:rFonts w:ascii="Roboto" w:eastAsia="Roboto" w:hAnsi="Roboto" w:cs="Roboto"/>
          <w:sz w:val="20"/>
          <w:szCs w:val="20"/>
        </w:rPr>
        <w:t>El estudio presenta dos limitantes principales: 1) la posible exclusión de documentos internos o actualizaciones recientes no indexadas, pese al uso de herramientas de prospección tecnológica avanzada; y 2) la existencia de acciones tácticas locales (como acuerdos con proveedores regionales) que, al no estar formalizadas en la normativa o reportes públicos analizados, no pudieron ser capturadas en este análisis.</w:t>
      </w:r>
    </w:p>
    <w:p w14:paraId="64C8BE8B" w14:textId="77777777" w:rsidR="001F2304" w:rsidRDefault="001F2304" w:rsidP="006D02AF">
      <w:pPr>
        <w:jc w:val="both"/>
        <w:rPr>
          <w:rFonts w:ascii="Roboto" w:eastAsia="Roboto" w:hAnsi="Roboto" w:cs="Roboto"/>
          <w:sz w:val="20"/>
          <w:szCs w:val="20"/>
        </w:rPr>
      </w:pPr>
    </w:p>
    <w:p w14:paraId="6FFB9187" w14:textId="6B146ED0" w:rsidR="0096313B" w:rsidRPr="0096313B" w:rsidRDefault="0096313B" w:rsidP="0096313B">
      <w:pPr>
        <w:jc w:val="both"/>
        <w:rPr>
          <w:rFonts w:ascii="Roboto" w:eastAsia="Roboto" w:hAnsi="Roboto" w:cs="Roboto"/>
          <w:b/>
          <w:bCs/>
          <w:sz w:val="20"/>
          <w:szCs w:val="20"/>
        </w:rPr>
      </w:pPr>
      <w:r w:rsidRPr="0096313B">
        <w:rPr>
          <w:rFonts w:ascii="Roboto" w:eastAsia="Roboto" w:hAnsi="Roboto" w:cs="Roboto"/>
          <w:b/>
          <w:bCs/>
          <w:sz w:val="20"/>
          <w:szCs w:val="20"/>
        </w:rPr>
        <w:t xml:space="preserve">3. Resultados: Disparidad en la </w:t>
      </w:r>
      <w:r>
        <w:rPr>
          <w:rFonts w:ascii="Roboto" w:eastAsia="Roboto" w:hAnsi="Roboto" w:cs="Roboto"/>
          <w:b/>
          <w:bCs/>
          <w:sz w:val="20"/>
          <w:szCs w:val="20"/>
        </w:rPr>
        <w:t>m</w:t>
      </w:r>
      <w:r w:rsidRPr="0096313B">
        <w:rPr>
          <w:rFonts w:ascii="Roboto" w:eastAsia="Roboto" w:hAnsi="Roboto" w:cs="Roboto"/>
          <w:b/>
          <w:bCs/>
          <w:sz w:val="20"/>
          <w:szCs w:val="20"/>
        </w:rPr>
        <w:t xml:space="preserve">adurez </w:t>
      </w:r>
      <w:r>
        <w:rPr>
          <w:rFonts w:ascii="Roboto" w:eastAsia="Roboto" w:hAnsi="Roboto" w:cs="Roboto"/>
          <w:b/>
          <w:bCs/>
          <w:sz w:val="20"/>
          <w:szCs w:val="20"/>
        </w:rPr>
        <w:t>i</w:t>
      </w:r>
      <w:r w:rsidRPr="0096313B">
        <w:rPr>
          <w:rFonts w:ascii="Roboto" w:eastAsia="Roboto" w:hAnsi="Roboto" w:cs="Roboto"/>
          <w:b/>
          <w:bCs/>
          <w:sz w:val="20"/>
          <w:szCs w:val="20"/>
        </w:rPr>
        <w:t xml:space="preserve">nstitucional y </w:t>
      </w:r>
      <w:r>
        <w:rPr>
          <w:rFonts w:ascii="Roboto" w:eastAsia="Roboto" w:hAnsi="Roboto" w:cs="Roboto"/>
          <w:b/>
          <w:bCs/>
          <w:sz w:val="20"/>
          <w:szCs w:val="20"/>
        </w:rPr>
        <w:t>n</w:t>
      </w:r>
      <w:r w:rsidRPr="0096313B">
        <w:rPr>
          <w:rFonts w:ascii="Roboto" w:eastAsia="Roboto" w:hAnsi="Roboto" w:cs="Roboto"/>
          <w:b/>
          <w:bCs/>
          <w:sz w:val="20"/>
          <w:szCs w:val="20"/>
        </w:rPr>
        <w:t xml:space="preserve">uevos </w:t>
      </w:r>
      <w:r>
        <w:rPr>
          <w:rFonts w:ascii="Roboto" w:eastAsia="Roboto" w:hAnsi="Roboto" w:cs="Roboto"/>
          <w:b/>
          <w:bCs/>
          <w:sz w:val="20"/>
          <w:szCs w:val="20"/>
        </w:rPr>
        <w:t>n</w:t>
      </w:r>
      <w:r w:rsidRPr="0096313B">
        <w:rPr>
          <w:rFonts w:ascii="Roboto" w:eastAsia="Roboto" w:hAnsi="Roboto" w:cs="Roboto"/>
          <w:b/>
          <w:bCs/>
          <w:sz w:val="20"/>
          <w:szCs w:val="20"/>
        </w:rPr>
        <w:t xml:space="preserve">odos de </w:t>
      </w:r>
      <w:r>
        <w:rPr>
          <w:rFonts w:ascii="Roboto" w:eastAsia="Roboto" w:hAnsi="Roboto" w:cs="Roboto"/>
          <w:b/>
          <w:bCs/>
          <w:sz w:val="20"/>
          <w:szCs w:val="20"/>
        </w:rPr>
        <w:t>i</w:t>
      </w:r>
      <w:r w:rsidRPr="0096313B">
        <w:rPr>
          <w:rFonts w:ascii="Roboto" w:eastAsia="Roboto" w:hAnsi="Roboto" w:cs="Roboto"/>
          <w:b/>
          <w:bCs/>
          <w:sz w:val="20"/>
          <w:szCs w:val="20"/>
        </w:rPr>
        <w:t>nnovación</w:t>
      </w:r>
    </w:p>
    <w:p w14:paraId="210AE6C0" w14:textId="5C73CBF9" w:rsidR="0096313B" w:rsidRPr="0096313B" w:rsidRDefault="0096313B" w:rsidP="0096313B">
      <w:pPr>
        <w:spacing w:before="120"/>
        <w:jc w:val="both"/>
        <w:rPr>
          <w:rFonts w:ascii="Roboto" w:eastAsia="Roboto" w:hAnsi="Roboto" w:cs="Roboto"/>
          <w:sz w:val="20"/>
          <w:szCs w:val="20"/>
        </w:rPr>
      </w:pPr>
      <w:r w:rsidRPr="0096313B">
        <w:rPr>
          <w:rFonts w:ascii="Roboto" w:eastAsia="Roboto" w:hAnsi="Roboto" w:cs="Roboto"/>
          <w:sz w:val="20"/>
          <w:szCs w:val="20"/>
        </w:rPr>
        <w:t xml:space="preserve">El análisis documental revela que la sostenibilidad alimentaria se integra de manera asimétrica en la Red, evidenciando tres niveles de madurez que transitan desde la gestión operativa hasta la gobernanza estratégica: </w:t>
      </w:r>
    </w:p>
    <w:p w14:paraId="3A430D38" w14:textId="11A9C989" w:rsidR="0096313B" w:rsidRPr="0096313B" w:rsidRDefault="0096313B" w:rsidP="0096313B">
      <w:pPr>
        <w:spacing w:before="120"/>
        <w:jc w:val="both"/>
        <w:rPr>
          <w:rFonts w:ascii="Roboto" w:eastAsia="Roboto" w:hAnsi="Roboto" w:cs="Roboto"/>
          <w:b/>
          <w:bCs/>
          <w:sz w:val="20"/>
          <w:szCs w:val="20"/>
        </w:rPr>
      </w:pPr>
      <w:r w:rsidRPr="0096313B">
        <w:rPr>
          <w:rFonts w:ascii="Roboto" w:eastAsia="Roboto" w:hAnsi="Roboto" w:cs="Roboto"/>
          <w:b/>
          <w:bCs/>
          <w:sz w:val="20"/>
          <w:szCs w:val="20"/>
        </w:rPr>
        <w:t>Nivel Avanzado</w:t>
      </w:r>
      <w:r w:rsidR="005A0D71">
        <w:rPr>
          <w:rFonts w:ascii="Roboto" w:eastAsia="Roboto" w:hAnsi="Roboto" w:cs="Roboto"/>
          <w:b/>
          <w:bCs/>
          <w:sz w:val="20"/>
          <w:szCs w:val="20"/>
        </w:rPr>
        <w:t xml:space="preserve">: </w:t>
      </w:r>
      <w:r w:rsidRPr="0096313B">
        <w:rPr>
          <w:rFonts w:ascii="Roboto" w:eastAsia="Roboto" w:hAnsi="Roboto" w:cs="Roboto"/>
          <w:b/>
          <w:bCs/>
          <w:sz w:val="20"/>
          <w:szCs w:val="20"/>
        </w:rPr>
        <w:t>Estrategias Dedicadas y Reporte de Alto Impacto</w:t>
      </w:r>
    </w:p>
    <w:p w14:paraId="395F0366" w14:textId="75C88B24" w:rsidR="0096313B" w:rsidRPr="0096313B" w:rsidRDefault="0096313B" w:rsidP="0096313B">
      <w:pPr>
        <w:numPr>
          <w:ilvl w:val="0"/>
          <w:numId w:val="12"/>
        </w:numPr>
        <w:tabs>
          <w:tab w:val="num" w:pos="720"/>
        </w:tabs>
        <w:spacing w:before="120"/>
        <w:jc w:val="both"/>
        <w:rPr>
          <w:rFonts w:ascii="Roboto" w:eastAsia="Roboto" w:hAnsi="Roboto" w:cs="Roboto"/>
          <w:sz w:val="20"/>
          <w:szCs w:val="20"/>
        </w:rPr>
      </w:pPr>
      <w:r w:rsidRPr="0096313B">
        <w:rPr>
          <w:rFonts w:ascii="Roboto" w:eastAsia="Roboto" w:hAnsi="Roboto" w:cs="Roboto"/>
          <w:b/>
          <w:bCs/>
          <w:sz w:val="20"/>
          <w:szCs w:val="20"/>
        </w:rPr>
        <w:t xml:space="preserve">Universidad Francisco de Vitoria (España): </w:t>
      </w:r>
      <w:r w:rsidRPr="0096313B">
        <w:rPr>
          <w:rFonts w:ascii="Roboto" w:eastAsia="Roboto" w:hAnsi="Roboto" w:cs="Roboto"/>
          <w:sz w:val="20"/>
          <w:szCs w:val="20"/>
        </w:rPr>
        <w:t xml:space="preserve">Mantiene un liderazgo consolidado con su VI Memoria de Sostenibilidad 2023-2024, estructurada bajo el lema </w:t>
      </w:r>
      <w:r w:rsidR="004067A5">
        <w:rPr>
          <w:rFonts w:ascii="Roboto" w:eastAsia="Roboto" w:hAnsi="Roboto" w:cs="Roboto"/>
          <w:sz w:val="20"/>
          <w:szCs w:val="20"/>
        </w:rPr>
        <w:t>“</w:t>
      </w:r>
      <w:r w:rsidRPr="0096313B">
        <w:rPr>
          <w:rFonts w:ascii="Roboto" w:eastAsia="Roboto" w:hAnsi="Roboto" w:cs="Roboto"/>
          <w:sz w:val="20"/>
          <w:szCs w:val="20"/>
        </w:rPr>
        <w:t>Cuida la casa común.</w:t>
      </w:r>
      <w:r w:rsidR="004067A5">
        <w:rPr>
          <w:rFonts w:ascii="Roboto" w:eastAsia="Roboto" w:hAnsi="Roboto" w:cs="Roboto"/>
          <w:sz w:val="20"/>
          <w:szCs w:val="20"/>
        </w:rPr>
        <w:t>”</w:t>
      </w:r>
      <w:r w:rsidRPr="0096313B">
        <w:rPr>
          <w:rFonts w:ascii="Roboto" w:eastAsia="Roboto" w:hAnsi="Roboto" w:cs="Roboto"/>
          <w:sz w:val="20"/>
          <w:szCs w:val="20"/>
        </w:rPr>
        <w:t xml:space="preserve"> Su gobernanza incluye un Departamento de Sostenibilidad que gestiona protocolos de abastecimiento ético y local, además de reportar métricas de reciclaje de aceites y reducción de desperdicio a través de la campaña RECENA.</w:t>
      </w:r>
    </w:p>
    <w:p w14:paraId="0D1222AB" w14:textId="783997A1" w:rsidR="0096313B" w:rsidRPr="0096313B" w:rsidRDefault="0096313B" w:rsidP="0096313B">
      <w:pPr>
        <w:numPr>
          <w:ilvl w:val="0"/>
          <w:numId w:val="12"/>
        </w:numPr>
        <w:tabs>
          <w:tab w:val="num" w:pos="720"/>
          <w:tab w:val="num" w:pos="1440"/>
        </w:tabs>
        <w:spacing w:before="120"/>
        <w:jc w:val="both"/>
        <w:rPr>
          <w:rFonts w:ascii="Roboto" w:eastAsia="Roboto" w:hAnsi="Roboto" w:cs="Roboto"/>
          <w:sz w:val="20"/>
          <w:szCs w:val="20"/>
        </w:rPr>
      </w:pPr>
      <w:r w:rsidRPr="0096313B">
        <w:rPr>
          <w:rFonts w:ascii="Roboto" w:eastAsia="Roboto" w:hAnsi="Roboto" w:cs="Roboto"/>
          <w:b/>
          <w:bCs/>
          <w:sz w:val="20"/>
          <w:szCs w:val="20"/>
        </w:rPr>
        <w:t xml:space="preserve">Universidad Finis Terrae (Chile): </w:t>
      </w:r>
      <w:r w:rsidRPr="0096313B">
        <w:rPr>
          <w:rFonts w:ascii="Roboto" w:eastAsia="Roboto" w:hAnsi="Roboto" w:cs="Roboto"/>
          <w:sz w:val="20"/>
          <w:szCs w:val="20"/>
        </w:rPr>
        <w:t>Ha formalizado su compromiso mediante la Estrategia de Sustentabilidad 2023-2028, un documento basal que eleva la sustentabilidad al núcleo del Plan de Desarrollo Institucional. Destaca su "Acción 14</w:t>
      </w:r>
      <w:r w:rsidR="00B46DD3">
        <w:rPr>
          <w:rFonts w:ascii="Roboto" w:eastAsia="Roboto" w:hAnsi="Roboto" w:cs="Roboto"/>
          <w:sz w:val="20"/>
          <w:szCs w:val="20"/>
        </w:rPr>
        <w:t>,</w:t>
      </w:r>
      <w:r w:rsidRPr="0096313B">
        <w:rPr>
          <w:rFonts w:ascii="Roboto" w:eastAsia="Roboto" w:hAnsi="Roboto" w:cs="Roboto"/>
          <w:sz w:val="20"/>
          <w:szCs w:val="20"/>
        </w:rPr>
        <w:t xml:space="preserve">" la cual establece un protocolo de alimentación saludable que prioriza la loza definitiva, el fomento a proveedores locales y la creación de un huerto comunitario. </w:t>
      </w:r>
    </w:p>
    <w:p w14:paraId="41FC8236" w14:textId="77777777" w:rsidR="001C04FD" w:rsidRDefault="001C04FD" w:rsidP="0096313B">
      <w:pPr>
        <w:spacing w:before="120"/>
        <w:jc w:val="both"/>
        <w:rPr>
          <w:rFonts w:ascii="Roboto" w:eastAsia="Roboto" w:hAnsi="Roboto" w:cs="Roboto"/>
          <w:b/>
          <w:bCs/>
          <w:sz w:val="20"/>
          <w:szCs w:val="20"/>
        </w:rPr>
      </w:pPr>
    </w:p>
    <w:p w14:paraId="0BC8BFF5" w14:textId="33BBAD84" w:rsidR="0096313B" w:rsidRPr="0096313B" w:rsidRDefault="0096313B" w:rsidP="0096313B">
      <w:pPr>
        <w:spacing w:before="120"/>
        <w:jc w:val="both"/>
        <w:rPr>
          <w:rFonts w:ascii="Roboto" w:eastAsia="Roboto" w:hAnsi="Roboto" w:cs="Roboto"/>
          <w:b/>
          <w:bCs/>
          <w:sz w:val="20"/>
          <w:szCs w:val="20"/>
        </w:rPr>
      </w:pPr>
      <w:r w:rsidRPr="0096313B">
        <w:rPr>
          <w:rFonts w:ascii="Roboto" w:eastAsia="Roboto" w:hAnsi="Roboto" w:cs="Roboto"/>
          <w:b/>
          <w:bCs/>
          <w:sz w:val="20"/>
          <w:szCs w:val="20"/>
        </w:rPr>
        <w:lastRenderedPageBreak/>
        <w:t>Nivel en Desarrollo</w:t>
      </w:r>
      <w:r w:rsidR="005A0D71">
        <w:rPr>
          <w:rFonts w:ascii="Roboto" w:eastAsia="Roboto" w:hAnsi="Roboto" w:cs="Roboto"/>
          <w:b/>
          <w:bCs/>
          <w:sz w:val="20"/>
          <w:szCs w:val="20"/>
        </w:rPr>
        <w:t xml:space="preserve">: </w:t>
      </w:r>
      <w:r w:rsidRPr="0096313B">
        <w:rPr>
          <w:rFonts w:ascii="Roboto" w:eastAsia="Roboto" w:hAnsi="Roboto" w:cs="Roboto"/>
          <w:b/>
          <w:bCs/>
          <w:sz w:val="20"/>
          <w:szCs w:val="20"/>
        </w:rPr>
        <w:t>Compromisos Normativos e Innovación Colaborativa</w:t>
      </w:r>
    </w:p>
    <w:p w14:paraId="2F78D892" w14:textId="2E4E1B4F" w:rsidR="0096313B" w:rsidRPr="0096313B" w:rsidRDefault="0096313B" w:rsidP="0096313B">
      <w:pPr>
        <w:numPr>
          <w:ilvl w:val="0"/>
          <w:numId w:val="12"/>
        </w:numPr>
        <w:tabs>
          <w:tab w:val="num" w:pos="720"/>
          <w:tab w:val="num" w:pos="1440"/>
        </w:tabs>
        <w:spacing w:before="120"/>
        <w:jc w:val="both"/>
        <w:rPr>
          <w:rFonts w:ascii="Roboto" w:eastAsia="Roboto" w:hAnsi="Roboto" w:cs="Roboto"/>
          <w:sz w:val="20"/>
          <w:szCs w:val="20"/>
        </w:rPr>
      </w:pPr>
      <w:r w:rsidRPr="0096313B">
        <w:rPr>
          <w:rFonts w:ascii="Roboto" w:eastAsia="Roboto" w:hAnsi="Roboto" w:cs="Roboto"/>
          <w:b/>
          <w:bCs/>
          <w:sz w:val="20"/>
          <w:szCs w:val="20"/>
        </w:rPr>
        <w:t>Universidad Anáhuac Mayab (Mérida):</w:t>
      </w:r>
      <w:r w:rsidRPr="0096313B">
        <w:rPr>
          <w:rFonts w:ascii="Roboto" w:eastAsia="Roboto" w:hAnsi="Roboto" w:cs="Roboto"/>
          <w:sz w:val="20"/>
          <w:szCs w:val="20"/>
        </w:rPr>
        <w:t xml:space="preserve"> Se posiciona en este nivel gracias a su integración de proyectos de infraestructura sustentable en agua, energía y residuos dentro de su plan estratégico. Un hito diferenciador es su participación, desde el año 2025, en la iniciativa internacional </w:t>
      </w:r>
      <w:r w:rsidRPr="0096313B">
        <w:rPr>
          <w:rFonts w:ascii="Roboto" w:eastAsia="Roboto" w:hAnsi="Roboto" w:cs="Roboto"/>
          <w:i/>
          <w:iCs/>
          <w:sz w:val="20"/>
          <w:szCs w:val="20"/>
        </w:rPr>
        <w:t>Menus of Change University Research Collaborative</w:t>
      </w:r>
      <w:r w:rsidRPr="0096313B">
        <w:rPr>
          <w:rFonts w:ascii="Roboto" w:eastAsia="Roboto" w:hAnsi="Roboto" w:cs="Roboto"/>
          <w:sz w:val="20"/>
          <w:szCs w:val="20"/>
        </w:rPr>
        <w:t xml:space="preserve"> (MCURC)</w:t>
      </w:r>
      <w:r w:rsidR="00BA1607">
        <w:rPr>
          <w:rFonts w:ascii="Roboto" w:eastAsia="Roboto" w:hAnsi="Roboto" w:cs="Roboto"/>
          <w:sz w:val="20"/>
          <w:szCs w:val="20"/>
        </w:rPr>
        <w:t>. Desde entonces,</w:t>
      </w:r>
      <w:r w:rsidR="00A543C7">
        <w:rPr>
          <w:rFonts w:ascii="Roboto" w:eastAsia="Roboto" w:hAnsi="Roboto" w:cs="Roboto"/>
          <w:sz w:val="20"/>
          <w:szCs w:val="20"/>
        </w:rPr>
        <w:t xml:space="preserve"> está explorando formas de utilizar </w:t>
      </w:r>
      <w:r w:rsidRPr="0096313B">
        <w:rPr>
          <w:rFonts w:ascii="Roboto" w:eastAsia="Roboto" w:hAnsi="Roboto" w:cs="Roboto"/>
          <w:sz w:val="20"/>
          <w:szCs w:val="20"/>
        </w:rPr>
        <w:t>sus servicios de alimentación como laboratorios vivos para la innovación culinaria saludable y sostenible.</w:t>
      </w:r>
    </w:p>
    <w:p w14:paraId="4A192637" w14:textId="439ECF4B" w:rsidR="0096313B" w:rsidRPr="0096313B" w:rsidRDefault="0096313B" w:rsidP="0096313B">
      <w:pPr>
        <w:numPr>
          <w:ilvl w:val="0"/>
          <w:numId w:val="12"/>
        </w:numPr>
        <w:tabs>
          <w:tab w:val="num" w:pos="720"/>
          <w:tab w:val="num" w:pos="1440"/>
        </w:tabs>
        <w:spacing w:before="120"/>
        <w:jc w:val="both"/>
        <w:rPr>
          <w:rFonts w:ascii="Roboto" w:eastAsia="Roboto" w:hAnsi="Roboto" w:cs="Roboto"/>
          <w:sz w:val="20"/>
          <w:szCs w:val="20"/>
        </w:rPr>
      </w:pPr>
      <w:r w:rsidRPr="0096313B">
        <w:rPr>
          <w:rFonts w:ascii="Roboto" w:eastAsia="Roboto" w:hAnsi="Roboto" w:cs="Roboto"/>
          <w:b/>
          <w:bCs/>
          <w:sz w:val="20"/>
          <w:szCs w:val="20"/>
        </w:rPr>
        <w:t>Universidad Anáhuac México:</w:t>
      </w:r>
      <w:r w:rsidRPr="0096313B">
        <w:rPr>
          <w:rFonts w:ascii="Roboto" w:eastAsia="Roboto" w:hAnsi="Roboto" w:cs="Roboto"/>
          <w:sz w:val="20"/>
          <w:szCs w:val="20"/>
        </w:rPr>
        <w:t xml:space="preserve"> Su gobernanza se sustenta en el "Código de Ética y Responsabilidad Social Universitaria</w:t>
      </w:r>
      <w:r w:rsidR="00BA1607">
        <w:rPr>
          <w:rFonts w:ascii="Roboto" w:eastAsia="Roboto" w:hAnsi="Roboto" w:cs="Roboto"/>
          <w:sz w:val="20"/>
          <w:szCs w:val="20"/>
        </w:rPr>
        <w:t>,</w:t>
      </w:r>
      <w:r w:rsidRPr="0096313B">
        <w:rPr>
          <w:rFonts w:ascii="Roboto" w:eastAsia="Roboto" w:hAnsi="Roboto" w:cs="Roboto"/>
          <w:sz w:val="20"/>
          <w:szCs w:val="20"/>
        </w:rPr>
        <w:t xml:space="preserve">" que formaliza criterios de sostenibilidad para la selección de proveedores y concesionarios. Cuenta con grupos de investigación en nutrición que sientan las bases científicas para futuras intervenciones en el campus. </w:t>
      </w:r>
    </w:p>
    <w:p w14:paraId="41DBE944" w14:textId="77777777" w:rsidR="0096313B" w:rsidRPr="0096313B" w:rsidRDefault="0096313B" w:rsidP="0096313B">
      <w:pPr>
        <w:numPr>
          <w:ilvl w:val="0"/>
          <w:numId w:val="12"/>
        </w:numPr>
        <w:tabs>
          <w:tab w:val="num" w:pos="720"/>
          <w:tab w:val="num" w:pos="1440"/>
        </w:tabs>
        <w:spacing w:before="120"/>
        <w:jc w:val="both"/>
        <w:rPr>
          <w:rFonts w:ascii="Roboto" w:eastAsia="Roboto" w:hAnsi="Roboto" w:cs="Roboto"/>
          <w:sz w:val="20"/>
          <w:szCs w:val="20"/>
        </w:rPr>
      </w:pPr>
      <w:r w:rsidRPr="0096313B">
        <w:rPr>
          <w:rFonts w:ascii="Roboto" w:eastAsia="Roboto" w:hAnsi="Roboto" w:cs="Roboto"/>
          <w:b/>
          <w:bCs/>
          <w:sz w:val="20"/>
          <w:szCs w:val="20"/>
        </w:rPr>
        <w:t xml:space="preserve">Università Europea di Roma (Italia): </w:t>
      </w:r>
      <w:r w:rsidRPr="0096313B">
        <w:rPr>
          <w:rFonts w:ascii="Roboto" w:eastAsia="Roboto" w:hAnsi="Roboto" w:cs="Roboto"/>
          <w:sz w:val="20"/>
          <w:szCs w:val="20"/>
        </w:rPr>
        <w:t xml:space="preserve">Presenta una sólida rendición de cuentas a través de su </w:t>
      </w:r>
      <w:r w:rsidRPr="0096313B">
        <w:rPr>
          <w:rFonts w:ascii="Roboto" w:eastAsia="Roboto" w:hAnsi="Roboto" w:cs="Roboto"/>
          <w:i/>
          <w:iCs/>
          <w:sz w:val="20"/>
          <w:szCs w:val="20"/>
        </w:rPr>
        <w:t>Bilancio di Sostenibilità</w:t>
      </w:r>
      <w:r w:rsidRPr="0096313B">
        <w:rPr>
          <w:rFonts w:ascii="Roboto" w:eastAsia="Roboto" w:hAnsi="Roboto" w:cs="Roboto"/>
          <w:sz w:val="20"/>
          <w:szCs w:val="20"/>
        </w:rPr>
        <w:t xml:space="preserve"> bajo estándares GRI, enfocando sus esfuerzos en la neutralidad de carbono y la mejora de la circularidad en sus servicios de campus.</w:t>
      </w:r>
    </w:p>
    <w:p w14:paraId="2C90B503" w14:textId="759E2546" w:rsidR="0096313B" w:rsidRPr="0096313B" w:rsidRDefault="0096313B" w:rsidP="0096313B">
      <w:pPr>
        <w:spacing w:before="120"/>
        <w:jc w:val="both"/>
        <w:rPr>
          <w:rFonts w:ascii="Roboto" w:eastAsia="Roboto" w:hAnsi="Roboto" w:cs="Roboto"/>
          <w:b/>
          <w:bCs/>
          <w:sz w:val="20"/>
          <w:szCs w:val="20"/>
        </w:rPr>
      </w:pPr>
      <w:r w:rsidRPr="0096313B">
        <w:rPr>
          <w:rFonts w:ascii="Roboto" w:eastAsia="Roboto" w:hAnsi="Roboto" w:cs="Roboto"/>
          <w:b/>
          <w:bCs/>
          <w:sz w:val="20"/>
          <w:szCs w:val="20"/>
        </w:rPr>
        <w:t>Nivel Inicial</w:t>
      </w:r>
      <w:r w:rsidR="005A0D71">
        <w:rPr>
          <w:rFonts w:ascii="Roboto" w:eastAsia="Roboto" w:hAnsi="Roboto" w:cs="Roboto"/>
          <w:b/>
          <w:bCs/>
          <w:sz w:val="20"/>
          <w:szCs w:val="20"/>
        </w:rPr>
        <w:t>: Sin gobernanza en sostenibilidad alimentaria</w:t>
      </w:r>
    </w:p>
    <w:p w14:paraId="6ABB0BEE" w14:textId="59ECC95F" w:rsidR="0096313B" w:rsidRDefault="005A0D71" w:rsidP="005A0D71">
      <w:pPr>
        <w:spacing w:before="120"/>
        <w:jc w:val="both"/>
        <w:rPr>
          <w:rFonts w:ascii="Roboto" w:eastAsia="Roboto" w:hAnsi="Roboto" w:cs="Roboto"/>
          <w:b/>
          <w:bCs/>
          <w:sz w:val="20"/>
          <w:szCs w:val="20"/>
        </w:rPr>
      </w:pPr>
      <w:r w:rsidRPr="0026465A">
        <w:rPr>
          <w:rFonts w:ascii="Roboto" w:eastAsia="Roboto" w:hAnsi="Roboto" w:cs="Roboto"/>
          <w:sz w:val="20"/>
          <w:szCs w:val="20"/>
        </w:rPr>
        <w:t>La mayoría de las sedes de la Red Anáhuac en México presentan la sostenibilidad de forma general en sus ejes de infraestructura o responsabilidad social, careciendo aún de normativas específicas que regulen los sistemas alimentarios del campus.</w:t>
      </w:r>
    </w:p>
    <w:p w14:paraId="4D35FA00" w14:textId="77777777" w:rsidR="0096313B" w:rsidRDefault="0096313B" w:rsidP="0026465A">
      <w:pPr>
        <w:jc w:val="both"/>
        <w:rPr>
          <w:rFonts w:ascii="Roboto" w:eastAsia="Roboto" w:hAnsi="Roboto" w:cs="Roboto"/>
          <w:b/>
          <w:bCs/>
          <w:sz w:val="20"/>
          <w:szCs w:val="20"/>
        </w:rPr>
      </w:pPr>
    </w:p>
    <w:p w14:paraId="0221AFA1" w14:textId="6CC19704" w:rsidR="00E143B1" w:rsidRPr="00E143B1" w:rsidRDefault="002D35F6" w:rsidP="002D35F6">
      <w:pPr>
        <w:jc w:val="both"/>
        <w:rPr>
          <w:rFonts w:ascii="Roboto" w:eastAsia="Roboto" w:hAnsi="Roboto" w:cs="Roboto"/>
          <w:b/>
          <w:bCs/>
          <w:sz w:val="20"/>
          <w:szCs w:val="20"/>
        </w:rPr>
      </w:pPr>
      <w:r>
        <w:rPr>
          <w:rFonts w:ascii="Roboto" w:eastAsia="Roboto" w:hAnsi="Roboto" w:cs="Roboto"/>
          <w:b/>
          <w:bCs/>
          <w:sz w:val="20"/>
          <w:szCs w:val="20"/>
        </w:rPr>
        <w:t>4</w:t>
      </w:r>
      <w:r w:rsidR="00E143B1" w:rsidRPr="00E143B1">
        <w:rPr>
          <w:rFonts w:ascii="Roboto" w:eastAsia="Roboto" w:hAnsi="Roboto" w:cs="Roboto"/>
          <w:b/>
          <w:bCs/>
          <w:sz w:val="20"/>
          <w:szCs w:val="20"/>
        </w:rPr>
        <w:t>. Discusión: Coherencia Institucional y el Imperativo de la Ecología Integral</w:t>
      </w:r>
    </w:p>
    <w:p w14:paraId="615B5B93" w14:textId="2FE0F37D" w:rsidR="00E143B1" w:rsidRPr="00E143B1" w:rsidRDefault="00E143B1" w:rsidP="00E143B1">
      <w:pPr>
        <w:spacing w:before="120"/>
        <w:jc w:val="both"/>
        <w:rPr>
          <w:rFonts w:ascii="Roboto" w:eastAsia="Roboto" w:hAnsi="Roboto" w:cs="Roboto"/>
          <w:sz w:val="20"/>
          <w:szCs w:val="20"/>
        </w:rPr>
      </w:pPr>
      <w:r w:rsidRPr="00E143B1">
        <w:rPr>
          <w:rFonts w:ascii="Roboto" w:eastAsia="Roboto" w:hAnsi="Roboto" w:cs="Roboto"/>
          <w:sz w:val="20"/>
          <w:szCs w:val="20"/>
        </w:rPr>
        <w:t xml:space="preserve">Los hallazgos revelan una asimetría significativa que plantea un desafío de coherencia institucional. Mientras la misión de la RIU se centra en la formación integral de líderes de acción positiva, la ausencia de políticas alimentarias en la mayoría de los campus sugiere que la alimentación sigue siendo un "punto ciego" en </w:t>
      </w:r>
      <w:r>
        <w:rPr>
          <w:rFonts w:ascii="Roboto" w:eastAsia="Roboto" w:hAnsi="Roboto" w:cs="Roboto"/>
          <w:sz w:val="20"/>
          <w:szCs w:val="20"/>
        </w:rPr>
        <w:t>su</w:t>
      </w:r>
      <w:r w:rsidRPr="00E143B1">
        <w:rPr>
          <w:rFonts w:ascii="Roboto" w:eastAsia="Roboto" w:hAnsi="Roboto" w:cs="Roboto"/>
          <w:sz w:val="20"/>
          <w:szCs w:val="20"/>
        </w:rPr>
        <w:t xml:space="preserve"> estrategia de sostenibilidad. Una formación verdaderamente integral no puede ignorar el acto de comer, que es, en esencia, una decisión ética, política y ambiental con un impacto directo en la "casa común".</w:t>
      </w:r>
    </w:p>
    <w:p w14:paraId="08D4F711" w14:textId="2CFE6D5A" w:rsidR="00E143B1" w:rsidRPr="00E143B1" w:rsidRDefault="00E143B1" w:rsidP="00E143B1">
      <w:pPr>
        <w:spacing w:before="120"/>
        <w:jc w:val="both"/>
        <w:rPr>
          <w:rFonts w:ascii="Roboto" w:eastAsia="Roboto" w:hAnsi="Roboto" w:cs="Roboto"/>
          <w:sz w:val="20"/>
          <w:szCs w:val="20"/>
        </w:rPr>
      </w:pPr>
      <w:r w:rsidRPr="00E143B1">
        <w:rPr>
          <w:rFonts w:ascii="Roboto" w:eastAsia="Roboto" w:hAnsi="Roboto" w:cs="Roboto"/>
          <w:sz w:val="20"/>
          <w:szCs w:val="20"/>
        </w:rPr>
        <w:t xml:space="preserve">Desde la perspectiva de la </w:t>
      </w:r>
      <w:r w:rsidR="00802E4D">
        <w:rPr>
          <w:rFonts w:ascii="Roboto" w:eastAsia="Roboto" w:hAnsi="Roboto" w:cs="Roboto"/>
          <w:sz w:val="20"/>
          <w:szCs w:val="20"/>
        </w:rPr>
        <w:t>e</w:t>
      </w:r>
      <w:r w:rsidRPr="00E143B1">
        <w:rPr>
          <w:rFonts w:ascii="Roboto" w:eastAsia="Roboto" w:hAnsi="Roboto" w:cs="Roboto"/>
          <w:sz w:val="20"/>
          <w:szCs w:val="20"/>
        </w:rPr>
        <w:t xml:space="preserve">cología </w:t>
      </w:r>
      <w:r w:rsidR="00802E4D">
        <w:rPr>
          <w:rFonts w:ascii="Roboto" w:eastAsia="Roboto" w:hAnsi="Roboto" w:cs="Roboto"/>
          <w:sz w:val="20"/>
          <w:szCs w:val="20"/>
        </w:rPr>
        <w:t>i</w:t>
      </w:r>
      <w:r w:rsidRPr="00E143B1">
        <w:rPr>
          <w:rFonts w:ascii="Roboto" w:eastAsia="Roboto" w:hAnsi="Roboto" w:cs="Roboto"/>
          <w:sz w:val="20"/>
          <w:szCs w:val="20"/>
        </w:rPr>
        <w:t xml:space="preserve">ntegral propuesta en la encíclica </w:t>
      </w:r>
      <w:r w:rsidRPr="00E143B1">
        <w:rPr>
          <w:rFonts w:ascii="Roboto" w:eastAsia="Roboto" w:hAnsi="Roboto" w:cs="Roboto"/>
          <w:i/>
          <w:iCs/>
          <w:sz w:val="20"/>
          <w:szCs w:val="20"/>
        </w:rPr>
        <w:t>Laudato si</w:t>
      </w:r>
      <w:r w:rsidR="00D600A0" w:rsidRPr="00E143B1">
        <w:rPr>
          <w:rFonts w:ascii="Roboto" w:eastAsia="Roboto" w:hAnsi="Roboto" w:cs="Roboto"/>
          <w:i/>
          <w:iCs/>
          <w:sz w:val="20"/>
          <w:szCs w:val="20"/>
        </w:rPr>
        <w:t>'</w:t>
      </w:r>
      <w:r w:rsidR="00EC7AB0" w:rsidRPr="00EC7AB0">
        <w:rPr>
          <w:rFonts w:ascii="Roboto" w:eastAsia="Roboto" w:hAnsi="Roboto" w:cs="Roboto"/>
          <w:color w:val="000000"/>
          <w:sz w:val="20"/>
          <w:szCs w:val="20"/>
          <w:highlight w:val="white"/>
        </w:rPr>
        <w:t xml:space="preserve"> </w:t>
      </w:r>
      <w:sdt>
        <w:sdtPr>
          <w:rPr>
            <w:rFonts w:ascii="Roboto" w:eastAsia="Roboto" w:hAnsi="Roboto" w:cs="Roboto"/>
            <w:color w:val="000000"/>
            <w:sz w:val="20"/>
            <w:szCs w:val="20"/>
            <w:highlight w:val="white"/>
          </w:rPr>
          <w:alias w:val="Citation"/>
          <w:tag w:val="{&quot;referencesIds&quot;:[&quot;doc:6a0b20ed6be6455b53225e34&quot;],&quot;referencesOptions&quot;:{&quot;doc:6a0b20ed6be6455b53225e34&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
          <w:id w:val="590358578"/>
          <w:placeholder>
            <w:docPart w:val="2B3A53E15677449384B1A0B51F8DC2EE"/>
          </w:placeholder>
        </w:sdtPr>
        <w:sdtContent>
          <w:r w:rsidR="00EC7AB0">
            <w:rPr>
              <w:rFonts w:ascii="Roboto" w:hAnsi="Roboto"/>
              <w:color w:val="000000"/>
              <w:sz w:val="20"/>
              <w:szCs w:val="20"/>
            </w:rPr>
            <w:t>(Francisco, 2016)</w:t>
          </w:r>
          <w:r w:rsidR="00D600A0">
            <w:rPr>
              <w:rFonts w:ascii="Roboto" w:hAnsi="Roboto"/>
              <w:color w:val="000000"/>
              <w:sz w:val="20"/>
              <w:szCs w:val="20"/>
            </w:rPr>
            <w:t>,</w:t>
          </w:r>
        </w:sdtContent>
      </w:sdt>
      <w:r w:rsidR="00EC7AB0" w:rsidRPr="00E143B1">
        <w:rPr>
          <w:rFonts w:ascii="Roboto" w:eastAsia="Roboto" w:hAnsi="Roboto" w:cs="Roboto"/>
          <w:i/>
          <w:iCs/>
          <w:sz w:val="20"/>
          <w:szCs w:val="20"/>
        </w:rPr>
        <w:t xml:space="preserve"> </w:t>
      </w:r>
      <w:r w:rsidRPr="00E143B1">
        <w:rPr>
          <w:rFonts w:ascii="Roboto" w:eastAsia="Roboto" w:hAnsi="Roboto" w:cs="Roboto"/>
          <w:sz w:val="20"/>
          <w:szCs w:val="20"/>
        </w:rPr>
        <w:t xml:space="preserve"> la crisis ambiental y la crisis social no son fenómenos aislados, sino dos caras de una misma moneda. Para las universidades de la RIU, integrar la sostenibilidad alimentaria no es solo una medida de eficiencia operativa, sino un acto de fidelidad a su identidad católica. La gestión de residuos, el trato justo a proveedores locales y la promoción de dietas que respeten los límites planetarios son manifestaciones concretas del cuidado de la creación que el Papa Francisco urge a priorizar.</w:t>
      </w:r>
    </w:p>
    <w:p w14:paraId="6D16F76D" w14:textId="77777777" w:rsidR="00E143B1" w:rsidRPr="00E143B1" w:rsidRDefault="00E143B1" w:rsidP="00E143B1">
      <w:pPr>
        <w:spacing w:before="120"/>
        <w:jc w:val="both"/>
        <w:rPr>
          <w:rFonts w:ascii="Roboto" w:eastAsia="Roboto" w:hAnsi="Roboto" w:cs="Roboto"/>
          <w:sz w:val="20"/>
          <w:szCs w:val="20"/>
        </w:rPr>
      </w:pPr>
      <w:r w:rsidRPr="00E143B1">
        <w:rPr>
          <w:rFonts w:ascii="Roboto" w:eastAsia="Roboto" w:hAnsi="Roboto" w:cs="Roboto"/>
          <w:sz w:val="20"/>
          <w:szCs w:val="20"/>
        </w:rPr>
        <w:t>El contraste es evidente: mientras instituciones como la Universidad Francisco de Vitoria (UFV) y la Universidad Finis Terrae han logrado permear su gobernanza con planes que elevan la alimentación a un nivel de compromiso ético y de reporte, otras sedes aún mantienen un enfoque de Responsabilidad Social Universitaria (RSU) más tradicional y fragmentado. El Modelo Educativo Anáhuac 2025 ofrece el andamiaje perfecto para cerrar esta brecha, ya que su enfoque centrado en la persona exige que el entorno universitario funcione como un "currículo oculto".</w:t>
      </w:r>
    </w:p>
    <w:p w14:paraId="251F0FE7" w14:textId="46A94960" w:rsidR="00E143B1" w:rsidRPr="00E143B1" w:rsidRDefault="00E143B1" w:rsidP="00E143B1">
      <w:pPr>
        <w:spacing w:before="120"/>
        <w:jc w:val="both"/>
        <w:rPr>
          <w:rFonts w:ascii="Roboto" w:eastAsia="Roboto" w:hAnsi="Roboto" w:cs="Roboto"/>
          <w:sz w:val="20"/>
          <w:szCs w:val="20"/>
        </w:rPr>
      </w:pPr>
      <w:r w:rsidRPr="00E143B1">
        <w:rPr>
          <w:rFonts w:ascii="Roboto" w:eastAsia="Roboto" w:hAnsi="Roboto" w:cs="Roboto"/>
          <w:sz w:val="20"/>
          <w:szCs w:val="20"/>
        </w:rPr>
        <w:t xml:space="preserve">Transformar las cafeterías en </w:t>
      </w:r>
      <w:r>
        <w:rPr>
          <w:rFonts w:ascii="Roboto" w:eastAsia="Roboto" w:hAnsi="Roboto" w:cs="Roboto"/>
          <w:sz w:val="20"/>
          <w:szCs w:val="20"/>
        </w:rPr>
        <w:t>“</w:t>
      </w:r>
      <w:r w:rsidRPr="00E143B1">
        <w:rPr>
          <w:rFonts w:ascii="Roboto" w:eastAsia="Roboto" w:hAnsi="Roboto" w:cs="Roboto"/>
          <w:sz w:val="20"/>
          <w:szCs w:val="20"/>
        </w:rPr>
        <w:t>laboratorios vivos</w:t>
      </w:r>
      <w:r>
        <w:rPr>
          <w:rFonts w:ascii="Roboto" w:eastAsia="Roboto" w:hAnsi="Roboto" w:cs="Roboto"/>
          <w:sz w:val="20"/>
          <w:szCs w:val="20"/>
        </w:rPr>
        <w:t>”</w:t>
      </w:r>
      <w:r w:rsidRPr="00E143B1">
        <w:rPr>
          <w:rFonts w:ascii="Roboto" w:eastAsia="Roboto" w:hAnsi="Roboto" w:cs="Roboto"/>
          <w:sz w:val="20"/>
          <w:szCs w:val="20"/>
        </w:rPr>
        <w:t xml:space="preserve"> representa la mayor oportunidad estratégica para la Red. </w:t>
      </w:r>
      <w:r>
        <w:rPr>
          <w:rFonts w:ascii="Roboto" w:eastAsia="Roboto" w:hAnsi="Roboto" w:cs="Roboto"/>
          <w:sz w:val="20"/>
          <w:szCs w:val="20"/>
        </w:rPr>
        <w:t>L</w:t>
      </w:r>
      <w:r w:rsidRPr="00E143B1">
        <w:rPr>
          <w:rFonts w:ascii="Roboto" w:eastAsia="Roboto" w:hAnsi="Roboto" w:cs="Roboto"/>
          <w:sz w:val="20"/>
          <w:szCs w:val="20"/>
        </w:rPr>
        <w:t>a RIU puede utilizar su escala operativa para generar evidencia científica y formar líderes que no solo comprendan la crisis climática de forma teórica, sino que la combatan activamente a través de sus hábitos de consumo. Solo mediante esta alineación entre el plato, la norma y el modelo educativo, la RIU podrá consolidarse como un referente global de sostenibilidad con sentido humano.</w:t>
      </w:r>
    </w:p>
    <w:p w14:paraId="50877731" w14:textId="77777777" w:rsidR="0026465A" w:rsidRDefault="0026465A" w:rsidP="0026465A">
      <w:pPr>
        <w:jc w:val="both"/>
        <w:rPr>
          <w:rFonts w:ascii="Roboto" w:eastAsia="Roboto" w:hAnsi="Roboto" w:cs="Roboto"/>
          <w:b/>
          <w:bCs/>
          <w:sz w:val="20"/>
          <w:szCs w:val="20"/>
        </w:rPr>
      </w:pPr>
    </w:p>
    <w:p w14:paraId="23EE4E0F" w14:textId="77777777" w:rsidR="00527EA8" w:rsidRPr="00527EA8" w:rsidRDefault="00527EA8" w:rsidP="00527EA8">
      <w:pPr>
        <w:jc w:val="both"/>
        <w:rPr>
          <w:rFonts w:ascii="Roboto" w:eastAsia="Roboto" w:hAnsi="Roboto" w:cs="Roboto"/>
          <w:b/>
          <w:bCs/>
          <w:sz w:val="20"/>
          <w:szCs w:val="20"/>
        </w:rPr>
      </w:pPr>
      <w:r w:rsidRPr="00527EA8">
        <w:rPr>
          <w:rFonts w:ascii="Roboto" w:eastAsia="Roboto" w:hAnsi="Roboto" w:cs="Roboto"/>
          <w:b/>
          <w:bCs/>
          <w:sz w:val="20"/>
          <w:szCs w:val="20"/>
        </w:rPr>
        <w:t>5. Conclusiones y Propuesta Estratégica</w:t>
      </w:r>
    </w:p>
    <w:p w14:paraId="08355A3D" w14:textId="166D659A" w:rsidR="00527EA8" w:rsidRPr="00527EA8" w:rsidRDefault="00527EA8" w:rsidP="00527EA8">
      <w:pPr>
        <w:spacing w:before="120"/>
        <w:jc w:val="both"/>
        <w:rPr>
          <w:rFonts w:ascii="Roboto" w:eastAsia="Roboto" w:hAnsi="Roboto" w:cs="Roboto"/>
          <w:sz w:val="20"/>
          <w:szCs w:val="20"/>
        </w:rPr>
      </w:pPr>
      <w:r w:rsidRPr="00527EA8">
        <w:rPr>
          <w:rFonts w:ascii="Roboto" w:eastAsia="Roboto" w:hAnsi="Roboto" w:cs="Roboto"/>
          <w:sz w:val="20"/>
          <w:szCs w:val="20"/>
        </w:rPr>
        <w:t xml:space="preserve">La RIU posee la infraestructura y el sustento ético —enmarcado en la </w:t>
      </w:r>
      <w:r w:rsidR="008B478D">
        <w:rPr>
          <w:rFonts w:ascii="Roboto" w:eastAsia="Roboto" w:hAnsi="Roboto" w:cs="Roboto"/>
          <w:sz w:val="20"/>
          <w:szCs w:val="20"/>
        </w:rPr>
        <w:t>e</w:t>
      </w:r>
      <w:r w:rsidRPr="00527EA8">
        <w:rPr>
          <w:rFonts w:ascii="Roboto" w:eastAsia="Roboto" w:hAnsi="Roboto" w:cs="Roboto"/>
          <w:sz w:val="20"/>
          <w:szCs w:val="20"/>
        </w:rPr>
        <w:t xml:space="preserve">cología </w:t>
      </w:r>
      <w:r w:rsidR="008B478D">
        <w:rPr>
          <w:rFonts w:ascii="Roboto" w:eastAsia="Roboto" w:hAnsi="Roboto" w:cs="Roboto"/>
          <w:sz w:val="20"/>
          <w:szCs w:val="20"/>
        </w:rPr>
        <w:t>i</w:t>
      </w:r>
      <w:r w:rsidRPr="00527EA8">
        <w:rPr>
          <w:rFonts w:ascii="Roboto" w:eastAsia="Roboto" w:hAnsi="Roboto" w:cs="Roboto"/>
          <w:sz w:val="20"/>
          <w:szCs w:val="20"/>
        </w:rPr>
        <w:t xml:space="preserve">ntegral— para liderar la transición alimentaria en la educación superior. No obstante, los hallazgos demuestran que, para consolidar este liderazgo, es imperativo transitar de acciones tácticas aisladas hacia una gobernanza sistémica, coherente y cuantificable en todas sus sedes. </w:t>
      </w:r>
    </w:p>
    <w:p w14:paraId="01D37FE6" w14:textId="53192D7F" w:rsidR="00527EA8" w:rsidRPr="00527EA8" w:rsidRDefault="00527EA8" w:rsidP="008B478D">
      <w:pPr>
        <w:spacing w:before="120"/>
        <w:jc w:val="both"/>
        <w:rPr>
          <w:rFonts w:ascii="Roboto" w:eastAsia="Roboto" w:hAnsi="Roboto" w:cs="Roboto"/>
          <w:sz w:val="20"/>
          <w:szCs w:val="20"/>
        </w:rPr>
      </w:pPr>
      <w:r w:rsidRPr="00527EA8">
        <w:rPr>
          <w:rFonts w:ascii="Roboto" w:eastAsia="Roboto" w:hAnsi="Roboto" w:cs="Roboto"/>
          <w:b/>
          <w:bCs/>
          <w:sz w:val="20"/>
          <w:szCs w:val="20"/>
        </w:rPr>
        <w:t>Recomendaciones clave:</w:t>
      </w:r>
    </w:p>
    <w:p w14:paraId="29DE54B3" w14:textId="6E6CBFD2" w:rsidR="00527EA8" w:rsidRPr="008E09CA" w:rsidRDefault="008B478D" w:rsidP="00EF3B39">
      <w:pPr>
        <w:numPr>
          <w:ilvl w:val="0"/>
          <w:numId w:val="22"/>
        </w:numPr>
        <w:spacing w:before="120"/>
        <w:jc w:val="both"/>
        <w:rPr>
          <w:rFonts w:ascii="Roboto" w:eastAsia="Roboto" w:hAnsi="Roboto" w:cs="Roboto"/>
          <w:b/>
          <w:bCs/>
          <w:sz w:val="20"/>
          <w:szCs w:val="20"/>
        </w:rPr>
      </w:pPr>
      <w:r>
        <w:rPr>
          <w:rFonts w:ascii="Roboto" w:eastAsia="Roboto" w:hAnsi="Roboto" w:cs="Roboto"/>
          <w:b/>
          <w:bCs/>
          <w:sz w:val="20"/>
          <w:szCs w:val="20"/>
        </w:rPr>
        <w:t>Innovación</w:t>
      </w:r>
      <w:r w:rsidR="00527EA8" w:rsidRPr="00527EA8">
        <w:rPr>
          <w:rFonts w:ascii="Roboto" w:eastAsia="Roboto" w:hAnsi="Roboto" w:cs="Roboto"/>
          <w:b/>
          <w:bCs/>
          <w:sz w:val="20"/>
          <w:szCs w:val="20"/>
        </w:rPr>
        <w:t xml:space="preserve"> colaborativa:</w:t>
      </w:r>
      <w:r w:rsidR="00527EA8" w:rsidRPr="00527EA8">
        <w:rPr>
          <w:rFonts w:ascii="Roboto" w:eastAsia="Roboto" w:hAnsi="Roboto" w:cs="Roboto"/>
          <w:sz w:val="20"/>
          <w:szCs w:val="20"/>
        </w:rPr>
        <w:t xml:space="preserve"> Establecer mesas de trabajo interinstitucionales y multidisciplinarias para definir estrategias de sostenibilidad o planes de acción climática específicos para cada campus, asegurando que la alimentación sea considerada un pilar clave para la mitigación de emisiones y la formación estudiantil. </w:t>
      </w:r>
    </w:p>
    <w:p w14:paraId="51642F12" w14:textId="77777777" w:rsidR="00527EA8" w:rsidRPr="008E09CA" w:rsidRDefault="00527EA8" w:rsidP="00EF3B39">
      <w:pPr>
        <w:numPr>
          <w:ilvl w:val="0"/>
          <w:numId w:val="22"/>
        </w:numPr>
        <w:spacing w:before="120"/>
        <w:jc w:val="both"/>
        <w:rPr>
          <w:rFonts w:ascii="Roboto" w:eastAsia="Roboto" w:hAnsi="Roboto" w:cs="Roboto"/>
          <w:b/>
          <w:bCs/>
          <w:sz w:val="20"/>
          <w:szCs w:val="20"/>
        </w:rPr>
      </w:pPr>
      <w:r w:rsidRPr="00527EA8">
        <w:rPr>
          <w:rFonts w:ascii="Roboto" w:eastAsia="Roboto" w:hAnsi="Roboto" w:cs="Roboto"/>
          <w:b/>
          <w:bCs/>
          <w:sz w:val="20"/>
          <w:szCs w:val="20"/>
        </w:rPr>
        <w:t>Estandarización de reportes:</w:t>
      </w:r>
      <w:r w:rsidRPr="00527EA8">
        <w:rPr>
          <w:rFonts w:ascii="Roboto" w:eastAsia="Roboto" w:hAnsi="Roboto" w:cs="Roboto"/>
          <w:sz w:val="20"/>
          <w:szCs w:val="20"/>
        </w:rPr>
        <w:t xml:space="preserve"> Adoptar modelos de rendición de cuentas basados en estándares internacionales (GRI), tomando como referencia el </w:t>
      </w:r>
      <w:r w:rsidRPr="00527EA8">
        <w:rPr>
          <w:rFonts w:ascii="Roboto" w:eastAsia="Roboto" w:hAnsi="Roboto" w:cs="Roboto"/>
          <w:i/>
          <w:iCs/>
          <w:sz w:val="20"/>
          <w:szCs w:val="20"/>
        </w:rPr>
        <w:t>Bilancio di Sostenibilità</w:t>
      </w:r>
      <w:r w:rsidRPr="00527EA8">
        <w:rPr>
          <w:rFonts w:ascii="Roboto" w:eastAsia="Roboto" w:hAnsi="Roboto" w:cs="Roboto"/>
          <w:sz w:val="20"/>
          <w:szCs w:val="20"/>
        </w:rPr>
        <w:t xml:space="preserve"> de la Università Europea di Roma, para medir y transparentar el impacto real de los servicios alimentarios en toda la Red. </w:t>
      </w:r>
    </w:p>
    <w:p w14:paraId="0B6EA06E" w14:textId="77777777" w:rsidR="00527EA8" w:rsidRPr="008E09CA" w:rsidRDefault="00527EA8" w:rsidP="00EF3B39">
      <w:pPr>
        <w:numPr>
          <w:ilvl w:val="0"/>
          <w:numId w:val="22"/>
        </w:numPr>
        <w:spacing w:before="120"/>
        <w:jc w:val="both"/>
        <w:rPr>
          <w:rFonts w:ascii="Roboto" w:eastAsia="Roboto" w:hAnsi="Roboto" w:cs="Roboto"/>
          <w:b/>
          <w:bCs/>
          <w:sz w:val="20"/>
          <w:szCs w:val="20"/>
        </w:rPr>
      </w:pPr>
      <w:r w:rsidRPr="00527EA8">
        <w:rPr>
          <w:rFonts w:ascii="Roboto" w:eastAsia="Roboto" w:hAnsi="Roboto" w:cs="Roboto"/>
          <w:b/>
          <w:bCs/>
          <w:sz w:val="20"/>
          <w:szCs w:val="20"/>
        </w:rPr>
        <w:t>Adhesión al MCURC:</w:t>
      </w:r>
      <w:r w:rsidRPr="00527EA8">
        <w:rPr>
          <w:rFonts w:ascii="Roboto" w:eastAsia="Roboto" w:hAnsi="Roboto" w:cs="Roboto"/>
          <w:sz w:val="20"/>
          <w:szCs w:val="20"/>
        </w:rPr>
        <w:t xml:space="preserve"> Integrarse formalmente al </w:t>
      </w:r>
      <w:r w:rsidRPr="00527EA8">
        <w:rPr>
          <w:rFonts w:ascii="Roboto" w:eastAsia="Roboto" w:hAnsi="Roboto" w:cs="Roboto"/>
          <w:i/>
          <w:iCs/>
          <w:sz w:val="20"/>
          <w:szCs w:val="20"/>
        </w:rPr>
        <w:t>Menus of Change University Research Collaborative</w:t>
      </w:r>
      <w:r w:rsidRPr="00527EA8">
        <w:rPr>
          <w:rFonts w:ascii="Roboto" w:eastAsia="Roboto" w:hAnsi="Roboto" w:cs="Roboto"/>
          <w:sz w:val="20"/>
          <w:szCs w:val="20"/>
        </w:rPr>
        <w:t xml:space="preserve"> (MCURC). Esta alianza global proporciona el marco científico para transformar las cafeterías en herramientas efectivas de acción climática y salud humana.</w:t>
      </w:r>
    </w:p>
    <w:p w14:paraId="2E0D5C1A" w14:textId="77777777" w:rsidR="00527EA8" w:rsidRPr="00527EA8" w:rsidRDefault="00527EA8" w:rsidP="00527EA8">
      <w:pPr>
        <w:spacing w:before="120"/>
        <w:jc w:val="both"/>
        <w:rPr>
          <w:rFonts w:ascii="Roboto" w:eastAsia="Roboto" w:hAnsi="Roboto" w:cs="Roboto"/>
          <w:sz w:val="20"/>
          <w:szCs w:val="20"/>
        </w:rPr>
      </w:pPr>
      <w:r w:rsidRPr="00527EA8">
        <w:rPr>
          <w:rFonts w:ascii="Roboto" w:eastAsia="Roboto" w:hAnsi="Roboto" w:cs="Roboto"/>
          <w:sz w:val="20"/>
          <w:szCs w:val="20"/>
        </w:rPr>
        <w:t xml:space="preserve">Alinear el contenido del plato con la misión institucional permitirá a la RIU mitigar su huella ambiental y cumplir su propósito fundamental: formar líderes de acción positiva a través de la coherencia ética y el servicio al bien común. </w:t>
      </w:r>
    </w:p>
    <w:p w14:paraId="2632B5CA" w14:textId="77777777" w:rsidR="00527EA8" w:rsidRDefault="00527EA8" w:rsidP="00FC0FE7">
      <w:pPr>
        <w:jc w:val="both"/>
        <w:rPr>
          <w:rFonts w:ascii="Roboto" w:eastAsia="Roboto" w:hAnsi="Roboto" w:cs="Roboto"/>
          <w:sz w:val="20"/>
          <w:szCs w:val="20"/>
        </w:rPr>
      </w:pPr>
    </w:p>
    <w:p w14:paraId="183BBD9C" w14:textId="77777777" w:rsidR="00E23FDB" w:rsidRDefault="00E23FDB" w:rsidP="001600F8">
      <w:pPr>
        <w:jc w:val="both"/>
        <w:rPr>
          <w:rFonts w:ascii="Roboto" w:eastAsia="Roboto" w:hAnsi="Roboto" w:cs="Roboto"/>
          <w:b/>
          <w:bCs/>
          <w:sz w:val="20"/>
          <w:szCs w:val="20"/>
        </w:rPr>
      </w:pPr>
    </w:p>
    <w:p w14:paraId="1BDD44F2" w14:textId="6A173AE8" w:rsidR="001600F8" w:rsidRDefault="009B5E67" w:rsidP="001600F8">
      <w:pPr>
        <w:jc w:val="both"/>
        <w:rPr>
          <w:rFonts w:ascii="Roboto" w:eastAsia="Roboto" w:hAnsi="Roboto" w:cs="Roboto"/>
          <w:b/>
          <w:bCs/>
          <w:sz w:val="20"/>
          <w:szCs w:val="20"/>
        </w:rPr>
      </w:pPr>
      <w:r>
        <w:rPr>
          <w:rFonts w:ascii="Roboto" w:eastAsia="Roboto" w:hAnsi="Roboto" w:cs="Roboto"/>
          <w:b/>
          <w:bCs/>
          <w:sz w:val="20"/>
          <w:szCs w:val="20"/>
        </w:rPr>
        <w:lastRenderedPageBreak/>
        <w:t xml:space="preserve">6. </w:t>
      </w:r>
      <w:r w:rsidR="00985CAF" w:rsidRPr="009B5E67">
        <w:rPr>
          <w:rFonts w:ascii="Roboto" w:eastAsia="Roboto" w:hAnsi="Roboto" w:cs="Roboto"/>
          <w:b/>
          <w:bCs/>
          <w:sz w:val="20"/>
          <w:szCs w:val="20"/>
        </w:rPr>
        <w:t>Referencias bibliográficas:</w:t>
      </w:r>
    </w:p>
    <w:sdt>
      <w:sdtPr>
        <w:rPr>
          <w:rFonts w:ascii="Roboto" w:eastAsia="Roboto" w:hAnsi="Roboto" w:cs="Roboto"/>
          <w:b/>
          <w:bCs/>
          <w:sz w:val="20"/>
          <w:szCs w:val="20"/>
        </w:rPr>
        <w:tag w:val="rw.bWnCOutputStyleIdiblio"/>
        <w:id w:val="-115062390"/>
        <w:placeholder>
          <w:docPart w:val="00157141AF924B54A8BD7ACF2E51A678"/>
        </w:placeholder>
      </w:sdtPr>
      <w:sdtContent>
        <w:p w14:paraId="2E2E74A0" w14:textId="6BCCC26B"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Aguirre Sánchez, L., Roa- Díaz, Z. M., Gamba, M., Grisotto, G., Moreno Londoño, A. M., Mantilla-Uribe, B., Rincón Méndez, A. Y., Ballesteros, M., Kopp-Heim, D., Minder, B., Suggs, L. S., &amp; Franco, O. H. (2021). What Influences the Sustainable Food Consumption Behaviours of University Students? A Systematic Review.</w:t>
          </w:r>
          <w:r w:rsidRPr="001600F8">
            <w:rPr>
              <w:rFonts w:ascii="Roboto" w:hAnsi="Roboto"/>
              <w:i/>
              <w:iCs/>
              <w:sz w:val="20"/>
              <w:szCs w:val="20"/>
            </w:rPr>
            <w:t xml:space="preserve"> International Journal of Public Health, olume 66 - 2021</w:t>
          </w:r>
          <w:r w:rsidRPr="001600F8">
            <w:rPr>
              <w:rFonts w:ascii="Roboto" w:hAnsi="Roboto"/>
              <w:sz w:val="20"/>
              <w:szCs w:val="20"/>
            </w:rPr>
            <w:t xml:space="preserve"> </w:t>
          </w:r>
          <w:hyperlink r:id="rId9" w:tgtFrame="_blank" w:history="1">
            <w:r w:rsidRPr="001600F8">
              <w:rPr>
                <w:rStyle w:val="Hipervnculo"/>
                <w:rFonts w:ascii="Roboto" w:hAnsi="Roboto"/>
                <w:sz w:val="20"/>
                <w:szCs w:val="20"/>
              </w:rPr>
              <w:t>https://www.ssph-journal.org/journals/international-journal-of-public-health/articles/10.3389/ijph.2021.1604149</w:t>
            </w:r>
          </w:hyperlink>
        </w:p>
        <w:p w14:paraId="473CE72E" w14:textId="77777777"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Francisco, P. (2016). Carta encíclica Laudato Si, del Santo padre Francisco sobre el cuidado de la casa común.</w:t>
          </w:r>
          <w:r w:rsidRPr="001600F8">
            <w:rPr>
              <w:rFonts w:ascii="Roboto" w:hAnsi="Roboto"/>
              <w:i/>
              <w:iCs/>
              <w:sz w:val="20"/>
              <w:szCs w:val="20"/>
            </w:rPr>
            <w:t xml:space="preserve"> Ius Inkarri, 5</w:t>
          </w:r>
          <w:r w:rsidRPr="001600F8">
            <w:rPr>
              <w:rFonts w:ascii="Roboto" w:hAnsi="Roboto"/>
              <w:sz w:val="20"/>
              <w:szCs w:val="20"/>
            </w:rPr>
            <w:t xml:space="preserve">(5), 223–288. </w:t>
          </w:r>
        </w:p>
        <w:p w14:paraId="067DAD60" w14:textId="77777777"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Jurado-Gonzalez, P., Medina, F. X., Martínez-Garcia, A., &amp; Bach-Faig, A. (2025). Co-designing Social Cognitive Theory–based guidelines for social media culinary interventions to enhance cooking self-efficacy and diet quality among Spanish college students.</w:t>
          </w:r>
          <w:r w:rsidRPr="001600F8">
            <w:rPr>
              <w:rFonts w:ascii="Roboto" w:hAnsi="Roboto"/>
              <w:i/>
              <w:iCs/>
              <w:sz w:val="20"/>
              <w:szCs w:val="20"/>
            </w:rPr>
            <w:t xml:space="preserve"> International Journal of Gastronomy and Food Science, 42</w:t>
          </w:r>
          <w:r w:rsidRPr="001600F8">
            <w:rPr>
              <w:rFonts w:ascii="Roboto" w:hAnsi="Roboto"/>
              <w:sz w:val="20"/>
              <w:szCs w:val="20"/>
            </w:rPr>
            <w:t>, 101316. 10.1016/j.ijgfs.2025.101316</w:t>
          </w:r>
        </w:p>
        <w:p w14:paraId="1E70F14D" w14:textId="77777777"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Kratzer, S., Theurich, M. A., Mareis, T., Proebstl, S., Holliday, N., Yan, S., Leibinger, A., Monsef, I., Bach, L., Camargo, D. R., Schwingshackl, L., Simonetti, A., Hartmann, M., Lemken, D., &amp; von Philipsborn, P. (2025). Promoting healthy and sustainable diets through food service interventions in university settings: a scoping review.</w:t>
          </w:r>
          <w:r w:rsidRPr="001600F8">
            <w:rPr>
              <w:rFonts w:ascii="Roboto" w:hAnsi="Roboto"/>
              <w:i/>
              <w:iCs/>
              <w:sz w:val="20"/>
              <w:szCs w:val="20"/>
            </w:rPr>
            <w:t xml:space="preserve"> BMC Nutrition, 11</w:t>
          </w:r>
          <w:r w:rsidRPr="001600F8">
            <w:rPr>
              <w:rFonts w:ascii="Roboto" w:hAnsi="Roboto"/>
              <w:sz w:val="20"/>
              <w:szCs w:val="20"/>
            </w:rPr>
            <w:t>(1), 173. 10.1186/s40795-025-01158-3</w:t>
          </w:r>
        </w:p>
        <w:p w14:paraId="6DE5DE01" w14:textId="77777777"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Richardson, K., Steffen, W., Lucht, W., Bendtsen, J., Cornell, S. E., Donges, J. F., Drüke, M., Fetzer, I., Bala, G., &amp; Von Bloh, W. (2023). Earth beyond six of nine planetary boundaries.</w:t>
          </w:r>
          <w:r w:rsidRPr="001600F8">
            <w:rPr>
              <w:rFonts w:ascii="Roboto" w:hAnsi="Roboto"/>
              <w:i/>
              <w:iCs/>
              <w:sz w:val="20"/>
              <w:szCs w:val="20"/>
            </w:rPr>
            <w:t xml:space="preserve"> Science Advances, 9</w:t>
          </w:r>
          <w:r w:rsidRPr="001600F8">
            <w:rPr>
              <w:rFonts w:ascii="Roboto" w:hAnsi="Roboto"/>
              <w:sz w:val="20"/>
              <w:szCs w:val="20"/>
            </w:rPr>
            <w:t xml:space="preserve">(37), eadh2458. </w:t>
          </w:r>
        </w:p>
        <w:p w14:paraId="2682ADB2" w14:textId="77777777"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Rockström, J., Thilsted, S. H., Willett, W. C., Gordon, L. J., Herrero, M., Hicks, C. C., Mason-D'Croz, D., Rao, N., Springmann, M., &amp; Wright, E. C. (2025). The EAT–Lancet Commission on healthy, sustainable, and just food systems.</w:t>
          </w:r>
          <w:r w:rsidRPr="001600F8">
            <w:rPr>
              <w:rFonts w:ascii="Roboto" w:hAnsi="Roboto"/>
              <w:i/>
              <w:iCs/>
              <w:sz w:val="20"/>
              <w:szCs w:val="20"/>
            </w:rPr>
            <w:t xml:space="preserve"> The Lancet, 406</w:t>
          </w:r>
          <w:r w:rsidRPr="001600F8">
            <w:rPr>
              <w:rFonts w:ascii="Roboto" w:hAnsi="Roboto"/>
              <w:sz w:val="20"/>
              <w:szCs w:val="20"/>
            </w:rPr>
            <w:t xml:space="preserve">(10512), 1625–1700. </w:t>
          </w:r>
        </w:p>
        <w:p w14:paraId="7E4E5DB4" w14:textId="77777777"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 xml:space="preserve">Tilman, D., &amp; Clark, M. (2014). Global diets </w:t>
          </w:r>
          <w:proofErr w:type="gramStart"/>
          <w:r w:rsidRPr="001600F8">
            <w:rPr>
              <w:rFonts w:ascii="Roboto" w:hAnsi="Roboto"/>
              <w:sz w:val="20"/>
              <w:szCs w:val="20"/>
            </w:rPr>
            <w:t>link</w:t>
          </w:r>
          <w:proofErr w:type="gramEnd"/>
          <w:r w:rsidRPr="001600F8">
            <w:rPr>
              <w:rFonts w:ascii="Roboto" w:hAnsi="Roboto"/>
              <w:sz w:val="20"/>
              <w:szCs w:val="20"/>
            </w:rPr>
            <w:t xml:space="preserve"> environmental sustainability and human health.</w:t>
          </w:r>
          <w:r w:rsidRPr="001600F8">
            <w:rPr>
              <w:rFonts w:ascii="Roboto" w:hAnsi="Roboto"/>
              <w:i/>
              <w:iCs/>
              <w:sz w:val="20"/>
              <w:szCs w:val="20"/>
            </w:rPr>
            <w:t xml:space="preserve"> Nature, 515</w:t>
          </w:r>
          <w:r w:rsidRPr="001600F8">
            <w:rPr>
              <w:rFonts w:ascii="Roboto" w:hAnsi="Roboto"/>
              <w:sz w:val="20"/>
              <w:szCs w:val="20"/>
            </w:rPr>
            <w:t xml:space="preserve">(7528), 518–522. </w:t>
          </w:r>
        </w:p>
        <w:p w14:paraId="1F6DACA4" w14:textId="77777777" w:rsidR="001600F8" w:rsidRPr="001600F8" w:rsidRDefault="001600F8" w:rsidP="00AD167D">
          <w:pPr>
            <w:pStyle w:val="NormalWeb"/>
            <w:spacing w:before="120" w:beforeAutospacing="0" w:after="0" w:afterAutospacing="0"/>
            <w:ind w:left="450" w:hanging="450"/>
            <w:rPr>
              <w:rFonts w:ascii="Roboto" w:hAnsi="Roboto"/>
              <w:sz w:val="20"/>
              <w:szCs w:val="20"/>
            </w:rPr>
          </w:pPr>
          <w:r w:rsidRPr="001600F8">
            <w:rPr>
              <w:rFonts w:ascii="Roboto" w:hAnsi="Roboto"/>
              <w:sz w:val="20"/>
              <w:szCs w:val="20"/>
            </w:rPr>
            <w:t>Zhang, A. W., Wharton, C., Cloonan, S., Boronowsky, R., Magesh, V., Braverman, I., Marquez, A., Leidy, H., Wang, M. C., Cleveland, D. A., Jay, J., &amp; Stecher, C. (2024). Changing the default meal option at university events to reduce harmful environmental impacts: Six randomized controlled trials.</w:t>
          </w:r>
          <w:r w:rsidRPr="001600F8">
            <w:rPr>
              <w:rFonts w:ascii="Roboto" w:hAnsi="Roboto"/>
              <w:i/>
              <w:iCs/>
              <w:sz w:val="20"/>
              <w:szCs w:val="20"/>
            </w:rPr>
            <w:t xml:space="preserve"> Appetite, 200</w:t>
          </w:r>
          <w:r w:rsidRPr="001600F8">
            <w:rPr>
              <w:rFonts w:ascii="Roboto" w:hAnsi="Roboto"/>
              <w:sz w:val="20"/>
              <w:szCs w:val="20"/>
            </w:rPr>
            <w:t>, 107572. 10.1016/j.appet.2024.107572</w:t>
          </w:r>
        </w:p>
        <w:p w14:paraId="429B1F37" w14:textId="4D84D8EF" w:rsidR="001600F8" w:rsidRPr="001600F8" w:rsidRDefault="001600F8" w:rsidP="00AD167D">
          <w:pPr>
            <w:spacing w:before="120"/>
            <w:jc w:val="both"/>
            <w:rPr>
              <w:rFonts w:ascii="Roboto" w:eastAsia="Roboto" w:hAnsi="Roboto" w:cs="Roboto"/>
              <w:b/>
              <w:bCs/>
              <w:sz w:val="20"/>
              <w:szCs w:val="20"/>
            </w:rPr>
          </w:pPr>
        </w:p>
      </w:sdtContent>
    </w:sdt>
    <w:p w14:paraId="6EBF1432" w14:textId="1ADA4523" w:rsidR="00985CAF" w:rsidRDefault="00985CAF" w:rsidP="009B5E67">
      <w:pPr>
        <w:spacing w:before="120"/>
        <w:jc w:val="both"/>
        <w:rPr>
          <w:rFonts w:ascii="Roboto" w:eastAsia="Roboto" w:hAnsi="Roboto" w:cs="Roboto"/>
          <w:sz w:val="20"/>
          <w:szCs w:val="20"/>
        </w:rPr>
      </w:pPr>
    </w:p>
    <w:sectPr w:rsidR="00985CAF" w:rsidSect="00E23FDB">
      <w:type w:val="continuous"/>
      <w:pgSz w:w="11906" w:h="16838"/>
      <w:pgMar w:top="1134" w:right="851" w:bottom="1134" w:left="851" w:header="357" w:footer="720" w:gutter="0"/>
      <w:cols w:num="2" w:space="33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341BAB" w14:textId="77777777" w:rsidR="00512BBF" w:rsidRDefault="00512BBF">
      <w:r>
        <w:separator/>
      </w:r>
    </w:p>
  </w:endnote>
  <w:endnote w:type="continuationSeparator" w:id="0">
    <w:p w14:paraId="6ABE7ED0" w14:textId="77777777" w:rsidR="00512BBF" w:rsidRDefault="00512B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1DBCBFB8-649A-4BB1-A217-8E0633E48FF8}"/>
  </w:font>
  <w:font w:name="Georgia">
    <w:panose1 w:val="02040502050405020303"/>
    <w:charset w:val="00"/>
    <w:family w:val="roman"/>
    <w:pitch w:val="variable"/>
    <w:sig w:usb0="00000287" w:usb1="00000000" w:usb2="00000000" w:usb3="00000000" w:csb0="0000009F" w:csb1="00000000"/>
    <w:embedRegular r:id="rId2" w:fontKey="{AB72206C-EB18-486B-9265-4E15F8190CAC}"/>
    <w:embedItalic r:id="rId3" w:fontKey="{89E62B80-0797-45BB-A8F7-46D6CBCD3B6F}"/>
  </w:font>
  <w:font w:name="Roboto">
    <w:panose1 w:val="02000000000000000000"/>
    <w:charset w:val="00"/>
    <w:family w:val="auto"/>
    <w:pitch w:val="variable"/>
    <w:sig w:usb0="E00002FF" w:usb1="5000205B" w:usb2="00000020" w:usb3="00000000" w:csb0="0000019F" w:csb1="00000000"/>
    <w:embedRegular r:id="rId4" w:fontKey="{334D7725-E0A2-43A6-9C37-6BFF69B5A141}"/>
    <w:embedBold r:id="rId5" w:fontKey="{3AB9A324-CF44-447F-B181-5F1B916CA9B2}"/>
    <w:embedItalic r:id="rId6" w:fontKey="{B626CE60-F109-45A4-90BA-29F269EA6CEA}"/>
  </w:font>
  <w:font w:name="Calibri Light">
    <w:panose1 w:val="020F0302020204030204"/>
    <w:charset w:val="00"/>
    <w:family w:val="swiss"/>
    <w:pitch w:val="variable"/>
    <w:sig w:usb0="E4002EFF" w:usb1="C200247B" w:usb2="00000009" w:usb3="00000000" w:csb0="000001FF" w:csb1="00000000"/>
    <w:embedRegular r:id="rId7" w:fontKey="{0CC493C3-CF25-4117-BA56-0E8FA2683F4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896BED" w14:textId="77777777" w:rsidR="00512BBF" w:rsidRDefault="00512BBF">
      <w:r>
        <w:separator/>
      </w:r>
    </w:p>
  </w:footnote>
  <w:footnote w:type="continuationSeparator" w:id="0">
    <w:p w14:paraId="3DDE9934" w14:textId="77777777" w:rsidR="00512BBF" w:rsidRDefault="00512B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01136"/>
    <w:multiLevelType w:val="hybridMultilevel"/>
    <w:tmpl w:val="E946B03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 w15:restartNumberingAfterBreak="0">
    <w:nsid w:val="061C16F4"/>
    <w:multiLevelType w:val="hybridMultilevel"/>
    <w:tmpl w:val="67F206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5974E4"/>
    <w:multiLevelType w:val="multilevel"/>
    <w:tmpl w:val="A094C1F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08FA03E5"/>
    <w:multiLevelType w:val="multilevel"/>
    <w:tmpl w:val="4DF6575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199C1987"/>
    <w:multiLevelType w:val="hybridMultilevel"/>
    <w:tmpl w:val="1E144990"/>
    <w:lvl w:ilvl="0" w:tplc="D6A4D610">
      <w:start w:val="1"/>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BBA766C"/>
    <w:multiLevelType w:val="hybridMultilevel"/>
    <w:tmpl w:val="9852F5E8"/>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6" w15:restartNumberingAfterBreak="0">
    <w:nsid w:val="2F2F6836"/>
    <w:multiLevelType w:val="multilevel"/>
    <w:tmpl w:val="6A105E5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36896E74"/>
    <w:multiLevelType w:val="hybridMultilevel"/>
    <w:tmpl w:val="4CAE0A78"/>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15:restartNumberingAfterBreak="0">
    <w:nsid w:val="5A261D55"/>
    <w:multiLevelType w:val="hybridMultilevel"/>
    <w:tmpl w:val="1DA21F7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 w15:restartNumberingAfterBreak="0">
    <w:nsid w:val="5A5F2AED"/>
    <w:multiLevelType w:val="multilevel"/>
    <w:tmpl w:val="EA9A9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E316C9"/>
    <w:multiLevelType w:val="multilevel"/>
    <w:tmpl w:val="98A8F4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2CD0E05"/>
    <w:multiLevelType w:val="multilevel"/>
    <w:tmpl w:val="1B68D53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64596F1D"/>
    <w:multiLevelType w:val="hybridMultilevel"/>
    <w:tmpl w:val="82289E52"/>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15:restartNumberingAfterBreak="0">
    <w:nsid w:val="645B3358"/>
    <w:multiLevelType w:val="hybridMultilevel"/>
    <w:tmpl w:val="0C9E5214"/>
    <w:lvl w:ilvl="0" w:tplc="080A0001">
      <w:start w:val="1"/>
      <w:numFmt w:val="bullet"/>
      <w:lvlText w:val=""/>
      <w:lvlJc w:val="left"/>
      <w:pPr>
        <w:ind w:left="3600" w:hanging="360"/>
      </w:pPr>
      <w:rPr>
        <w:rFonts w:ascii="Symbol" w:hAnsi="Symbol" w:hint="default"/>
      </w:rPr>
    </w:lvl>
    <w:lvl w:ilvl="1" w:tplc="080A0003" w:tentative="1">
      <w:start w:val="1"/>
      <w:numFmt w:val="bullet"/>
      <w:lvlText w:val="o"/>
      <w:lvlJc w:val="left"/>
      <w:pPr>
        <w:ind w:left="4320" w:hanging="360"/>
      </w:pPr>
      <w:rPr>
        <w:rFonts w:ascii="Courier New" w:hAnsi="Courier New" w:cs="Courier New" w:hint="default"/>
      </w:rPr>
    </w:lvl>
    <w:lvl w:ilvl="2" w:tplc="080A0005" w:tentative="1">
      <w:start w:val="1"/>
      <w:numFmt w:val="bullet"/>
      <w:lvlText w:val=""/>
      <w:lvlJc w:val="left"/>
      <w:pPr>
        <w:ind w:left="5040" w:hanging="360"/>
      </w:pPr>
      <w:rPr>
        <w:rFonts w:ascii="Wingdings" w:hAnsi="Wingdings" w:hint="default"/>
      </w:rPr>
    </w:lvl>
    <w:lvl w:ilvl="3" w:tplc="080A0001" w:tentative="1">
      <w:start w:val="1"/>
      <w:numFmt w:val="bullet"/>
      <w:lvlText w:val=""/>
      <w:lvlJc w:val="left"/>
      <w:pPr>
        <w:ind w:left="5760" w:hanging="360"/>
      </w:pPr>
      <w:rPr>
        <w:rFonts w:ascii="Symbol" w:hAnsi="Symbol" w:hint="default"/>
      </w:rPr>
    </w:lvl>
    <w:lvl w:ilvl="4" w:tplc="080A0003" w:tentative="1">
      <w:start w:val="1"/>
      <w:numFmt w:val="bullet"/>
      <w:lvlText w:val="o"/>
      <w:lvlJc w:val="left"/>
      <w:pPr>
        <w:ind w:left="6480" w:hanging="360"/>
      </w:pPr>
      <w:rPr>
        <w:rFonts w:ascii="Courier New" w:hAnsi="Courier New" w:cs="Courier New" w:hint="default"/>
      </w:rPr>
    </w:lvl>
    <w:lvl w:ilvl="5" w:tplc="080A0005" w:tentative="1">
      <w:start w:val="1"/>
      <w:numFmt w:val="bullet"/>
      <w:lvlText w:val=""/>
      <w:lvlJc w:val="left"/>
      <w:pPr>
        <w:ind w:left="7200" w:hanging="360"/>
      </w:pPr>
      <w:rPr>
        <w:rFonts w:ascii="Wingdings" w:hAnsi="Wingdings" w:hint="default"/>
      </w:rPr>
    </w:lvl>
    <w:lvl w:ilvl="6" w:tplc="080A0001" w:tentative="1">
      <w:start w:val="1"/>
      <w:numFmt w:val="bullet"/>
      <w:lvlText w:val=""/>
      <w:lvlJc w:val="left"/>
      <w:pPr>
        <w:ind w:left="7920" w:hanging="360"/>
      </w:pPr>
      <w:rPr>
        <w:rFonts w:ascii="Symbol" w:hAnsi="Symbol" w:hint="default"/>
      </w:rPr>
    </w:lvl>
    <w:lvl w:ilvl="7" w:tplc="080A0003" w:tentative="1">
      <w:start w:val="1"/>
      <w:numFmt w:val="bullet"/>
      <w:lvlText w:val="o"/>
      <w:lvlJc w:val="left"/>
      <w:pPr>
        <w:ind w:left="8640" w:hanging="360"/>
      </w:pPr>
      <w:rPr>
        <w:rFonts w:ascii="Courier New" w:hAnsi="Courier New" w:cs="Courier New" w:hint="default"/>
      </w:rPr>
    </w:lvl>
    <w:lvl w:ilvl="8" w:tplc="080A0005" w:tentative="1">
      <w:start w:val="1"/>
      <w:numFmt w:val="bullet"/>
      <w:lvlText w:val=""/>
      <w:lvlJc w:val="left"/>
      <w:pPr>
        <w:ind w:left="9360" w:hanging="360"/>
      </w:pPr>
      <w:rPr>
        <w:rFonts w:ascii="Wingdings" w:hAnsi="Wingdings" w:hint="default"/>
      </w:rPr>
    </w:lvl>
  </w:abstractNum>
  <w:abstractNum w:abstractNumId="14" w15:restartNumberingAfterBreak="0">
    <w:nsid w:val="673E0DB2"/>
    <w:multiLevelType w:val="multilevel"/>
    <w:tmpl w:val="4AEEE14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5" w15:restartNumberingAfterBreak="0">
    <w:nsid w:val="68DB7907"/>
    <w:multiLevelType w:val="multilevel"/>
    <w:tmpl w:val="A67EA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D452D68"/>
    <w:multiLevelType w:val="multilevel"/>
    <w:tmpl w:val="3BA0EFF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70D44106"/>
    <w:multiLevelType w:val="hybridMultilevel"/>
    <w:tmpl w:val="F1421664"/>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8" w15:restartNumberingAfterBreak="0">
    <w:nsid w:val="73C93178"/>
    <w:multiLevelType w:val="multilevel"/>
    <w:tmpl w:val="DBDAF47C"/>
    <w:lvl w:ilvl="0">
      <w:start w:val="1"/>
      <w:numFmt w:val="upperLetter"/>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15:restartNumberingAfterBreak="0">
    <w:nsid w:val="7A462C48"/>
    <w:multiLevelType w:val="hybridMultilevel"/>
    <w:tmpl w:val="E6BC5C2E"/>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7C6D37E0"/>
    <w:multiLevelType w:val="multilevel"/>
    <w:tmpl w:val="77183CF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7EEE4250"/>
    <w:multiLevelType w:val="multilevel"/>
    <w:tmpl w:val="68F8715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16cid:durableId="504975695">
    <w:abstractNumId w:val="5"/>
  </w:num>
  <w:num w:numId="2" w16cid:durableId="497775005">
    <w:abstractNumId w:val="12"/>
  </w:num>
  <w:num w:numId="3" w16cid:durableId="1162161543">
    <w:abstractNumId w:val="8"/>
  </w:num>
  <w:num w:numId="4" w16cid:durableId="271548340">
    <w:abstractNumId w:val="19"/>
  </w:num>
  <w:num w:numId="5" w16cid:durableId="2017027068">
    <w:abstractNumId w:val="0"/>
  </w:num>
  <w:num w:numId="6" w16cid:durableId="1724866077">
    <w:abstractNumId w:val="7"/>
  </w:num>
  <w:num w:numId="7" w16cid:durableId="1522090708">
    <w:abstractNumId w:val="1"/>
  </w:num>
  <w:num w:numId="8" w16cid:durableId="1913543441">
    <w:abstractNumId w:val="17"/>
  </w:num>
  <w:num w:numId="9" w16cid:durableId="1587811963">
    <w:abstractNumId w:val="4"/>
  </w:num>
  <w:num w:numId="10" w16cid:durableId="615134857">
    <w:abstractNumId w:val="13"/>
  </w:num>
  <w:num w:numId="11" w16cid:durableId="2025981123">
    <w:abstractNumId w:val="3"/>
  </w:num>
  <w:num w:numId="12" w16cid:durableId="1285649783">
    <w:abstractNumId w:val="16"/>
  </w:num>
  <w:num w:numId="13" w16cid:durableId="1194030558">
    <w:abstractNumId w:val="6"/>
  </w:num>
  <w:num w:numId="14" w16cid:durableId="967902842">
    <w:abstractNumId w:val="15"/>
  </w:num>
  <w:num w:numId="15" w16cid:durableId="1149632728">
    <w:abstractNumId w:val="18"/>
  </w:num>
  <w:num w:numId="16" w16cid:durableId="1567910425">
    <w:abstractNumId w:val="20"/>
  </w:num>
  <w:num w:numId="17" w16cid:durableId="856456863">
    <w:abstractNumId w:val="9"/>
  </w:num>
  <w:num w:numId="18" w16cid:durableId="1140075096">
    <w:abstractNumId w:val="21"/>
  </w:num>
  <w:num w:numId="19" w16cid:durableId="366024807">
    <w:abstractNumId w:val="11"/>
  </w:num>
  <w:num w:numId="20" w16cid:durableId="474219612">
    <w:abstractNumId w:val="10"/>
  </w:num>
  <w:num w:numId="21" w16cid:durableId="732234673">
    <w:abstractNumId w:val="14"/>
  </w:num>
  <w:num w:numId="22" w16cid:durableId="2680453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7C55"/>
    <w:rsid w:val="00024A0D"/>
    <w:rsid w:val="00025C72"/>
    <w:rsid w:val="00025D05"/>
    <w:rsid w:val="00030EC1"/>
    <w:rsid w:val="00033FFC"/>
    <w:rsid w:val="0007682F"/>
    <w:rsid w:val="000C2D65"/>
    <w:rsid w:val="000D24C5"/>
    <w:rsid w:val="000D76B2"/>
    <w:rsid w:val="00122025"/>
    <w:rsid w:val="00136A2F"/>
    <w:rsid w:val="001430E1"/>
    <w:rsid w:val="00150B2E"/>
    <w:rsid w:val="001600F8"/>
    <w:rsid w:val="001C04FD"/>
    <w:rsid w:val="001E0E0B"/>
    <w:rsid w:val="001E691F"/>
    <w:rsid w:val="001F2304"/>
    <w:rsid w:val="00215590"/>
    <w:rsid w:val="0023431D"/>
    <w:rsid w:val="0026465A"/>
    <w:rsid w:val="00286507"/>
    <w:rsid w:val="002A7937"/>
    <w:rsid w:val="002B22E5"/>
    <w:rsid w:val="002C3731"/>
    <w:rsid w:val="002C5332"/>
    <w:rsid w:val="002D35F6"/>
    <w:rsid w:val="002E043B"/>
    <w:rsid w:val="00315C00"/>
    <w:rsid w:val="00335C83"/>
    <w:rsid w:val="00354E48"/>
    <w:rsid w:val="003B1C2D"/>
    <w:rsid w:val="003E69F6"/>
    <w:rsid w:val="003F30EA"/>
    <w:rsid w:val="004014DC"/>
    <w:rsid w:val="00403832"/>
    <w:rsid w:val="004067A5"/>
    <w:rsid w:val="00425A13"/>
    <w:rsid w:val="00461546"/>
    <w:rsid w:val="004C4A85"/>
    <w:rsid w:val="00500086"/>
    <w:rsid w:val="00500E33"/>
    <w:rsid w:val="00512BBF"/>
    <w:rsid w:val="00527EA8"/>
    <w:rsid w:val="005942C5"/>
    <w:rsid w:val="005A0D71"/>
    <w:rsid w:val="005E2E8E"/>
    <w:rsid w:val="00606C0F"/>
    <w:rsid w:val="00654C68"/>
    <w:rsid w:val="006B56F8"/>
    <w:rsid w:val="006D02AF"/>
    <w:rsid w:val="00704295"/>
    <w:rsid w:val="007048FE"/>
    <w:rsid w:val="007062FD"/>
    <w:rsid w:val="007407AC"/>
    <w:rsid w:val="007567DD"/>
    <w:rsid w:val="0076755F"/>
    <w:rsid w:val="007A503C"/>
    <w:rsid w:val="007F44EC"/>
    <w:rsid w:val="00802E4D"/>
    <w:rsid w:val="00811063"/>
    <w:rsid w:val="00830D76"/>
    <w:rsid w:val="0083741F"/>
    <w:rsid w:val="00846C4F"/>
    <w:rsid w:val="00876E2A"/>
    <w:rsid w:val="008901AE"/>
    <w:rsid w:val="008B478D"/>
    <w:rsid w:val="008E09CA"/>
    <w:rsid w:val="008F7E71"/>
    <w:rsid w:val="00900391"/>
    <w:rsid w:val="0096313B"/>
    <w:rsid w:val="00965F5F"/>
    <w:rsid w:val="00983235"/>
    <w:rsid w:val="00985CAF"/>
    <w:rsid w:val="009A2DBA"/>
    <w:rsid w:val="009A4F64"/>
    <w:rsid w:val="009B5E67"/>
    <w:rsid w:val="00A028F6"/>
    <w:rsid w:val="00A02A25"/>
    <w:rsid w:val="00A02F44"/>
    <w:rsid w:val="00A17907"/>
    <w:rsid w:val="00A543C7"/>
    <w:rsid w:val="00A636DE"/>
    <w:rsid w:val="00AD1149"/>
    <w:rsid w:val="00AD167D"/>
    <w:rsid w:val="00AF3471"/>
    <w:rsid w:val="00B102E9"/>
    <w:rsid w:val="00B17174"/>
    <w:rsid w:val="00B46DD3"/>
    <w:rsid w:val="00B844C7"/>
    <w:rsid w:val="00BA1607"/>
    <w:rsid w:val="00BB670E"/>
    <w:rsid w:val="00BC3E2F"/>
    <w:rsid w:val="00BE16B6"/>
    <w:rsid w:val="00C1244F"/>
    <w:rsid w:val="00C134A0"/>
    <w:rsid w:val="00C41EA1"/>
    <w:rsid w:val="00C7127B"/>
    <w:rsid w:val="00C83895"/>
    <w:rsid w:val="00C92E31"/>
    <w:rsid w:val="00C96A6A"/>
    <w:rsid w:val="00CD7C55"/>
    <w:rsid w:val="00D056BE"/>
    <w:rsid w:val="00D600A0"/>
    <w:rsid w:val="00DB7B01"/>
    <w:rsid w:val="00DC0534"/>
    <w:rsid w:val="00DC175E"/>
    <w:rsid w:val="00DD0CA5"/>
    <w:rsid w:val="00DD50CE"/>
    <w:rsid w:val="00DE1AE2"/>
    <w:rsid w:val="00DF2291"/>
    <w:rsid w:val="00E143B1"/>
    <w:rsid w:val="00E23FDB"/>
    <w:rsid w:val="00E4131B"/>
    <w:rsid w:val="00E640C3"/>
    <w:rsid w:val="00E72ECF"/>
    <w:rsid w:val="00E76D44"/>
    <w:rsid w:val="00EC61A8"/>
    <w:rsid w:val="00EC7AB0"/>
    <w:rsid w:val="00EF3B39"/>
    <w:rsid w:val="00EF692F"/>
    <w:rsid w:val="00F067B2"/>
    <w:rsid w:val="00F22F29"/>
    <w:rsid w:val="00F349F7"/>
    <w:rsid w:val="00F56F27"/>
    <w:rsid w:val="00F647BA"/>
    <w:rsid w:val="00F65FC5"/>
    <w:rsid w:val="00FC0FE7"/>
    <w:rsid w:val="00FF235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2DB1D"/>
  <w15:docId w15:val="{E076843D-877F-4B61-9724-E0C7AD50D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175E"/>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Normal1"/>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4">
    <w:name w:val="4"/>
    <w:basedOn w:val="TableNormal1"/>
    <w:tblPr>
      <w:tblStyleRowBandSize w:val="1"/>
      <w:tblStyleColBandSize w:val="1"/>
      <w:tblCellMar>
        <w:top w:w="0" w:type="dxa"/>
        <w:left w:w="115" w:type="dxa"/>
        <w:bottom w:w="0" w:type="dxa"/>
        <w:right w:w="115" w:type="dxa"/>
      </w:tblCellMar>
    </w:tblPr>
  </w:style>
  <w:style w:type="table" w:customStyle="1" w:styleId="3">
    <w:name w:val="3"/>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
    <w:name w:val="2"/>
    <w:basedOn w:val="TableNormal1"/>
    <w:tblPr>
      <w:tblStyleRowBandSize w:val="1"/>
      <w:tblStyleColBandSize w:val="1"/>
      <w:tblCellMar>
        <w:top w:w="0" w:type="dxa"/>
        <w:left w:w="115" w:type="dxa"/>
        <w:bottom w:w="0" w:type="dxa"/>
        <w:right w:w="115" w:type="dxa"/>
      </w:tblCellMar>
    </w:tblPr>
  </w:style>
  <w:style w:type="table" w:customStyle="1" w:styleId="1">
    <w:name w:val="1"/>
    <w:basedOn w:val="TableNormal1"/>
    <w:tblPr>
      <w:tblStyleRowBandSize w:val="1"/>
      <w:tblStyleColBandSize w:val="1"/>
      <w:tblCellMar>
        <w:top w:w="0" w:type="dxa"/>
        <w:left w:w="115" w:type="dxa"/>
        <w:bottom w:w="0" w:type="dxa"/>
        <w:right w:w="115" w:type="dxa"/>
      </w:tblCellMar>
    </w:tblPr>
  </w:style>
  <w:style w:type="paragraph" w:styleId="Prrafodelista">
    <w:name w:val="List Paragraph"/>
    <w:basedOn w:val="Normal"/>
    <w:uiPriority w:val="34"/>
    <w:qFormat/>
    <w:rsid w:val="00500086"/>
    <w:pPr>
      <w:ind w:left="720"/>
      <w:contextualSpacing/>
    </w:pPr>
  </w:style>
  <w:style w:type="character" w:styleId="Textodelmarcadordeposicin">
    <w:name w:val="Placeholder Text"/>
    <w:basedOn w:val="Fuentedeprrafopredeter"/>
    <w:uiPriority w:val="99"/>
    <w:semiHidden/>
    <w:rsid w:val="00AD1149"/>
    <w:rPr>
      <w:color w:val="666666"/>
    </w:rPr>
  </w:style>
  <w:style w:type="paragraph" w:styleId="NormalWeb">
    <w:name w:val="Normal (Web)"/>
    <w:basedOn w:val="Normal"/>
    <w:uiPriority w:val="99"/>
    <w:semiHidden/>
    <w:unhideWhenUsed/>
    <w:rsid w:val="001600F8"/>
    <w:pPr>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ssph-journal.org/journals/international-journal-of-public-health/articles/10.3389/ijph.2021.1604149"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8BE028216164FDFBA55D15C2B76660B"/>
        <w:category>
          <w:name w:val="General"/>
          <w:gallery w:val="placeholder"/>
        </w:category>
        <w:types>
          <w:type w:val="bbPlcHdr"/>
        </w:types>
        <w:behaviors>
          <w:behavior w:val="content"/>
        </w:behaviors>
        <w:guid w:val="{A89E8852-D094-4636-B411-81A8FEFF27AA}"/>
      </w:docPartPr>
      <w:docPartBody>
        <w:p w:rsidR="00000000" w:rsidRDefault="00C20DFC" w:rsidP="00C20DFC">
          <w:pPr>
            <w:pStyle w:val="58BE028216164FDFBA55D15C2B76660B"/>
          </w:pPr>
          <w:r w:rsidRPr="001D64B4">
            <w:rPr>
              <w:rStyle w:val="Textodelmarcadordeposicin"/>
            </w:rPr>
            <w:t>Formatting...</w:t>
          </w:r>
        </w:p>
      </w:docPartBody>
    </w:docPart>
    <w:docPart>
      <w:docPartPr>
        <w:name w:val="04978DA0F39142BF909401460C64ED30"/>
        <w:category>
          <w:name w:val="General"/>
          <w:gallery w:val="placeholder"/>
        </w:category>
        <w:types>
          <w:type w:val="bbPlcHdr"/>
        </w:types>
        <w:behaviors>
          <w:behavior w:val="content"/>
        </w:behaviors>
        <w:guid w:val="{77246F8C-DB56-4639-96EE-E661634050E8}"/>
      </w:docPartPr>
      <w:docPartBody>
        <w:p w:rsidR="00000000" w:rsidRDefault="00C20DFC" w:rsidP="00C20DFC">
          <w:pPr>
            <w:pStyle w:val="04978DA0F39142BF909401460C64ED30"/>
          </w:pPr>
          <w:r w:rsidRPr="006A00A2">
            <w:rPr>
              <w:rStyle w:val="Textodelmarcadordeposicin"/>
            </w:rPr>
            <w:t>Formatting...</w:t>
          </w:r>
        </w:p>
      </w:docPartBody>
    </w:docPart>
    <w:docPart>
      <w:docPartPr>
        <w:name w:val="A03DF808A2484BE0A8FE496D16BBAAAC"/>
        <w:category>
          <w:name w:val="General"/>
          <w:gallery w:val="placeholder"/>
        </w:category>
        <w:types>
          <w:type w:val="bbPlcHdr"/>
        </w:types>
        <w:behaviors>
          <w:behavior w:val="content"/>
        </w:behaviors>
        <w:guid w:val="{BF8B7ED0-24DD-4CCF-A3F2-61161C309FCE}"/>
      </w:docPartPr>
      <w:docPartBody>
        <w:p w:rsidR="00000000" w:rsidRDefault="00C20DFC">
          <w:r w:rsidRPr="00C24914">
            <w:rPr>
              <w:rStyle w:val="Textodelmarcadordeposicin"/>
            </w:rPr>
            <w:t>Formatting...</w:t>
          </w:r>
        </w:p>
      </w:docPartBody>
    </w:docPart>
    <w:docPart>
      <w:docPartPr>
        <w:name w:val="2B3A53E15677449384B1A0B51F8DC2EE"/>
        <w:category>
          <w:name w:val="General"/>
          <w:gallery w:val="placeholder"/>
        </w:category>
        <w:types>
          <w:type w:val="bbPlcHdr"/>
        </w:types>
        <w:behaviors>
          <w:behavior w:val="content"/>
        </w:behaviors>
        <w:guid w:val="{1031457B-43B2-425F-8866-5A3D4BBBE4FB}"/>
      </w:docPartPr>
      <w:docPartBody>
        <w:p w:rsidR="00000000" w:rsidRDefault="00C20DFC" w:rsidP="00C20DFC">
          <w:pPr>
            <w:pStyle w:val="2B3A53E15677449384B1A0B51F8DC2EE"/>
          </w:pPr>
          <w:r w:rsidRPr="00C24914">
            <w:rPr>
              <w:rStyle w:val="Textodelmarcadordeposicin"/>
            </w:rPr>
            <w:t>Formatting...</w:t>
          </w:r>
        </w:p>
      </w:docPartBody>
    </w:docPart>
    <w:docPart>
      <w:docPartPr>
        <w:name w:val="00157141AF924B54A8BD7ACF2E51A678"/>
        <w:category>
          <w:name w:val="General"/>
          <w:gallery w:val="placeholder"/>
        </w:category>
        <w:types>
          <w:type w:val="bbPlcHdr"/>
        </w:types>
        <w:behaviors>
          <w:behavior w:val="content"/>
        </w:behaviors>
        <w:guid w:val="{18A42529-7772-4097-8CEB-39305DF5FBFB}"/>
      </w:docPartPr>
      <w:docPartBody>
        <w:p w:rsidR="00000000" w:rsidRDefault="00C20DFC">
          <w:r w:rsidRPr="00875370">
            <w:rPr>
              <w:rStyle w:val="Textodelmarcadordeposicin"/>
            </w:rPr>
            <w:t>Formatting Bibliography...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panose1 w:val="02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DFC"/>
    <w:rsid w:val="00047A8F"/>
    <w:rsid w:val="00127618"/>
    <w:rsid w:val="00C20DF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MX"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20DFC"/>
    <w:rPr>
      <w:color w:val="666666"/>
    </w:rPr>
  </w:style>
  <w:style w:type="paragraph" w:customStyle="1" w:styleId="58BE028216164FDFBA55D15C2B76660B">
    <w:name w:val="58BE028216164FDFBA55D15C2B76660B"/>
    <w:rsid w:val="00C20DFC"/>
  </w:style>
  <w:style w:type="paragraph" w:customStyle="1" w:styleId="04978DA0F39142BF909401460C64ED30">
    <w:name w:val="04978DA0F39142BF909401460C64ED30"/>
    <w:rsid w:val="00C20DFC"/>
  </w:style>
  <w:style w:type="paragraph" w:customStyle="1" w:styleId="2B3A53E15677449384B1A0B51F8DC2EE">
    <w:name w:val="2B3A53E15677449384B1A0B51F8DC2EE"/>
    <w:rsid w:val="00C20D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613" row="3">
    <wetp:webextensionref xmlns:r="http://schemas.openxmlformats.org/officeDocument/2006/relationships" r:id="rId1"/>
  </wetp:taskpane>
  <wetp:taskpane dockstate="right" visibility="0" width="613" row="4">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DFD2C4B8-1599-42D8-8197-AD25B7F2E24A}">
  <we:reference id="WA104380122" version="2.1.0.2" store="Omex" storeType="OMEX"/>
  <we:alternateReferences>
    <we:reference id="WA104380122" version="2.1.0.2" store="WA104380122" storeType="OMEX"/>
  </we:alternateReferences>
  <we:properties>
    <we:property name="citations" value="{&quot;628908320&quot;:{&quot;referencesIds&quot;:[&quot;doc:69777bf82ea0b31b61fcd4d0&quot;,&quot;doc:69777a62d8d585793fac1116&quot;,&quot;doc:69777984a097695403e9091d&quot;],&quot;referencesOptions&quot;:{&quot;doc:69777bf82ea0b31b61fcd4d0&quot;:{&quot;author&quot;:true,&quot;year&quot;:true,&quot;formatAuthorYear&quot;:false,&quot;pageReplace&quot;:&quot;&quot;,&quot;additionalField&quot;:&quot;&quot;,&quot;additionalValue&quot;:&quot;&quot;,&quot;prefix&quot;:&quot;&quot;,&quot;suffix&quot;:&quot;&quot;},&quot;doc:69777a62d8d585793fac1116&quot;:{&quot;author&quot;:true,&quot;year&quot;:true,&quot;formatAuthorYear&quot;:false,&quot;pageReplace&quot;:&quot;&quot;,&quot;additionalField&quot;:&quot;&quot;,&quot;additionalValue&quot;:&quot;&quot;,&quot;prefix&quot;:&quot;&quot;,&quot;suffix&quot;:&quot;&quot;},&quot;doc:69777984a097695403e9091d&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28908320,&quot;citationText&quot;:&quot;&lt;span style=\&quot;font-family:Roboto;font-size:13.333333333333332px;color:#000000\&quot;&gt;(Richardson et al., 2023; Rockström et al., 2025; Tilman &amp;amp; Clark, 2014)&lt;/span&gt;&quot;}}"/>
    <we:property name="currentFolder" value="{&quot;depth&quot;:0,&quot;id&quot;:&quot;all&quot;,&quot;name&quot;:&quot;All references&quot;,&quot;parentId&quot;:null,&quot;position&quot;:-2,&quot;isShared&quot;:false}"/>
    <we:property name="currentStyle" value="{&quot;id&quot;:&quot;4376&quot;,&quot;styleType&quot;:&quot;refworks&quot;,&quot;name&quot;:&quot;APA 7th (basic) - No Case Changes (No Title Casing), DOI: empty&quot;,&quot;isInstitutional&quot;:false,&quot;citeStyle&quot;:&quot;INTEXT_ONLY&quot;,&quot;isSorted&quot;:true,&quot;usesNumbers&quot;:false,&quot;authorDisambiguation&quot;:&quot;surname_firstname&quot;}"/>
    <we:property name="rcm.version" value="2"/>
    <we:property name="rw.officeVersion" value="&quot;1.3&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1F7AAC83-E46A-4924-83C8-EC9A4A9C2A02}">
  <we:reference id="WA200007520" version="3.0.0.0" store="Omex" storeType="OMEX"/>
  <we:alternateReferences>
    <we:reference id="WA200007520" version="3.0.0.0" store="WA200007520" storeType="OMEX"/>
  </we:alternateReferences>
  <we:properties>
    <we:property name="bibliographyEnabled" value="&quot;bibliographyEnabled&quot;"/>
    <we:property name="citations" value="{&quot;590358578&quot;:{&quot;referencesIds&quot;:[&quot;doc:6a0b20ed6be6455b53225e34&quot;],&quot;referencesOptions&quot;:{&quot;doc:6a0b20ed6be6455b53225e34&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90358578,&quot;citationText&quot;:&quot;&lt;span style=\&quot;font-family:Roboto;font-size:13.333333333333332px;color:#000000\&quot;&gt;(Francisco, 2016)&lt;/span&gt;&quot;},&quot;780696017&quot;:{&quot;referencesIds&quot;:[&quot;doc:696654bb6a95d85c15cdfd4f&quot;,&quot;doc:697a21816015d4689df25305&quot;,&quot;doc:697b6dc6182e34539ffcdf48&quot;],&quot;referencesOptions&quot;:{&quot;doc:696654bb6a95d85c15cdfd4f&quot;:{&quot;author&quot;:true,&quot;year&quot;:true,&quot;formatAuthorYear&quot;:false,&quot;additionalField&quot;:&quot;Page&quot;,&quot;additionalValue&quot;:&quot;&quot;,&quot;prefix&quot;:&quot;&quot;,&quot;suffix&quot;:&quot;&quot;},&quot;doc:697a21816015d4689df25305&quot;:{&quot;author&quot;:true,&quot;year&quot;:true,&quot;formatAuthorYear&quot;:false,&quot;additionalField&quot;:&quot;Page&quot;,&quot;additionalValue&quot;:&quot;&quot;,&quot;prefix&quot;:&quot;&quot;,&quot;suffix&quot;:&quot;&quot;},&quot;doc:697b6dc6182e34539ffcdf48&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780696017,&quot;citationText&quot;:&quot;&lt;span style=\&quot;font-family:Roboto;font-size:13.333333333333332px;color:#000000\&quot;&gt;(Aguirre Sánchez et al., 2021; Jurado-Gonzalez et al., 2025; Kratzer et al., 2025)&lt;/span&gt;&quot;},&quot;-710886182&quot;:{&quot;referencesIds&quot;:[&quot;doc:69777bf82ea0b31b61fcd4d0&quot;,&quot;doc:69777a62d8d585793fac1116&quot;,&quot;doc:69777984a097695403e9091d&quot;,&quot;doc:69665ac8c116df5d010b9e91&quot;],&quot;referencesOptions&quot;:{&quot;doc:69777bf82ea0b31b61fcd4d0&quot;:{&quot;author&quot;:true,&quot;year&quot;:true,&quot;formatAuthorYear&quot;:false,&quot;additionalField&quot;:&quot;Page&quot;,&quot;additionalValue&quot;:&quot;&quot;,&quot;prefix&quot;:&quot;&quot;,&quot;suffix&quot;:&quot;&quot;},&quot;doc:69777a62d8d585793fac1116&quot;:{&quot;author&quot;:true,&quot;year&quot;:true,&quot;formatAuthorYear&quot;:false,&quot;additionalField&quot;:&quot;Page&quot;,&quot;additionalValue&quot;:&quot;&quot;,&quot;prefix&quot;:&quot;&quot;,&quot;suffix&quot;:&quot;&quot;},&quot;doc:69777984a097695403e9091d&quot;:{&quot;author&quot;:true,&quot;year&quot;:true,&quot;formatAuthorYear&quot;:false,&quot;additionalField&quot;:&quot;Page&quot;,&quot;additionalValue&quot;:&quot;&quot;,&quot;prefix&quot;:&quot;&quot;,&quot;suffix&quot;:&quot;&quot;},&quot;doc:69665ac8c116df5d010b9e91&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710886182,&quot;citationText&quot;:&quot;&lt;span style=\&quot;font-family:Roboto;font-size:13.333333333333332px;color:#000000\&quot;&gt;(Richardson et al., 2023; Rockström et al., 2025; Tilman &amp;amp; Clark, 2014; Zhang et al., 2024)&lt;/span&gt;&quot;},&quot;-1661766823&quot;:{&quot;referencesIds&quot;:[&quot;doc:6a0b20ed6be6455b53225e34&quot;],&quot;referencesOptions&quot;:{&quot;doc:6a0b20ed6be6455b53225e34&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61766823,&quot;citationText&quot;:&quot;&lt;span style=\&quot;font-family:Roboto;font-size:13.333333333333332px;color:#000000\&quot;&gt;(Francisco, 2016)&lt;/span&gt;&quot;}}"/>
    <we:property name="currentFolder" value="{&quot;depth&quot;:0,&quot;id&quot;:&quot;all&quot;,&quot;name&quot;:&quot;All references&quot;,&quot;parentId&quot;:null,&quot;position&quot;:-2,&quot;isShared&quot;:false}"/>
    <we:property name="currentStyle" value="{&quot;id&quot;:&quot;4376&quot;,&quot;styleType&quot;:&quot;refworks&quot;,&quot;name&quot;:&quot;APA 7th (basic) - No Case Changes (No Title Casing), DOI: empty&quot;,&quot;isInstitutional&quot;:false,&quot;citeStyle&quot;:&quot;INTEXT_ONLY&quot;,&quot;isSorted&quot;:true,&quot;usesNumbers&quot;:false,&quot;authorDisambiguation&quot;:&quot;surname_firstname&quot;}"/>
    <we:property name="rcm.version" value="2"/>
    <we:property name="rw.officeVersion" value="&quot;1.3&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805A4A6-825F-43F8-9B99-64F4260C4C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1963</Words>
  <Characters>10798</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Berenice González Leija</dc:creator>
  <cp:keywords/>
  <dc:description/>
  <cp:lastModifiedBy>Emilio Martínez de Velasco Aguirre</cp:lastModifiedBy>
  <cp:revision>4</cp:revision>
  <dcterms:created xsi:type="dcterms:W3CDTF">2026-05-18T14:58:00Z</dcterms:created>
  <dcterms:modified xsi:type="dcterms:W3CDTF">2026-05-18T15:04:00Z</dcterms:modified>
</cp:coreProperties>
</file>