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E041B" w14:textId="2AB7CBFA" w:rsidR="0017034B" w:rsidRDefault="00C97FF3">
      <w:pPr>
        <w:pBdr>
          <w:top w:val="nil"/>
          <w:left w:val="nil"/>
          <w:bottom w:val="nil"/>
          <w:right w:val="nil"/>
          <w:between w:val="nil"/>
        </w:pBdr>
        <w:spacing w:before="120" w:after="120"/>
        <w:jc w:val="center"/>
        <w:rPr>
          <w:rFonts w:ascii="Roboto" w:eastAsia="Roboto" w:hAnsi="Roboto" w:cs="Roboto"/>
          <w:b/>
          <w:bCs/>
          <w:color w:val="000000"/>
        </w:rPr>
      </w:pPr>
      <w:r w:rsidRPr="00C97FF3">
        <w:rPr>
          <w:rFonts w:ascii="Roboto" w:eastAsia="Roboto" w:hAnsi="Roboto" w:cs="Roboto"/>
          <w:b/>
          <w:bCs/>
          <w:color w:val="000000"/>
        </w:rPr>
        <w:t xml:space="preserve">La coherencia de la experiencia de aprendizaje como base de la calidad percibida en educación </w:t>
      </w:r>
      <w:r w:rsidR="003F372D">
        <w:rPr>
          <w:rFonts w:ascii="Roboto" w:eastAsia="Roboto" w:hAnsi="Roboto" w:cs="Roboto"/>
          <w:b/>
          <w:bCs/>
          <w:color w:val="000000"/>
        </w:rPr>
        <w:t xml:space="preserve">de extensión </w:t>
      </w:r>
      <w:r w:rsidRPr="00C97FF3">
        <w:rPr>
          <w:rFonts w:ascii="Roboto" w:eastAsia="Roboto" w:hAnsi="Roboto" w:cs="Roboto"/>
          <w:b/>
          <w:bCs/>
          <w:color w:val="000000"/>
        </w:rPr>
        <w:t>en línea</w:t>
      </w:r>
    </w:p>
    <w:p w14:paraId="6F506735" w14:textId="44948049" w:rsidR="0017034B" w:rsidRDefault="001C1AC3">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Velasco</w:t>
      </w:r>
      <w:r w:rsidR="0091099E">
        <w:rPr>
          <w:rFonts w:ascii="Roboto" w:eastAsia="Roboto" w:hAnsi="Roboto" w:cs="Roboto"/>
          <w:b/>
          <w:bCs/>
          <w:color w:val="000000"/>
          <w:sz w:val="20"/>
          <w:szCs w:val="20"/>
        </w:rPr>
        <w:t>-</w:t>
      </w:r>
      <w:r w:rsidR="00B833E3">
        <w:rPr>
          <w:rFonts w:ascii="Roboto" w:eastAsia="Roboto" w:hAnsi="Roboto" w:cs="Roboto"/>
          <w:b/>
          <w:bCs/>
          <w:color w:val="000000"/>
          <w:sz w:val="20"/>
          <w:szCs w:val="20"/>
        </w:rPr>
        <w:t>Pérez</w:t>
      </w:r>
      <w:r w:rsidR="0091099E">
        <w:rPr>
          <w:rFonts w:ascii="Roboto" w:eastAsia="Roboto" w:hAnsi="Roboto" w:cs="Roboto"/>
          <w:b/>
          <w:bCs/>
          <w:color w:val="000000"/>
          <w:sz w:val="20"/>
          <w:szCs w:val="20"/>
        </w:rPr>
        <w:t xml:space="preserve"> </w:t>
      </w:r>
      <w:r>
        <w:rPr>
          <w:rFonts w:ascii="Roboto" w:eastAsia="Roboto" w:hAnsi="Roboto" w:cs="Roboto"/>
          <w:b/>
          <w:bCs/>
          <w:color w:val="000000"/>
          <w:sz w:val="20"/>
          <w:szCs w:val="20"/>
        </w:rPr>
        <w:t>G</w:t>
      </w:r>
      <w:r w:rsidR="0091099E">
        <w:rPr>
          <w:rFonts w:ascii="Roboto" w:eastAsia="Roboto" w:hAnsi="Roboto" w:cs="Roboto"/>
          <w:b/>
          <w:bCs/>
          <w:color w:val="000000"/>
          <w:sz w:val="20"/>
          <w:szCs w:val="20"/>
        </w:rPr>
        <w:t>.</w:t>
      </w:r>
      <w:r w:rsidR="0091099E">
        <w:rPr>
          <w:rFonts w:ascii="Roboto" w:eastAsia="Roboto" w:hAnsi="Roboto" w:cs="Roboto"/>
          <w:b/>
          <w:bCs/>
          <w:color w:val="000000"/>
          <w:sz w:val="20"/>
          <w:szCs w:val="20"/>
          <w:vertAlign w:val="superscript"/>
        </w:rPr>
        <w:t>1</w:t>
      </w:r>
      <w:r>
        <w:rPr>
          <w:rFonts w:ascii="Roboto" w:eastAsia="Roboto" w:hAnsi="Roboto" w:cs="Roboto"/>
          <w:b/>
          <w:bCs/>
          <w:color w:val="000000"/>
          <w:sz w:val="20"/>
          <w:szCs w:val="20"/>
        </w:rPr>
        <w:t>y</w:t>
      </w:r>
      <w:r w:rsidR="0091099E">
        <w:rPr>
          <w:rFonts w:ascii="Roboto" w:eastAsia="Roboto" w:hAnsi="Roboto" w:cs="Roboto"/>
          <w:b/>
          <w:bCs/>
          <w:color w:val="000000"/>
          <w:sz w:val="20"/>
          <w:szCs w:val="20"/>
        </w:rPr>
        <w:t xml:space="preserve"> </w:t>
      </w:r>
      <w:r w:rsidR="006F045B">
        <w:rPr>
          <w:rFonts w:ascii="Roboto" w:eastAsia="Roboto" w:hAnsi="Roboto" w:cs="Roboto"/>
          <w:b/>
          <w:bCs/>
          <w:color w:val="000000"/>
          <w:sz w:val="20"/>
          <w:szCs w:val="20"/>
        </w:rPr>
        <w:t>Soto</w:t>
      </w:r>
      <w:r w:rsidR="0091099E">
        <w:rPr>
          <w:rFonts w:ascii="Roboto" w:eastAsia="Roboto" w:hAnsi="Roboto" w:cs="Roboto"/>
          <w:b/>
          <w:bCs/>
          <w:color w:val="000000"/>
          <w:sz w:val="20"/>
          <w:szCs w:val="20"/>
        </w:rPr>
        <w:t>-</w:t>
      </w:r>
      <w:r w:rsidR="006F045B">
        <w:rPr>
          <w:rFonts w:ascii="Roboto" w:eastAsia="Roboto" w:hAnsi="Roboto" w:cs="Roboto"/>
          <w:b/>
          <w:bCs/>
          <w:color w:val="000000"/>
          <w:sz w:val="20"/>
          <w:szCs w:val="20"/>
        </w:rPr>
        <w:t>Rocha</w:t>
      </w:r>
      <w:r w:rsidR="0091099E">
        <w:rPr>
          <w:rFonts w:ascii="Roboto" w:eastAsia="Roboto" w:hAnsi="Roboto" w:cs="Roboto"/>
          <w:b/>
          <w:bCs/>
          <w:color w:val="000000"/>
          <w:sz w:val="20"/>
          <w:szCs w:val="20"/>
        </w:rPr>
        <w:t xml:space="preserve"> </w:t>
      </w:r>
      <w:r w:rsidR="006F045B">
        <w:rPr>
          <w:rFonts w:ascii="Roboto" w:eastAsia="Roboto" w:hAnsi="Roboto" w:cs="Roboto"/>
          <w:b/>
          <w:bCs/>
          <w:color w:val="000000"/>
          <w:sz w:val="20"/>
          <w:szCs w:val="20"/>
        </w:rPr>
        <w:t>Z</w:t>
      </w:r>
      <w:r w:rsidR="0091099E">
        <w:rPr>
          <w:rFonts w:ascii="Roboto" w:eastAsia="Roboto" w:hAnsi="Roboto" w:cs="Roboto"/>
          <w:b/>
          <w:bCs/>
          <w:color w:val="000000"/>
          <w:sz w:val="20"/>
          <w:szCs w:val="20"/>
        </w:rPr>
        <w:t>.</w:t>
      </w:r>
      <w:r w:rsidR="0091099E">
        <w:rPr>
          <w:rFonts w:ascii="Roboto" w:eastAsia="Roboto" w:hAnsi="Roboto" w:cs="Roboto"/>
          <w:b/>
          <w:bCs/>
          <w:color w:val="000000"/>
          <w:sz w:val="20"/>
          <w:szCs w:val="20"/>
          <w:vertAlign w:val="superscript"/>
        </w:rPr>
        <w:t>2</w:t>
      </w:r>
    </w:p>
    <w:p w14:paraId="7A944F91" w14:textId="0FF8B601" w:rsidR="0017034B" w:rsidRDefault="0091099E">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1C1AC3">
        <w:rPr>
          <w:rFonts w:ascii="Roboto" w:eastAsia="Roboto" w:hAnsi="Roboto" w:cs="Roboto"/>
          <w:color w:val="000000"/>
          <w:sz w:val="18"/>
          <w:szCs w:val="18"/>
        </w:rPr>
        <w:t>Anáhuac Online</w:t>
      </w:r>
      <w:r>
        <w:rPr>
          <w:rFonts w:ascii="Roboto" w:eastAsia="Roboto" w:hAnsi="Roboto" w:cs="Roboto"/>
          <w:color w:val="000000"/>
          <w:sz w:val="18"/>
          <w:szCs w:val="18"/>
        </w:rPr>
        <w:t xml:space="preserve">, </w:t>
      </w:r>
      <w:r w:rsidR="001C1AC3" w:rsidRPr="001C1AC3">
        <w:rPr>
          <w:rFonts w:ascii="Roboto" w:eastAsia="Roboto" w:hAnsi="Roboto" w:cs="Roboto"/>
          <w:color w:val="000000"/>
          <w:sz w:val="18"/>
          <w:szCs w:val="18"/>
        </w:rPr>
        <w:t>0009-0008-0258-9206</w:t>
      </w:r>
    </w:p>
    <w:p w14:paraId="26BD5C7F" w14:textId="4A424C41" w:rsidR="0017034B" w:rsidRDefault="0091099E">
      <w:pPr>
        <w:jc w:val="center"/>
        <w:rPr>
          <w:rFonts w:ascii="Roboto" w:eastAsia="Roboto" w:hAnsi="Roboto" w:cs="Roboto"/>
          <w:sz w:val="18"/>
          <w:szCs w:val="18"/>
        </w:rPr>
      </w:pPr>
      <w:r>
        <w:rPr>
          <w:rFonts w:ascii="Roboto" w:eastAsia="Roboto" w:hAnsi="Roboto" w:cs="Roboto"/>
          <w:sz w:val="18"/>
          <w:szCs w:val="18"/>
          <w:vertAlign w:val="superscript"/>
        </w:rPr>
        <w:t>2</w:t>
      </w:r>
      <w:r>
        <w:rPr>
          <w:rFonts w:ascii="Roboto" w:eastAsia="Roboto" w:hAnsi="Roboto" w:cs="Roboto"/>
          <w:sz w:val="18"/>
          <w:szCs w:val="18"/>
        </w:rPr>
        <w:t>A</w:t>
      </w:r>
      <w:r w:rsidR="006F045B">
        <w:rPr>
          <w:rFonts w:ascii="Roboto" w:eastAsia="Roboto" w:hAnsi="Roboto" w:cs="Roboto"/>
          <w:sz w:val="18"/>
          <w:szCs w:val="18"/>
        </w:rPr>
        <w:t>náhuac Online</w:t>
      </w:r>
      <w:r>
        <w:rPr>
          <w:rFonts w:ascii="Roboto" w:eastAsia="Roboto" w:hAnsi="Roboto" w:cs="Roboto"/>
          <w:sz w:val="18"/>
          <w:szCs w:val="18"/>
        </w:rPr>
        <w:t xml:space="preserve">, </w:t>
      </w:r>
      <w:r w:rsidR="006F045B" w:rsidRPr="006F045B">
        <w:rPr>
          <w:rFonts w:ascii="Roboto" w:eastAsia="Roboto" w:hAnsi="Roboto" w:cs="Roboto"/>
          <w:sz w:val="18"/>
          <w:szCs w:val="18"/>
        </w:rPr>
        <w:t>0009-0009-4930-6389</w:t>
      </w:r>
    </w:p>
    <w:p w14:paraId="4992407D" w14:textId="21AF72DD" w:rsidR="0017034B" w:rsidRDefault="0091099E">
      <w:pPr>
        <w:jc w:val="center"/>
        <w:rPr>
          <w:rFonts w:ascii="Roboto" w:eastAsia="Roboto" w:hAnsi="Roboto" w:cs="Roboto"/>
          <w:sz w:val="18"/>
          <w:szCs w:val="18"/>
        </w:rPr>
      </w:pPr>
      <w:r>
        <w:rPr>
          <w:rFonts w:ascii="Roboto" w:eastAsia="Roboto" w:hAnsi="Roboto" w:cs="Roboto"/>
          <w:sz w:val="18"/>
          <w:szCs w:val="18"/>
        </w:rPr>
        <w:t>*</w:t>
      </w:r>
      <w:r w:rsidR="001C1AC3">
        <w:rPr>
          <w:rFonts w:ascii="Roboto" w:eastAsia="Roboto" w:hAnsi="Roboto" w:cs="Roboto"/>
          <w:sz w:val="18"/>
          <w:szCs w:val="18"/>
        </w:rPr>
        <w:t>Gerardo Velasco Pérez</w:t>
      </w:r>
      <w:r>
        <w:rPr>
          <w:rFonts w:ascii="Roboto" w:eastAsia="Roboto" w:hAnsi="Roboto" w:cs="Roboto"/>
          <w:sz w:val="18"/>
          <w:szCs w:val="18"/>
        </w:rPr>
        <w:t xml:space="preserve"> (e-mail:</w:t>
      </w:r>
      <w:r w:rsidR="001C1AC3">
        <w:rPr>
          <w:rFonts w:ascii="Roboto" w:eastAsia="Roboto" w:hAnsi="Roboto" w:cs="Roboto"/>
          <w:sz w:val="18"/>
          <w:szCs w:val="18"/>
        </w:rPr>
        <w:t xml:space="preserve"> Gerardo.velascope@anahuac.mx</w:t>
      </w:r>
      <w:r>
        <w:rPr>
          <w:rFonts w:ascii="Roboto" w:eastAsia="Roboto" w:hAnsi="Roboto" w:cs="Roboto"/>
          <w:sz w:val="18"/>
          <w:szCs w:val="18"/>
        </w:rPr>
        <w:t>)</w:t>
      </w:r>
    </w:p>
    <w:p w14:paraId="0AC0D8C6" w14:textId="77777777" w:rsidR="0017034B" w:rsidRDefault="00B833E3">
      <w:pPr>
        <w:spacing w:before="60"/>
        <w:jc w:val="center"/>
        <w:rPr>
          <w:rFonts w:ascii="Roboto" w:eastAsia="Roboto" w:hAnsi="Roboto" w:cs="Roboto"/>
          <w:sz w:val="18"/>
          <w:szCs w:val="18"/>
        </w:rPr>
        <w:sectPr w:rsidR="0017034B">
          <w:headerReference w:type="default" r:id="rId8"/>
          <w:pgSz w:w="11906" w:h="16838"/>
          <w:pgMar w:top="851" w:right="851" w:bottom="828" w:left="851" w:header="357" w:footer="720" w:gutter="0"/>
          <w:pgNumType w:start="1"/>
          <w:cols w:space="720"/>
        </w:sectPr>
      </w:pPr>
      <w:r>
        <w:pict w14:anchorId="50277517">
          <v:rect id="_x0000_i1025" style="width:0;height:1.5pt" o:hralign="center" o:hrstd="t" o:hr="t" fillcolor="#a0a0a0" stroked="f"/>
        </w:pict>
      </w:r>
    </w:p>
    <w:p w14:paraId="43E5F415" w14:textId="31475D71" w:rsidR="00F82446" w:rsidRPr="00F82446" w:rsidRDefault="00F82446" w:rsidP="00C97FF3">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Introducción. </w:t>
      </w:r>
    </w:p>
    <w:p w14:paraId="0AC475D4" w14:textId="464F8C65" w:rsidR="00C97FF3" w:rsidRPr="00C97FF3" w:rsidRDefault="008450AD" w:rsidP="00C97FF3">
      <w:pPr>
        <w:pBdr>
          <w:top w:val="nil"/>
          <w:left w:val="nil"/>
          <w:bottom w:val="nil"/>
          <w:right w:val="nil"/>
          <w:between w:val="nil"/>
        </w:pBdr>
        <w:jc w:val="both"/>
        <w:rPr>
          <w:rFonts w:ascii="Roboto" w:eastAsia="Roboto" w:hAnsi="Roboto" w:cs="Roboto"/>
          <w:color w:val="000000"/>
          <w:sz w:val="20"/>
          <w:szCs w:val="20"/>
        </w:rPr>
      </w:pPr>
      <w:r w:rsidRPr="008450AD">
        <w:rPr>
          <w:rFonts w:ascii="Roboto" w:eastAsia="Roboto" w:hAnsi="Roboto" w:cs="Roboto"/>
          <w:color w:val="000000"/>
          <w:sz w:val="20"/>
          <w:szCs w:val="20"/>
        </w:rPr>
        <w:t xml:space="preserve">La literatura ha señalado que la experiencia de aprendizaje no se configura a partir de elementos aislados, sino de la interacción entre los componentes del proceso formativo (Kahu et al., </w:t>
      </w:r>
      <w:r w:rsidR="00CA07A0">
        <w:rPr>
          <w:rFonts w:ascii="Roboto" w:eastAsia="Roboto" w:hAnsi="Roboto" w:cs="Roboto"/>
          <w:color w:val="000000"/>
          <w:sz w:val="20"/>
          <w:szCs w:val="20"/>
        </w:rPr>
        <w:t>2018</w:t>
      </w:r>
      <w:r w:rsidRPr="008450AD">
        <w:rPr>
          <w:rFonts w:ascii="Roboto" w:eastAsia="Roboto" w:hAnsi="Roboto" w:cs="Roboto"/>
          <w:color w:val="000000"/>
          <w:sz w:val="20"/>
          <w:szCs w:val="20"/>
        </w:rPr>
        <w:t>; Ellis &amp; Goodyear, 2019). Sin embargo, en la práctica institucional, su evaluación suele abordarse de manera fragmentada, lo que limita su comprensión como una totalidad.</w:t>
      </w:r>
    </w:p>
    <w:p w14:paraId="2DE8F453" w14:textId="16FEAE8C" w:rsidR="00C97FF3" w:rsidRPr="00C97FF3" w:rsidRDefault="00C97FF3" w:rsidP="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El presente estudio propone interpretar la evaluación institucional de la experiencia de aprendizaje como un sistema de relaciones</w:t>
      </w:r>
      <w:r w:rsidRPr="00C97FF3">
        <w:rPr>
          <w:rFonts w:ascii="Roboto" w:eastAsia="Roboto" w:hAnsi="Roboto" w:cs="Roboto"/>
          <w:b/>
          <w:bCs/>
          <w:color w:val="000000"/>
          <w:sz w:val="20"/>
          <w:szCs w:val="20"/>
        </w:rPr>
        <w:t>,</w:t>
      </w:r>
      <w:r w:rsidRPr="00C97FF3">
        <w:rPr>
          <w:rFonts w:ascii="Roboto" w:eastAsia="Roboto" w:hAnsi="Roboto" w:cs="Roboto"/>
          <w:color w:val="000000"/>
          <w:sz w:val="20"/>
          <w:szCs w:val="20"/>
        </w:rPr>
        <w:t xml:space="preserve"> cuya coherencia interna puede asociarse con la calidad percibida y la recomendación estudiantil en programas de educación continua en línea.</w:t>
      </w:r>
      <w:r w:rsidR="00604268">
        <w:rPr>
          <w:rFonts w:ascii="Roboto" w:eastAsia="Roboto" w:hAnsi="Roboto" w:cs="Roboto"/>
          <w:color w:val="000000"/>
          <w:sz w:val="20"/>
          <w:szCs w:val="20"/>
        </w:rPr>
        <w:br/>
      </w:r>
      <w:r w:rsidR="00604268" w:rsidRPr="00604268">
        <w:rPr>
          <w:rFonts w:ascii="Roboto" w:eastAsia="Roboto" w:hAnsi="Roboto" w:cs="Roboto"/>
          <w:color w:val="000000"/>
          <w:sz w:val="20"/>
          <w:szCs w:val="20"/>
        </w:rPr>
        <w:t xml:space="preserve">En particular, este estudio aporta evidencia empírica a partir de un volumen amplio de datos institucionales, </w:t>
      </w:r>
      <w:r w:rsidR="0013032A" w:rsidRPr="0013032A">
        <w:rPr>
          <w:rFonts w:ascii="Roboto" w:eastAsia="Roboto" w:hAnsi="Roboto" w:cs="Roboto"/>
          <w:color w:val="000000"/>
          <w:sz w:val="20"/>
          <w:szCs w:val="20"/>
        </w:rPr>
        <w:t>lo que permite identificar estos patrones en contextos reales de educación en línea.</w:t>
      </w:r>
    </w:p>
    <w:p w14:paraId="114E1F62" w14:textId="77777777" w:rsidR="0017034B" w:rsidRDefault="0017034B">
      <w:pPr>
        <w:pBdr>
          <w:top w:val="nil"/>
          <w:left w:val="nil"/>
          <w:bottom w:val="nil"/>
          <w:right w:val="nil"/>
          <w:between w:val="nil"/>
        </w:pBdr>
        <w:jc w:val="both"/>
        <w:rPr>
          <w:rFonts w:ascii="Roboto" w:eastAsia="Roboto" w:hAnsi="Roboto" w:cs="Roboto"/>
          <w:b/>
          <w:bCs/>
          <w:color w:val="000000"/>
          <w:sz w:val="20"/>
          <w:szCs w:val="20"/>
        </w:rPr>
      </w:pPr>
    </w:p>
    <w:p w14:paraId="7D16B24A" w14:textId="52E6A4DD" w:rsidR="0017034B" w:rsidRDefault="00C97FF3">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Metodología. </w:t>
      </w:r>
    </w:p>
    <w:p w14:paraId="312104B9" w14:textId="20821D56" w:rsidR="00C97FF3" w:rsidRPr="00C97FF3" w:rsidRDefault="00C97FF3" w:rsidP="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 xml:space="preserve">Se realizó un estudio cuantitativo de carácter exploratorio a partir de datos institucionales de evaluación de la experiencia de </w:t>
      </w:r>
      <w:r w:rsidR="006F045B" w:rsidRPr="00C97FF3">
        <w:rPr>
          <w:rFonts w:ascii="Roboto" w:eastAsia="Roboto" w:hAnsi="Roboto" w:cs="Roboto"/>
          <w:color w:val="000000"/>
          <w:sz w:val="20"/>
          <w:szCs w:val="20"/>
        </w:rPr>
        <w:t>aprendizaje</w:t>
      </w:r>
      <w:r w:rsidRPr="00C97FF3">
        <w:rPr>
          <w:rFonts w:ascii="Roboto" w:eastAsia="Roboto" w:hAnsi="Roboto" w:cs="Roboto"/>
          <w:color w:val="000000"/>
          <w:sz w:val="20"/>
          <w:szCs w:val="20"/>
        </w:rPr>
        <w:t>.</w:t>
      </w:r>
    </w:p>
    <w:p w14:paraId="5ABEEDB8" w14:textId="76F2C8C3" w:rsidR="00C97FF3" w:rsidRPr="00C97FF3" w:rsidRDefault="00C97FF3" w:rsidP="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 xml:space="preserve">El instrumento consiste en una escala tipo Likert de cinco puntos con 10 ítems: 6 asociados al curso y 4 al desempeño docente, complementado con una pregunta de recomendación tipo </w:t>
      </w:r>
      <w:r w:rsidRPr="00C97FF3">
        <w:rPr>
          <w:rFonts w:ascii="Roboto" w:eastAsia="Roboto" w:hAnsi="Roboto" w:cs="Roboto"/>
          <w:i/>
          <w:iCs/>
          <w:color w:val="000000"/>
          <w:sz w:val="20"/>
          <w:szCs w:val="20"/>
        </w:rPr>
        <w:t xml:space="preserve">Net </w:t>
      </w:r>
      <w:proofErr w:type="spellStart"/>
      <w:r w:rsidRPr="00C97FF3">
        <w:rPr>
          <w:rFonts w:ascii="Roboto" w:eastAsia="Roboto" w:hAnsi="Roboto" w:cs="Roboto"/>
          <w:i/>
          <w:iCs/>
          <w:color w:val="000000"/>
          <w:sz w:val="20"/>
          <w:szCs w:val="20"/>
        </w:rPr>
        <w:t>Promoter</w:t>
      </w:r>
      <w:proofErr w:type="spellEnd"/>
      <w:r w:rsidRPr="00C97FF3">
        <w:rPr>
          <w:rFonts w:ascii="Roboto" w:eastAsia="Roboto" w:hAnsi="Roboto" w:cs="Roboto"/>
          <w:i/>
          <w:iCs/>
          <w:color w:val="000000"/>
          <w:sz w:val="20"/>
          <w:szCs w:val="20"/>
        </w:rPr>
        <w:t xml:space="preserve"> Score</w:t>
      </w:r>
      <w:r w:rsidRPr="00C97FF3">
        <w:rPr>
          <w:rFonts w:ascii="Roboto" w:eastAsia="Roboto" w:hAnsi="Roboto" w:cs="Roboto"/>
          <w:color w:val="000000"/>
          <w:sz w:val="20"/>
          <w:szCs w:val="20"/>
        </w:rPr>
        <w:t xml:space="preserve"> (NPS) (</w:t>
      </w:r>
      <w:proofErr w:type="spellStart"/>
      <w:r w:rsidRPr="00C97FF3">
        <w:rPr>
          <w:rFonts w:ascii="Roboto" w:eastAsia="Roboto" w:hAnsi="Roboto" w:cs="Roboto"/>
          <w:color w:val="000000"/>
          <w:sz w:val="20"/>
          <w:szCs w:val="20"/>
        </w:rPr>
        <w:t>Reichheld</w:t>
      </w:r>
      <w:proofErr w:type="spellEnd"/>
      <w:r w:rsidRPr="00C97FF3">
        <w:rPr>
          <w:rFonts w:ascii="Roboto" w:eastAsia="Roboto" w:hAnsi="Roboto" w:cs="Roboto"/>
          <w:color w:val="000000"/>
          <w:sz w:val="20"/>
          <w:szCs w:val="20"/>
        </w:rPr>
        <w:t>, 2003)</w:t>
      </w:r>
      <w:r w:rsidR="008450AD" w:rsidRPr="008450AD">
        <w:rPr>
          <w:rFonts w:ascii="Roboto" w:eastAsia="Roboto" w:hAnsi="Roboto" w:cs="Roboto"/>
          <w:color w:val="000000"/>
          <w:sz w:val="20"/>
          <w:szCs w:val="20"/>
        </w:rPr>
        <w:t>, que clasifica la recomendación en niveles de excelencia, calidad</w:t>
      </w:r>
      <w:r w:rsidR="008450AD">
        <w:rPr>
          <w:rFonts w:ascii="Roboto" w:eastAsia="Roboto" w:hAnsi="Roboto" w:cs="Roboto"/>
          <w:color w:val="000000"/>
          <w:sz w:val="20"/>
          <w:szCs w:val="20"/>
        </w:rPr>
        <w:t xml:space="preserve">, </w:t>
      </w:r>
      <w:r w:rsidR="008450AD" w:rsidRPr="008450AD">
        <w:rPr>
          <w:rFonts w:ascii="Roboto" w:eastAsia="Roboto" w:hAnsi="Roboto" w:cs="Roboto"/>
          <w:color w:val="000000"/>
          <w:sz w:val="20"/>
          <w:szCs w:val="20"/>
        </w:rPr>
        <w:t>mejora</w:t>
      </w:r>
      <w:r w:rsidR="008450AD">
        <w:rPr>
          <w:rFonts w:ascii="Roboto" w:eastAsia="Roboto" w:hAnsi="Roboto" w:cs="Roboto"/>
          <w:color w:val="000000"/>
          <w:sz w:val="20"/>
          <w:szCs w:val="20"/>
        </w:rPr>
        <w:t xml:space="preserve"> y zona crítica</w:t>
      </w:r>
      <w:r w:rsidR="008450AD" w:rsidRPr="008450AD">
        <w:rPr>
          <w:rFonts w:ascii="Roboto" w:eastAsia="Roboto" w:hAnsi="Roboto" w:cs="Roboto"/>
          <w:color w:val="000000"/>
          <w:sz w:val="20"/>
          <w:szCs w:val="20"/>
        </w:rPr>
        <w:t>.</w:t>
      </w:r>
      <w:r w:rsidRPr="00C97FF3">
        <w:rPr>
          <w:rFonts w:ascii="Roboto" w:eastAsia="Roboto" w:hAnsi="Roboto" w:cs="Roboto"/>
          <w:color w:val="000000"/>
          <w:sz w:val="20"/>
          <w:szCs w:val="20"/>
        </w:rPr>
        <w:t xml:space="preserve"> Esta estructura permite analizar la experiencia como un sistema diferenciado pero integrado.</w:t>
      </w:r>
    </w:p>
    <w:p w14:paraId="69B294BE" w14:textId="1EFB1B9B" w:rsidR="00C97FF3" w:rsidRPr="00C97FF3" w:rsidRDefault="00C97FF3" w:rsidP="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 xml:space="preserve">Se analizaron 229 módulos correspondientes a distintos </w:t>
      </w:r>
      <w:r w:rsidR="003F372D">
        <w:rPr>
          <w:rFonts w:ascii="Roboto" w:eastAsia="Roboto" w:hAnsi="Roboto" w:cs="Roboto"/>
          <w:color w:val="000000"/>
          <w:sz w:val="20"/>
          <w:szCs w:val="20"/>
        </w:rPr>
        <w:t>diplomados</w:t>
      </w:r>
      <w:r w:rsidRPr="00C97FF3">
        <w:rPr>
          <w:rFonts w:ascii="Roboto" w:eastAsia="Roboto" w:hAnsi="Roboto" w:cs="Roboto"/>
          <w:color w:val="000000"/>
          <w:sz w:val="20"/>
          <w:szCs w:val="20"/>
        </w:rPr>
        <w:t>, disciplinas y arranques académicos. La unidad de análisis fue el módulo en un arranque específico. Se establecieron criterios de suficiencia mínima (cohortes ≥10 estudiantes y al menos 35% de tasa de respuesta), con un tamaño promedio de cohorte cercano a 35 estudiantes.</w:t>
      </w:r>
    </w:p>
    <w:p w14:paraId="03012241" w14:textId="77777777" w:rsidR="00C97FF3" w:rsidRPr="00C97FF3" w:rsidRDefault="00C97FF3" w:rsidP="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El instrumento se aplica de manera sistemática al finalizar la unidad 4 de cada módulo, lo que permite una medición homogénea dentro del ciclo formativo.</w:t>
      </w:r>
    </w:p>
    <w:p w14:paraId="15DFA2CE" w14:textId="77777777" w:rsidR="00604268" w:rsidRDefault="00C97FF3">
      <w:pPr>
        <w:pBdr>
          <w:top w:val="nil"/>
          <w:left w:val="nil"/>
          <w:bottom w:val="nil"/>
          <w:right w:val="nil"/>
          <w:between w:val="nil"/>
        </w:pBdr>
        <w:jc w:val="both"/>
        <w:rPr>
          <w:rFonts w:ascii="Roboto" w:eastAsia="Roboto" w:hAnsi="Roboto" w:cs="Roboto"/>
          <w:color w:val="000000"/>
          <w:sz w:val="20"/>
          <w:szCs w:val="20"/>
        </w:rPr>
      </w:pPr>
      <w:r w:rsidRPr="00C97FF3">
        <w:rPr>
          <w:rFonts w:ascii="Roboto" w:eastAsia="Roboto" w:hAnsi="Roboto" w:cs="Roboto"/>
          <w:color w:val="000000"/>
          <w:sz w:val="20"/>
          <w:szCs w:val="20"/>
        </w:rPr>
        <w:t>El análisis se centró en examinar la alineación entre las dimensiones de curso y docente, así como su relación con la recomendación estudiantil, mediante comparaciones descriptivas y análisis de patrones de comportamiento conjunto.</w:t>
      </w:r>
      <w:r w:rsidR="00604268">
        <w:rPr>
          <w:rFonts w:ascii="Roboto" w:eastAsia="Roboto" w:hAnsi="Roboto" w:cs="Roboto"/>
          <w:color w:val="000000"/>
          <w:sz w:val="20"/>
          <w:szCs w:val="20"/>
        </w:rPr>
        <w:t xml:space="preserve"> </w:t>
      </w:r>
      <w:r w:rsidR="00604268" w:rsidRPr="00604268">
        <w:rPr>
          <w:rFonts w:ascii="Roboto" w:eastAsia="Roboto" w:hAnsi="Roboto" w:cs="Roboto"/>
          <w:color w:val="000000"/>
          <w:sz w:val="20"/>
          <w:szCs w:val="20"/>
        </w:rPr>
        <w:t>Se calculó la diferencia absoluta entre los promedios de curso y docente como medida de desalineación entre ambas dimensiones.</w:t>
      </w:r>
      <w:r w:rsidR="00604268">
        <w:rPr>
          <w:rFonts w:ascii="Roboto" w:eastAsia="Roboto" w:hAnsi="Roboto" w:cs="Roboto"/>
          <w:color w:val="000000"/>
          <w:sz w:val="20"/>
          <w:szCs w:val="20"/>
        </w:rPr>
        <w:t xml:space="preserve"> </w:t>
      </w:r>
      <w:r w:rsidRPr="00C97FF3">
        <w:rPr>
          <w:rFonts w:ascii="Roboto" w:eastAsia="Roboto" w:hAnsi="Roboto" w:cs="Roboto"/>
          <w:color w:val="000000"/>
          <w:sz w:val="20"/>
          <w:szCs w:val="20"/>
        </w:rPr>
        <w:t>Los resultados se interpretan como tendencias analíticas no causales.</w:t>
      </w:r>
      <w:r w:rsidR="00604268">
        <w:rPr>
          <w:rFonts w:ascii="Roboto" w:eastAsia="Roboto" w:hAnsi="Roboto" w:cs="Roboto"/>
          <w:color w:val="000000"/>
          <w:sz w:val="20"/>
          <w:szCs w:val="20"/>
        </w:rPr>
        <w:t xml:space="preserve"> </w:t>
      </w:r>
    </w:p>
    <w:p w14:paraId="2541DF6A" w14:textId="77777777" w:rsidR="00F82446" w:rsidRDefault="00F82446">
      <w:pPr>
        <w:pBdr>
          <w:top w:val="nil"/>
          <w:left w:val="nil"/>
          <w:bottom w:val="nil"/>
          <w:right w:val="nil"/>
          <w:between w:val="nil"/>
        </w:pBdr>
        <w:jc w:val="both"/>
        <w:rPr>
          <w:rFonts w:ascii="Roboto" w:eastAsia="Roboto" w:hAnsi="Roboto" w:cs="Roboto"/>
          <w:b/>
          <w:bCs/>
          <w:color w:val="000000"/>
          <w:sz w:val="20"/>
          <w:szCs w:val="20"/>
        </w:rPr>
      </w:pPr>
    </w:p>
    <w:p w14:paraId="6B6D566B" w14:textId="19D897BD" w:rsidR="0017034B" w:rsidRPr="00604268" w:rsidRDefault="003F372D">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b/>
          <w:bCs/>
          <w:color w:val="000000"/>
          <w:sz w:val="20"/>
          <w:szCs w:val="20"/>
        </w:rPr>
        <w:t xml:space="preserve">Resultados. </w:t>
      </w:r>
    </w:p>
    <w:p w14:paraId="2F9CE450" w14:textId="6F2F0AF9" w:rsidR="008A3E9B" w:rsidRDefault="00604268" w:rsidP="003F372D">
      <w:pPr>
        <w:keepNext/>
        <w:jc w:val="both"/>
        <w:rPr>
          <w:rFonts w:ascii="Roboto" w:eastAsia="Roboto" w:hAnsi="Roboto" w:cs="Roboto"/>
          <w:color w:val="000000"/>
          <w:sz w:val="20"/>
          <w:szCs w:val="20"/>
        </w:rPr>
      </w:pPr>
      <w:r w:rsidRPr="00604268">
        <w:rPr>
          <w:rFonts w:ascii="Roboto" w:eastAsia="Roboto" w:hAnsi="Roboto" w:cs="Roboto"/>
          <w:color w:val="000000"/>
          <w:sz w:val="20"/>
          <w:szCs w:val="20"/>
        </w:rPr>
        <w:t>Los resultados muestran una relación estructurada entre las evaluaciones de curso, docente y la recomendación estudiantil, caracterizada por patrones de alineación en niveles altos de recomendación y mayor dispersión en niveles inferiores.</w:t>
      </w:r>
    </w:p>
    <w:p w14:paraId="74376033" w14:textId="77777777" w:rsidR="008A3E9B" w:rsidRDefault="008A3E9B" w:rsidP="003F372D">
      <w:pPr>
        <w:keepNext/>
        <w:jc w:val="both"/>
        <w:rPr>
          <w:rFonts w:ascii="Roboto" w:eastAsia="Roboto" w:hAnsi="Roboto" w:cs="Roboto"/>
          <w:color w:val="000000"/>
          <w:sz w:val="20"/>
          <w:szCs w:val="20"/>
        </w:rPr>
      </w:pPr>
    </w:p>
    <w:p w14:paraId="41F016E3" w14:textId="77777777" w:rsidR="008A3E9B" w:rsidRPr="00DC0BBC" w:rsidRDefault="008A3E9B" w:rsidP="008A3E9B">
      <w:pPr>
        <w:jc w:val="center"/>
        <w:rPr>
          <w:rFonts w:ascii="Roboto" w:eastAsia="Roboto" w:hAnsi="Roboto" w:cs="Roboto"/>
          <w:b/>
          <w:bCs/>
          <w:sz w:val="20"/>
          <w:szCs w:val="20"/>
          <w:highlight w:val="cyan"/>
        </w:rPr>
      </w:pPr>
      <w:r w:rsidRPr="00280678">
        <w:rPr>
          <w:rFonts w:ascii="Roboto" w:eastAsia="Roboto" w:hAnsi="Roboto" w:cs="Roboto"/>
          <w:b/>
          <w:bCs/>
          <w:noProof/>
          <w:sz w:val="20"/>
          <w:szCs w:val="20"/>
        </w:rPr>
        <w:drawing>
          <wp:inline distT="0" distB="0" distL="0" distR="0" wp14:anchorId="6095E536" wp14:editId="71873CAE">
            <wp:extent cx="3011170" cy="1576070"/>
            <wp:effectExtent l="0" t="0" r="0" b="5080"/>
            <wp:docPr id="3435920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592099" name=""/>
                    <pic:cNvPicPr/>
                  </pic:nvPicPr>
                  <pic:blipFill>
                    <a:blip r:embed="rId9"/>
                    <a:stretch>
                      <a:fillRect/>
                    </a:stretch>
                  </pic:blipFill>
                  <pic:spPr>
                    <a:xfrm>
                      <a:off x="0" y="0"/>
                      <a:ext cx="3011170" cy="1576070"/>
                    </a:xfrm>
                    <a:prstGeom prst="rect">
                      <a:avLst/>
                    </a:prstGeom>
                  </pic:spPr>
                </pic:pic>
              </a:graphicData>
            </a:graphic>
          </wp:inline>
        </w:drawing>
      </w:r>
    </w:p>
    <w:p w14:paraId="32AAE166" w14:textId="26EE6C57" w:rsidR="008A3E9B" w:rsidRDefault="008A3E9B" w:rsidP="008A3E9B">
      <w:pPr>
        <w:jc w:val="both"/>
        <w:rPr>
          <w:rFonts w:ascii="Roboto" w:eastAsia="Roboto" w:hAnsi="Roboto" w:cs="Roboto"/>
          <w:sz w:val="20"/>
          <w:szCs w:val="20"/>
        </w:rPr>
      </w:pPr>
      <w:r w:rsidRPr="00531BD4">
        <w:rPr>
          <w:rFonts w:ascii="Roboto" w:eastAsia="Roboto" w:hAnsi="Roboto" w:cs="Roboto"/>
          <w:b/>
          <w:bCs/>
          <w:sz w:val="20"/>
          <w:szCs w:val="20"/>
        </w:rPr>
        <w:t>Figura 1</w:t>
      </w:r>
      <w:r w:rsidRPr="00531BD4">
        <w:rPr>
          <w:rFonts w:ascii="Roboto" w:eastAsia="Roboto" w:hAnsi="Roboto" w:cs="Roboto"/>
          <w:sz w:val="20"/>
          <w:szCs w:val="20"/>
        </w:rPr>
        <w:t>. Relación entre evaluación de curso, docente y nivel de recomendación</w:t>
      </w:r>
      <w:r w:rsidR="00604268" w:rsidRPr="00531BD4">
        <w:rPr>
          <w:rFonts w:ascii="Roboto" w:eastAsia="Roboto" w:hAnsi="Roboto" w:cs="Roboto"/>
          <w:sz w:val="20"/>
          <w:szCs w:val="20"/>
        </w:rPr>
        <w:t xml:space="preserve"> (NPS)</w:t>
      </w:r>
    </w:p>
    <w:p w14:paraId="3AA75EE4" w14:textId="77777777" w:rsidR="008A3E9B" w:rsidRDefault="008A3E9B" w:rsidP="003F372D">
      <w:pPr>
        <w:keepNext/>
        <w:jc w:val="both"/>
        <w:rPr>
          <w:rFonts w:ascii="Roboto" w:eastAsia="Roboto" w:hAnsi="Roboto" w:cs="Roboto"/>
          <w:color w:val="000000"/>
          <w:sz w:val="20"/>
          <w:szCs w:val="20"/>
        </w:rPr>
      </w:pPr>
    </w:p>
    <w:p w14:paraId="4415A333" w14:textId="710EAEBA" w:rsidR="008A3E9B" w:rsidRDefault="00021983" w:rsidP="003F372D">
      <w:pPr>
        <w:keepNext/>
        <w:jc w:val="both"/>
        <w:rPr>
          <w:rFonts w:ascii="Roboto" w:eastAsia="Roboto" w:hAnsi="Roboto" w:cs="Roboto"/>
          <w:color w:val="000000"/>
          <w:sz w:val="20"/>
          <w:szCs w:val="20"/>
        </w:rPr>
      </w:pPr>
      <w:r w:rsidRPr="00021983">
        <w:rPr>
          <w:rFonts w:ascii="Roboto" w:eastAsia="Roboto" w:hAnsi="Roboto" w:cs="Roboto"/>
          <w:color w:val="000000"/>
          <w:sz w:val="20"/>
          <w:szCs w:val="20"/>
        </w:rPr>
        <w:t>La Figura 1 muestra una concentración de módulos altamente recomendados en el cuadrante superior derecho, caracterizado por altos valores y alineación entre las dimensiones de curso y docente. En contraste, los módulos con menor recomendación presentan mayor dispersión, lo que sugiere menor coherencia en la experiencia percibida.</w:t>
      </w:r>
    </w:p>
    <w:p w14:paraId="0E32A2C7" w14:textId="77777777" w:rsidR="0013032A" w:rsidRDefault="0013032A">
      <w:pPr>
        <w:keepNext/>
        <w:jc w:val="both"/>
        <w:rPr>
          <w:rFonts w:ascii="Roboto" w:eastAsia="Roboto" w:hAnsi="Roboto" w:cs="Roboto"/>
          <w:color w:val="000000"/>
          <w:sz w:val="20"/>
          <w:szCs w:val="20"/>
        </w:rPr>
      </w:pPr>
      <w:r w:rsidRPr="0013032A">
        <w:rPr>
          <w:rFonts w:ascii="Roboto" w:eastAsia="Roboto" w:hAnsi="Roboto" w:cs="Roboto"/>
          <w:color w:val="000000"/>
          <w:sz w:val="20"/>
          <w:szCs w:val="20"/>
        </w:rPr>
        <w:t>La experiencia de aprendizaje se manifiesta como un gradiente continuo, en el que el incremento conjunto de las evaluaciones de curso y docente se asocia con mayores niveles de recomendación.</w:t>
      </w:r>
    </w:p>
    <w:p w14:paraId="1AD57A20" w14:textId="037081DD" w:rsidR="00021983" w:rsidRDefault="00021983">
      <w:pPr>
        <w:keepNext/>
        <w:jc w:val="both"/>
        <w:rPr>
          <w:rFonts w:ascii="Roboto" w:eastAsia="Roboto" w:hAnsi="Roboto" w:cs="Roboto"/>
          <w:sz w:val="20"/>
          <w:szCs w:val="20"/>
        </w:rPr>
      </w:pPr>
      <w:r w:rsidRPr="00021983">
        <w:rPr>
          <w:rFonts w:ascii="Roboto" w:eastAsia="Roboto" w:hAnsi="Roboto" w:cs="Roboto"/>
          <w:sz w:val="20"/>
          <w:szCs w:val="20"/>
        </w:rPr>
        <w:t xml:space="preserve">Para sintetizar este comportamiento, se presenta la distribución de módulos y la desalineación entre </w:t>
      </w:r>
      <w:r>
        <w:rPr>
          <w:rFonts w:ascii="Roboto" w:eastAsia="Roboto" w:hAnsi="Roboto" w:cs="Roboto"/>
          <w:sz w:val="20"/>
          <w:szCs w:val="20"/>
        </w:rPr>
        <w:t xml:space="preserve">la evaluación del curso y del docente. </w:t>
      </w:r>
    </w:p>
    <w:p w14:paraId="087BD3A2" w14:textId="77777777" w:rsidR="00604268" w:rsidRDefault="00604268">
      <w:pPr>
        <w:keepNext/>
        <w:jc w:val="both"/>
        <w:rPr>
          <w:rFonts w:ascii="Roboto" w:eastAsia="Roboto" w:hAnsi="Roboto" w:cs="Roboto"/>
          <w:sz w:val="20"/>
          <w:szCs w:val="20"/>
        </w:rPr>
      </w:pPr>
    </w:p>
    <w:p w14:paraId="4463AE67" w14:textId="07B9E39C" w:rsidR="00995D5C" w:rsidRPr="00F82446" w:rsidRDefault="0091099E">
      <w:pPr>
        <w:keepNext/>
        <w:jc w:val="both"/>
        <w:rPr>
          <w:rFonts w:ascii="Roboto" w:eastAsia="Roboto" w:hAnsi="Roboto" w:cs="Roboto"/>
          <w:sz w:val="20"/>
          <w:szCs w:val="20"/>
        </w:rPr>
      </w:pPr>
      <w:r w:rsidRPr="00531BD4">
        <w:rPr>
          <w:rFonts w:ascii="Roboto" w:eastAsia="Roboto" w:hAnsi="Roboto" w:cs="Roboto"/>
          <w:b/>
          <w:bCs/>
          <w:sz w:val="20"/>
          <w:szCs w:val="20"/>
        </w:rPr>
        <w:t>Tabla 1.</w:t>
      </w:r>
      <w:r w:rsidRPr="00531BD4">
        <w:rPr>
          <w:rFonts w:ascii="Roboto" w:eastAsia="Roboto" w:hAnsi="Roboto" w:cs="Roboto"/>
          <w:sz w:val="20"/>
          <w:szCs w:val="20"/>
        </w:rPr>
        <w:t xml:space="preserve"> </w:t>
      </w:r>
      <w:r w:rsidR="008A3E9B" w:rsidRPr="00531BD4">
        <w:rPr>
          <w:rFonts w:ascii="Roboto" w:eastAsia="Roboto" w:hAnsi="Roboto" w:cs="Roboto"/>
          <w:sz w:val="20"/>
          <w:szCs w:val="20"/>
        </w:rPr>
        <w:t>Distribución de módulos y desalineación entre curso y docente según nivel de recomendación</w:t>
      </w:r>
    </w:p>
    <w:p w14:paraId="448AC607" w14:textId="64D16F40" w:rsidR="00995D5C" w:rsidRPr="00DC0BBC" w:rsidRDefault="00021983">
      <w:pPr>
        <w:keepNext/>
        <w:jc w:val="both"/>
        <w:rPr>
          <w:rFonts w:ascii="Roboto" w:eastAsia="Roboto" w:hAnsi="Roboto" w:cs="Roboto"/>
          <w:sz w:val="20"/>
          <w:szCs w:val="20"/>
          <w:highlight w:val="cyan"/>
        </w:rPr>
      </w:pPr>
      <w:r w:rsidRPr="00021983">
        <w:rPr>
          <w:rFonts w:ascii="Roboto" w:eastAsia="Roboto" w:hAnsi="Roboto" w:cs="Roboto"/>
          <w:noProof/>
          <w:sz w:val="20"/>
          <w:szCs w:val="20"/>
        </w:rPr>
        <w:drawing>
          <wp:inline distT="0" distB="0" distL="0" distR="0" wp14:anchorId="51A5D4F2" wp14:editId="7059101D">
            <wp:extent cx="3011170" cy="1517015"/>
            <wp:effectExtent l="0" t="0" r="0" b="6985"/>
            <wp:docPr id="2213689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368988" name=""/>
                    <pic:cNvPicPr/>
                  </pic:nvPicPr>
                  <pic:blipFill>
                    <a:blip r:embed="rId10"/>
                    <a:stretch>
                      <a:fillRect/>
                    </a:stretch>
                  </pic:blipFill>
                  <pic:spPr>
                    <a:xfrm>
                      <a:off x="0" y="0"/>
                      <a:ext cx="3011170" cy="1517015"/>
                    </a:xfrm>
                    <a:prstGeom prst="rect">
                      <a:avLst/>
                    </a:prstGeom>
                  </pic:spPr>
                </pic:pic>
              </a:graphicData>
            </a:graphic>
          </wp:inline>
        </w:drawing>
      </w:r>
    </w:p>
    <w:p w14:paraId="77E0D46E" w14:textId="77777777" w:rsidR="0068308C" w:rsidRDefault="0068308C" w:rsidP="0068308C">
      <w:pPr>
        <w:tabs>
          <w:tab w:val="left" w:pos="284"/>
        </w:tabs>
        <w:ind w:left="284" w:hanging="284"/>
        <w:jc w:val="both"/>
        <w:rPr>
          <w:rFonts w:ascii="Roboto" w:eastAsia="Roboto" w:hAnsi="Roboto" w:cs="Roboto"/>
          <w:sz w:val="20"/>
          <w:szCs w:val="20"/>
          <w:highlight w:val="cyan"/>
        </w:rPr>
      </w:pPr>
    </w:p>
    <w:p w14:paraId="27472987" w14:textId="77777777" w:rsidR="00995D5C" w:rsidRDefault="00995D5C" w:rsidP="0068308C">
      <w:pPr>
        <w:tabs>
          <w:tab w:val="left" w:pos="284"/>
        </w:tabs>
        <w:ind w:left="284" w:hanging="284"/>
        <w:jc w:val="both"/>
        <w:rPr>
          <w:rFonts w:ascii="Roboto" w:eastAsia="Roboto" w:hAnsi="Roboto" w:cs="Roboto"/>
          <w:sz w:val="20"/>
          <w:szCs w:val="20"/>
          <w:highlight w:val="cyan"/>
        </w:rPr>
      </w:pPr>
    </w:p>
    <w:p w14:paraId="51333F9E" w14:textId="47568A21" w:rsidR="00995D5C" w:rsidRDefault="00021983" w:rsidP="00021983">
      <w:pPr>
        <w:tabs>
          <w:tab w:val="left" w:pos="284"/>
        </w:tabs>
        <w:jc w:val="both"/>
        <w:rPr>
          <w:rFonts w:ascii="Roboto" w:eastAsia="Roboto" w:hAnsi="Roboto" w:cs="Roboto"/>
          <w:sz w:val="20"/>
          <w:szCs w:val="20"/>
          <w:highlight w:val="cyan"/>
        </w:rPr>
      </w:pPr>
      <w:r w:rsidRPr="00021983">
        <w:rPr>
          <w:rFonts w:ascii="Roboto" w:eastAsia="Roboto" w:hAnsi="Roboto" w:cs="Roboto"/>
          <w:sz w:val="20"/>
          <w:szCs w:val="20"/>
        </w:rPr>
        <w:t>Como se observa, los módulos con alta recomendación presentan menores niveles de desalineación</w:t>
      </w:r>
      <w:r w:rsidR="00604268">
        <w:rPr>
          <w:rFonts w:ascii="Roboto" w:eastAsia="Roboto" w:hAnsi="Roboto" w:cs="Roboto"/>
          <w:sz w:val="20"/>
          <w:szCs w:val="20"/>
        </w:rPr>
        <w:t xml:space="preserve"> </w:t>
      </w:r>
      <w:r w:rsidR="00604268" w:rsidRPr="00604268">
        <w:rPr>
          <w:rFonts w:ascii="Roboto" w:eastAsia="Roboto" w:hAnsi="Roboto" w:cs="Roboto"/>
          <w:sz w:val="20"/>
          <w:szCs w:val="20"/>
        </w:rPr>
        <w:t>(0.11)</w:t>
      </w:r>
      <w:r w:rsidR="00604268">
        <w:rPr>
          <w:rFonts w:ascii="Roboto" w:eastAsia="Roboto" w:hAnsi="Roboto" w:cs="Roboto"/>
          <w:sz w:val="20"/>
          <w:szCs w:val="20"/>
        </w:rPr>
        <w:t xml:space="preserve"> </w:t>
      </w:r>
      <w:r w:rsidRPr="00021983">
        <w:rPr>
          <w:rFonts w:ascii="Roboto" w:eastAsia="Roboto" w:hAnsi="Roboto" w:cs="Roboto"/>
          <w:sz w:val="20"/>
          <w:szCs w:val="20"/>
        </w:rPr>
        <w:t xml:space="preserve">en </w:t>
      </w:r>
      <w:r w:rsidRPr="00021983">
        <w:rPr>
          <w:rFonts w:ascii="Roboto" w:eastAsia="Roboto" w:hAnsi="Roboto" w:cs="Roboto"/>
          <w:sz w:val="20"/>
          <w:szCs w:val="20"/>
        </w:rPr>
        <w:lastRenderedPageBreak/>
        <w:t>comparación con los niveles de calidad</w:t>
      </w:r>
      <w:r w:rsidR="00604268">
        <w:rPr>
          <w:rFonts w:ascii="Roboto" w:eastAsia="Roboto" w:hAnsi="Roboto" w:cs="Roboto"/>
          <w:sz w:val="20"/>
          <w:szCs w:val="20"/>
        </w:rPr>
        <w:t xml:space="preserve"> </w:t>
      </w:r>
      <w:r w:rsidR="00604268" w:rsidRPr="00604268">
        <w:rPr>
          <w:rFonts w:ascii="Roboto" w:eastAsia="Roboto" w:hAnsi="Roboto" w:cs="Roboto"/>
          <w:sz w:val="20"/>
          <w:szCs w:val="20"/>
        </w:rPr>
        <w:t>(0.19)</w:t>
      </w:r>
      <w:r w:rsidRPr="00021983">
        <w:rPr>
          <w:rFonts w:ascii="Roboto" w:eastAsia="Roboto" w:hAnsi="Roboto" w:cs="Roboto"/>
          <w:sz w:val="20"/>
          <w:szCs w:val="20"/>
        </w:rPr>
        <w:t xml:space="preserve"> y área de mejora</w:t>
      </w:r>
      <w:r w:rsidR="00604268">
        <w:rPr>
          <w:rFonts w:ascii="Roboto" w:eastAsia="Roboto" w:hAnsi="Roboto" w:cs="Roboto"/>
          <w:sz w:val="20"/>
          <w:szCs w:val="20"/>
        </w:rPr>
        <w:t xml:space="preserve"> </w:t>
      </w:r>
      <w:r w:rsidR="00604268" w:rsidRPr="00604268">
        <w:rPr>
          <w:rFonts w:ascii="Roboto" w:eastAsia="Roboto" w:hAnsi="Roboto" w:cs="Roboto"/>
          <w:sz w:val="20"/>
          <w:szCs w:val="20"/>
        </w:rPr>
        <w:t>(0.23)</w:t>
      </w:r>
      <w:r w:rsidRPr="00021983">
        <w:rPr>
          <w:rFonts w:ascii="Roboto" w:eastAsia="Roboto" w:hAnsi="Roboto" w:cs="Roboto"/>
          <w:sz w:val="20"/>
          <w:szCs w:val="20"/>
        </w:rPr>
        <w:t xml:space="preserve">. </w:t>
      </w:r>
      <w:r w:rsidR="00604268" w:rsidRPr="00604268">
        <w:rPr>
          <w:rFonts w:ascii="Roboto" w:eastAsia="Roboto" w:hAnsi="Roboto" w:cs="Roboto"/>
          <w:sz w:val="20"/>
          <w:szCs w:val="20"/>
        </w:rPr>
        <w:t>Este comportamiento sugiere que la diferencia entre niveles no radica únicamente en los valores promedio, sino en el grado de alineación entre las dimensiones evaluadas.</w:t>
      </w:r>
    </w:p>
    <w:p w14:paraId="608ABE39" w14:textId="63EA1F0C" w:rsidR="00021983" w:rsidRPr="00DC0BBC" w:rsidRDefault="00021983" w:rsidP="00021983">
      <w:pPr>
        <w:tabs>
          <w:tab w:val="left" w:pos="284"/>
        </w:tabs>
        <w:jc w:val="both"/>
        <w:rPr>
          <w:rFonts w:ascii="Roboto" w:eastAsia="Roboto" w:hAnsi="Roboto" w:cs="Roboto"/>
          <w:sz w:val="20"/>
          <w:szCs w:val="20"/>
          <w:highlight w:val="cyan"/>
        </w:rPr>
      </w:pPr>
      <w:r w:rsidRPr="00021983">
        <w:rPr>
          <w:rFonts w:ascii="Roboto" w:eastAsia="Roboto" w:hAnsi="Roboto" w:cs="Roboto"/>
          <w:sz w:val="20"/>
          <w:szCs w:val="20"/>
        </w:rPr>
        <w:t>Asimismo, no se identificaron diferencias relevantes asociadas al tamaño de las cohortes ni al nivel de respuesta de la encuesta, lo que sugiere que la calidad percibida es independiente de estas condiciones operativas. Este patrón se mantiene a pesar de la diversidad de programas y contextos académicos incluidos en el análisis.</w:t>
      </w:r>
    </w:p>
    <w:p w14:paraId="57DBE925" w14:textId="77777777" w:rsidR="0068308C" w:rsidRDefault="0068308C">
      <w:pPr>
        <w:pBdr>
          <w:top w:val="nil"/>
          <w:left w:val="nil"/>
          <w:bottom w:val="nil"/>
          <w:right w:val="nil"/>
          <w:between w:val="nil"/>
        </w:pBdr>
        <w:jc w:val="both"/>
        <w:rPr>
          <w:rFonts w:ascii="Roboto" w:eastAsia="Roboto" w:hAnsi="Roboto" w:cs="Roboto"/>
          <w:color w:val="000000"/>
          <w:sz w:val="20"/>
          <w:szCs w:val="20"/>
        </w:rPr>
      </w:pPr>
    </w:p>
    <w:p w14:paraId="0ACEA90B" w14:textId="77777777" w:rsidR="0068308C" w:rsidRDefault="0068308C">
      <w:pPr>
        <w:pBdr>
          <w:top w:val="nil"/>
          <w:left w:val="nil"/>
          <w:bottom w:val="nil"/>
          <w:right w:val="nil"/>
          <w:between w:val="nil"/>
        </w:pBdr>
        <w:jc w:val="both"/>
        <w:rPr>
          <w:rFonts w:ascii="Roboto" w:eastAsia="Roboto" w:hAnsi="Roboto" w:cs="Roboto"/>
          <w:color w:val="000000"/>
          <w:sz w:val="20"/>
          <w:szCs w:val="20"/>
        </w:rPr>
      </w:pPr>
    </w:p>
    <w:p w14:paraId="3C4CC758" w14:textId="35C5393C" w:rsidR="0017034B" w:rsidRDefault="00DC0BBC">
      <w:pPr>
        <w:jc w:val="both"/>
        <w:rPr>
          <w:rFonts w:ascii="Roboto" w:eastAsia="Roboto" w:hAnsi="Roboto" w:cs="Roboto"/>
          <w:b/>
          <w:bCs/>
          <w:sz w:val="20"/>
          <w:szCs w:val="20"/>
        </w:rPr>
      </w:pPr>
      <w:r>
        <w:rPr>
          <w:rFonts w:ascii="Roboto" w:eastAsia="Roboto" w:hAnsi="Roboto" w:cs="Roboto"/>
          <w:b/>
          <w:bCs/>
          <w:sz w:val="20"/>
          <w:szCs w:val="20"/>
        </w:rPr>
        <w:t>Discusión.</w:t>
      </w:r>
    </w:p>
    <w:p w14:paraId="521A79F1" w14:textId="77777777" w:rsidR="00DC0BBC" w:rsidRPr="00DC0BBC" w:rsidRDefault="00DC0BBC" w:rsidP="00DC0BBC">
      <w:pPr>
        <w:jc w:val="both"/>
        <w:rPr>
          <w:rFonts w:ascii="Roboto" w:eastAsia="Roboto" w:hAnsi="Roboto" w:cs="Roboto"/>
          <w:sz w:val="20"/>
          <w:szCs w:val="20"/>
        </w:rPr>
      </w:pPr>
      <w:r w:rsidRPr="00DC0BBC">
        <w:rPr>
          <w:rFonts w:ascii="Roboto" w:eastAsia="Roboto" w:hAnsi="Roboto" w:cs="Roboto"/>
          <w:sz w:val="20"/>
          <w:szCs w:val="20"/>
        </w:rPr>
        <w:t>Los hallazgos permiten replantear la interpretación de la experiencia de aprendizaje. Más que una suma de dimensiones independientes, los resultados sugieren que los estudiantes perciben la experiencia como una totalidad coherente.</w:t>
      </w:r>
    </w:p>
    <w:p w14:paraId="5CC4F348" w14:textId="77777777" w:rsidR="00DC0BBC" w:rsidRPr="00DC0BBC" w:rsidRDefault="00DC0BBC" w:rsidP="00DC0BBC">
      <w:pPr>
        <w:jc w:val="both"/>
        <w:rPr>
          <w:rFonts w:ascii="Roboto" w:eastAsia="Roboto" w:hAnsi="Roboto" w:cs="Roboto"/>
          <w:sz w:val="20"/>
          <w:szCs w:val="20"/>
        </w:rPr>
      </w:pPr>
      <w:r w:rsidRPr="00DC0BBC">
        <w:rPr>
          <w:rFonts w:ascii="Roboto" w:eastAsia="Roboto" w:hAnsi="Roboto" w:cs="Roboto"/>
          <w:sz w:val="20"/>
          <w:szCs w:val="20"/>
        </w:rPr>
        <w:t>La alineación entre el diseño del curso y el desempeño docente emerge como un elemento estructural en la configuración de la calidad percibida. Cuando ambas dimensiones se articulan de manera consistente, la experiencia tiende a ser valorada positivamente; en cambio, la falta de coherencia introduce tensiones que afectan la percepción global.</w:t>
      </w:r>
    </w:p>
    <w:p w14:paraId="0AB5FE1B" w14:textId="64F83B57" w:rsidR="00DC0BBC" w:rsidRPr="00DC0BBC" w:rsidRDefault="0013032A" w:rsidP="00DC0BBC">
      <w:pPr>
        <w:jc w:val="both"/>
        <w:rPr>
          <w:rFonts w:ascii="Roboto" w:eastAsia="Roboto" w:hAnsi="Roboto" w:cs="Roboto"/>
          <w:sz w:val="20"/>
          <w:szCs w:val="20"/>
        </w:rPr>
      </w:pPr>
      <w:r w:rsidRPr="0013032A">
        <w:rPr>
          <w:rFonts w:ascii="Roboto" w:eastAsia="Roboto" w:hAnsi="Roboto" w:cs="Roboto"/>
          <w:sz w:val="20"/>
          <w:szCs w:val="20"/>
        </w:rPr>
        <w:t xml:space="preserve">Esta interpretación es consistente con marcos clásicos de integración en el proceso educativo, como el </w:t>
      </w:r>
      <w:r w:rsidRPr="0013032A">
        <w:rPr>
          <w:rFonts w:ascii="Roboto" w:eastAsia="Roboto" w:hAnsi="Roboto" w:cs="Roboto"/>
          <w:i/>
          <w:iCs/>
          <w:sz w:val="20"/>
          <w:szCs w:val="20"/>
        </w:rPr>
        <w:t xml:space="preserve">constructive </w:t>
      </w:r>
      <w:proofErr w:type="spellStart"/>
      <w:r w:rsidRPr="0013032A">
        <w:rPr>
          <w:rFonts w:ascii="Roboto" w:eastAsia="Roboto" w:hAnsi="Roboto" w:cs="Roboto"/>
          <w:i/>
          <w:iCs/>
          <w:sz w:val="20"/>
          <w:szCs w:val="20"/>
        </w:rPr>
        <w:t>alignment</w:t>
      </w:r>
      <w:proofErr w:type="spellEnd"/>
      <w:r w:rsidRPr="0013032A">
        <w:rPr>
          <w:rFonts w:ascii="Roboto" w:eastAsia="Roboto" w:hAnsi="Roboto" w:cs="Roboto"/>
          <w:sz w:val="20"/>
          <w:szCs w:val="20"/>
        </w:rPr>
        <w:t xml:space="preserve"> (</w:t>
      </w:r>
      <w:proofErr w:type="spellStart"/>
      <w:r w:rsidRPr="0013032A">
        <w:rPr>
          <w:rFonts w:ascii="Roboto" w:eastAsia="Roboto" w:hAnsi="Roboto" w:cs="Roboto"/>
          <w:sz w:val="20"/>
          <w:szCs w:val="20"/>
        </w:rPr>
        <w:t>Biggs</w:t>
      </w:r>
      <w:proofErr w:type="spellEnd"/>
      <w:r w:rsidRPr="0013032A">
        <w:rPr>
          <w:rFonts w:ascii="Roboto" w:eastAsia="Roboto" w:hAnsi="Roboto" w:cs="Roboto"/>
          <w:sz w:val="20"/>
          <w:szCs w:val="20"/>
        </w:rPr>
        <w:t xml:space="preserve">, 1996) y los modelos de interacción en entornos digitales (Garrison et al., </w:t>
      </w:r>
      <w:r w:rsidR="005A2FDC">
        <w:rPr>
          <w:rFonts w:ascii="Roboto" w:eastAsia="Roboto" w:hAnsi="Roboto" w:cs="Roboto"/>
          <w:sz w:val="20"/>
          <w:szCs w:val="20"/>
        </w:rPr>
        <w:t>1990</w:t>
      </w:r>
      <w:r w:rsidRPr="0013032A">
        <w:rPr>
          <w:rFonts w:ascii="Roboto" w:eastAsia="Roboto" w:hAnsi="Roboto" w:cs="Roboto"/>
          <w:sz w:val="20"/>
          <w:szCs w:val="20"/>
        </w:rPr>
        <w:t xml:space="preserve">; </w:t>
      </w:r>
      <w:proofErr w:type="spellStart"/>
      <w:r w:rsidRPr="0013032A">
        <w:rPr>
          <w:rFonts w:ascii="Roboto" w:eastAsia="Roboto" w:hAnsi="Roboto" w:cs="Roboto"/>
          <w:sz w:val="20"/>
          <w:szCs w:val="20"/>
        </w:rPr>
        <w:t>Laurillard</w:t>
      </w:r>
      <w:proofErr w:type="spellEnd"/>
      <w:r w:rsidRPr="0013032A">
        <w:rPr>
          <w:rFonts w:ascii="Roboto" w:eastAsia="Roboto" w:hAnsi="Roboto" w:cs="Roboto"/>
          <w:sz w:val="20"/>
          <w:szCs w:val="20"/>
        </w:rPr>
        <w:t>, 2012)</w:t>
      </w:r>
      <w:r w:rsidR="00DC0BBC" w:rsidRPr="00DC0BBC">
        <w:rPr>
          <w:rFonts w:ascii="Roboto" w:eastAsia="Roboto" w:hAnsi="Roboto" w:cs="Roboto"/>
          <w:sz w:val="20"/>
          <w:szCs w:val="20"/>
        </w:rPr>
        <w:t>, donde la experiencia se construye a partir de relaciones coherentes entre diseño, interacción y mediación docente.</w:t>
      </w:r>
    </w:p>
    <w:p w14:paraId="02E20956" w14:textId="1ED2DC8D" w:rsidR="00DC0BBC" w:rsidRDefault="00DC0BBC" w:rsidP="00DC0BBC">
      <w:pPr>
        <w:jc w:val="both"/>
        <w:rPr>
          <w:rFonts w:ascii="Roboto" w:eastAsia="Roboto" w:hAnsi="Roboto" w:cs="Roboto"/>
          <w:sz w:val="20"/>
          <w:szCs w:val="20"/>
        </w:rPr>
      </w:pPr>
      <w:r w:rsidRPr="00DC0BBC">
        <w:rPr>
          <w:rFonts w:ascii="Roboto" w:eastAsia="Roboto" w:hAnsi="Roboto" w:cs="Roboto"/>
          <w:sz w:val="20"/>
          <w:szCs w:val="20"/>
        </w:rPr>
        <w:t>Desde esta perspectiva, la recomendación estudiantil puede entenderse como una expresión sintética de dicha coherencia, más que como el resultado de un único componente.</w:t>
      </w:r>
      <w:r w:rsidR="00604268">
        <w:rPr>
          <w:rFonts w:ascii="Roboto" w:eastAsia="Roboto" w:hAnsi="Roboto" w:cs="Roboto"/>
          <w:sz w:val="20"/>
          <w:szCs w:val="20"/>
        </w:rPr>
        <w:t xml:space="preserve"> </w:t>
      </w:r>
    </w:p>
    <w:p w14:paraId="040914FB" w14:textId="7CDCE4AB" w:rsidR="00604268" w:rsidRDefault="00604268" w:rsidP="00DC0BBC">
      <w:pPr>
        <w:jc w:val="both"/>
        <w:rPr>
          <w:rFonts w:ascii="Roboto" w:eastAsia="Roboto" w:hAnsi="Roboto" w:cs="Roboto"/>
          <w:sz w:val="20"/>
          <w:szCs w:val="20"/>
        </w:rPr>
      </w:pPr>
      <w:r w:rsidRPr="00604268">
        <w:rPr>
          <w:rFonts w:ascii="Roboto" w:eastAsia="Roboto" w:hAnsi="Roboto" w:cs="Roboto"/>
          <w:sz w:val="20"/>
          <w:szCs w:val="20"/>
        </w:rPr>
        <w:t>Estos hallazgos no implican relaciones causales, pero sí permiten identificar regularidades consistentes en la configuración de la experiencia de aprendizaje.</w:t>
      </w:r>
    </w:p>
    <w:p w14:paraId="719671D3" w14:textId="77777777" w:rsidR="00DC0BBC" w:rsidRDefault="00DC0BBC" w:rsidP="00DC0BBC">
      <w:pPr>
        <w:jc w:val="both"/>
        <w:rPr>
          <w:rFonts w:ascii="Roboto" w:eastAsia="Roboto" w:hAnsi="Roboto" w:cs="Roboto"/>
          <w:sz w:val="20"/>
          <w:szCs w:val="20"/>
        </w:rPr>
      </w:pPr>
    </w:p>
    <w:p w14:paraId="43DABAD2" w14:textId="49DA0E86" w:rsidR="00DC0BBC" w:rsidRDefault="00DC0BBC" w:rsidP="00DC0BBC">
      <w:pPr>
        <w:jc w:val="both"/>
        <w:rPr>
          <w:rFonts w:ascii="Roboto" w:eastAsia="Roboto" w:hAnsi="Roboto" w:cs="Roboto"/>
          <w:b/>
          <w:bCs/>
          <w:sz w:val="20"/>
          <w:szCs w:val="20"/>
        </w:rPr>
      </w:pPr>
      <w:r>
        <w:rPr>
          <w:rFonts w:ascii="Roboto" w:eastAsia="Roboto" w:hAnsi="Roboto" w:cs="Roboto"/>
          <w:b/>
          <w:bCs/>
          <w:sz w:val="20"/>
          <w:szCs w:val="20"/>
        </w:rPr>
        <w:t>Conclusiones.</w:t>
      </w:r>
    </w:p>
    <w:p w14:paraId="298BB6C2" w14:textId="77777777" w:rsidR="00DC0BBC" w:rsidRPr="00DC0BBC" w:rsidRDefault="00DC0BBC" w:rsidP="00DC0BBC">
      <w:pPr>
        <w:jc w:val="both"/>
        <w:rPr>
          <w:rFonts w:ascii="Roboto" w:eastAsia="Roboto" w:hAnsi="Roboto" w:cs="Roboto"/>
          <w:sz w:val="20"/>
          <w:szCs w:val="20"/>
        </w:rPr>
      </w:pPr>
      <w:r w:rsidRPr="00DC0BBC">
        <w:rPr>
          <w:rFonts w:ascii="Roboto" w:eastAsia="Roboto" w:hAnsi="Roboto" w:cs="Roboto"/>
          <w:sz w:val="20"/>
          <w:szCs w:val="20"/>
        </w:rPr>
        <w:t>El estudio aporta evidencia empírica, basada en un volumen amplio de datos institucionales, que respalda la interpretación de la experiencia de aprendizaje como un sistema coherente en contextos reales de educación en línea.</w:t>
      </w:r>
    </w:p>
    <w:p w14:paraId="43988F0F" w14:textId="77777777" w:rsidR="00604268" w:rsidRDefault="00604268" w:rsidP="00DC0BBC">
      <w:pPr>
        <w:jc w:val="both"/>
        <w:rPr>
          <w:rFonts w:ascii="Roboto" w:eastAsia="Roboto" w:hAnsi="Roboto" w:cs="Roboto"/>
          <w:sz w:val="20"/>
          <w:szCs w:val="20"/>
        </w:rPr>
      </w:pPr>
      <w:r w:rsidRPr="00604268">
        <w:rPr>
          <w:rFonts w:ascii="Roboto" w:eastAsia="Roboto" w:hAnsi="Roboto" w:cs="Roboto"/>
          <w:sz w:val="20"/>
          <w:szCs w:val="20"/>
        </w:rPr>
        <w:t>Los resultados sugieren que la calidad percibida en la experiencia de aprendizaje se sostiene en la coherencia del sistema formativo, independientemente de variaciones en tamaño de cohorte y diversidad de contextos académicos.</w:t>
      </w:r>
    </w:p>
    <w:p w14:paraId="3D12FDA3" w14:textId="668CD371" w:rsidR="00DC0BBC" w:rsidRPr="00DC0BBC" w:rsidRDefault="00DC0BBC" w:rsidP="00DC0BBC">
      <w:pPr>
        <w:jc w:val="both"/>
        <w:rPr>
          <w:rFonts w:ascii="Roboto" w:eastAsia="Roboto" w:hAnsi="Roboto" w:cs="Roboto"/>
          <w:sz w:val="20"/>
          <w:szCs w:val="20"/>
        </w:rPr>
      </w:pPr>
      <w:r w:rsidRPr="00DC0BBC">
        <w:rPr>
          <w:rFonts w:ascii="Roboto" w:eastAsia="Roboto" w:hAnsi="Roboto" w:cs="Roboto"/>
          <w:sz w:val="20"/>
          <w:szCs w:val="20"/>
        </w:rPr>
        <w:t>Como implicación, se propone que los procesos de mejora académica prioricen no solo el fortalecimiento de componentes individuales, sino la articulación coherente entre ellos, como base para el desarrollo de experiencias educativas de mayor calidad.</w:t>
      </w:r>
    </w:p>
    <w:p w14:paraId="333CF048" w14:textId="77777777" w:rsidR="00DC0BBC" w:rsidRDefault="00DC0BBC" w:rsidP="00DC0BBC">
      <w:pPr>
        <w:jc w:val="both"/>
        <w:rPr>
          <w:rFonts w:ascii="Roboto" w:eastAsia="Roboto" w:hAnsi="Roboto" w:cs="Roboto"/>
          <w:sz w:val="20"/>
          <w:szCs w:val="20"/>
        </w:rPr>
      </w:pPr>
    </w:p>
    <w:p w14:paraId="117D3C5A" w14:textId="5FE0AFB3" w:rsidR="0017034B" w:rsidRPr="001C1AC3" w:rsidRDefault="0091099E">
      <w:pPr>
        <w:jc w:val="both"/>
        <w:rPr>
          <w:rFonts w:ascii="Roboto" w:eastAsia="Roboto" w:hAnsi="Roboto" w:cs="Roboto"/>
          <w:b/>
          <w:bCs/>
          <w:sz w:val="20"/>
          <w:szCs w:val="20"/>
          <w:lang w:val="en-US"/>
        </w:rPr>
      </w:pPr>
      <w:r w:rsidRPr="001C1AC3">
        <w:rPr>
          <w:rFonts w:ascii="Roboto" w:eastAsia="Roboto" w:hAnsi="Roboto" w:cs="Roboto"/>
          <w:b/>
          <w:bCs/>
          <w:sz w:val="20"/>
          <w:szCs w:val="20"/>
          <w:lang w:val="en-US"/>
        </w:rPr>
        <w:t>REFERENCIAS</w:t>
      </w:r>
    </w:p>
    <w:p w14:paraId="4E8750ED" w14:textId="570A9B60" w:rsidR="0017034B" w:rsidRPr="00C97FF3" w:rsidRDefault="0017034B">
      <w:pPr>
        <w:rPr>
          <w:rFonts w:ascii="Roboto" w:eastAsia="Roboto" w:hAnsi="Roboto" w:cs="Roboto"/>
          <w:sz w:val="20"/>
          <w:szCs w:val="20"/>
          <w:lang w:val="en-US"/>
        </w:rPr>
      </w:pPr>
    </w:p>
    <w:p w14:paraId="0A069D4A" w14:textId="2C7C0786" w:rsidR="00540C39" w:rsidRPr="00F82446" w:rsidRDefault="00540C39" w:rsidP="00540C39">
      <w:pPr>
        <w:jc w:val="both"/>
        <w:rPr>
          <w:rFonts w:ascii="Roboto" w:eastAsia="Roboto" w:hAnsi="Roboto" w:cs="Roboto"/>
          <w:sz w:val="20"/>
          <w:szCs w:val="20"/>
          <w:lang w:val="en-US"/>
        </w:rPr>
      </w:pPr>
      <w:r w:rsidRPr="00F82446">
        <w:rPr>
          <w:rFonts w:ascii="Roboto" w:eastAsia="Roboto" w:hAnsi="Roboto" w:cs="Roboto"/>
          <w:sz w:val="20"/>
          <w:szCs w:val="20"/>
          <w:lang w:val="en-US"/>
        </w:rPr>
        <w:t>Biggs, J. (1996).</w:t>
      </w:r>
      <w:r w:rsidR="00F82446">
        <w:rPr>
          <w:rFonts w:ascii="Roboto" w:eastAsia="Roboto" w:hAnsi="Roboto" w:cs="Roboto"/>
          <w:sz w:val="20"/>
          <w:szCs w:val="20"/>
          <w:lang w:val="en-US"/>
        </w:rPr>
        <w:t xml:space="preserve"> </w:t>
      </w:r>
      <w:r w:rsidRPr="00F82446">
        <w:rPr>
          <w:rFonts w:ascii="Roboto" w:eastAsia="Roboto" w:hAnsi="Roboto" w:cs="Roboto"/>
          <w:sz w:val="20"/>
          <w:szCs w:val="20"/>
          <w:lang w:val="en-US"/>
        </w:rPr>
        <w:t xml:space="preserve">Enhancing teaching through constructive alignment. </w:t>
      </w:r>
      <w:r w:rsidRPr="00F82446">
        <w:rPr>
          <w:rFonts w:ascii="Roboto" w:eastAsia="Roboto" w:hAnsi="Roboto" w:cs="Roboto"/>
          <w:i/>
          <w:iCs/>
          <w:sz w:val="20"/>
          <w:szCs w:val="20"/>
          <w:lang w:val="en-US"/>
        </w:rPr>
        <w:t>Higher Education, 32</w:t>
      </w:r>
      <w:r w:rsidRPr="00F82446">
        <w:rPr>
          <w:rFonts w:ascii="Roboto" w:eastAsia="Roboto" w:hAnsi="Roboto" w:cs="Roboto"/>
          <w:sz w:val="20"/>
          <w:szCs w:val="20"/>
          <w:lang w:val="en-US"/>
        </w:rPr>
        <w:t>(3), 347–364.</w:t>
      </w:r>
    </w:p>
    <w:p w14:paraId="519CD7AE" w14:textId="77777777" w:rsidR="00540C39" w:rsidRPr="00F82446" w:rsidRDefault="00540C39" w:rsidP="00540C39">
      <w:pPr>
        <w:jc w:val="both"/>
        <w:rPr>
          <w:rFonts w:ascii="Roboto" w:eastAsia="Roboto" w:hAnsi="Roboto" w:cs="Roboto"/>
          <w:sz w:val="20"/>
          <w:szCs w:val="20"/>
          <w:lang w:val="en-US"/>
        </w:rPr>
      </w:pPr>
    </w:p>
    <w:p w14:paraId="39204E22" w14:textId="0FEF40E4" w:rsidR="00F82446" w:rsidRPr="00F82446" w:rsidRDefault="00F82446" w:rsidP="00540C39">
      <w:pPr>
        <w:jc w:val="both"/>
        <w:rPr>
          <w:rFonts w:ascii="Roboto" w:eastAsia="Roboto" w:hAnsi="Roboto" w:cs="Roboto"/>
          <w:sz w:val="20"/>
          <w:szCs w:val="20"/>
          <w:lang w:val="en-US"/>
        </w:rPr>
      </w:pPr>
      <w:r w:rsidRPr="00F82446">
        <w:rPr>
          <w:rFonts w:ascii="Roboto" w:eastAsia="Roboto" w:hAnsi="Roboto" w:cs="Roboto"/>
          <w:sz w:val="20"/>
          <w:szCs w:val="20"/>
          <w:lang w:val="en-US"/>
        </w:rPr>
        <w:t>Ellis, R. A., &amp; Goodyear, P. (2019).</w:t>
      </w:r>
      <w:r>
        <w:rPr>
          <w:rFonts w:ascii="Roboto" w:eastAsia="Roboto" w:hAnsi="Roboto" w:cs="Roboto"/>
          <w:sz w:val="20"/>
          <w:szCs w:val="20"/>
          <w:lang w:val="en-US"/>
        </w:rPr>
        <w:t xml:space="preserve"> </w:t>
      </w:r>
      <w:r w:rsidRPr="00F82446">
        <w:rPr>
          <w:rFonts w:ascii="Roboto" w:eastAsia="Roboto" w:hAnsi="Roboto" w:cs="Roboto"/>
          <w:i/>
          <w:iCs/>
          <w:sz w:val="20"/>
          <w:szCs w:val="20"/>
          <w:lang w:val="en-US"/>
        </w:rPr>
        <w:t>The education ecology of universities: Integrating learning, strategy and the academy</w:t>
      </w:r>
      <w:r w:rsidRPr="00F82446">
        <w:rPr>
          <w:rFonts w:ascii="Roboto" w:eastAsia="Roboto" w:hAnsi="Roboto" w:cs="Roboto"/>
          <w:sz w:val="20"/>
          <w:szCs w:val="20"/>
          <w:lang w:val="en-US"/>
        </w:rPr>
        <w:t>. Routledge.</w:t>
      </w:r>
    </w:p>
    <w:p w14:paraId="49EE5A58" w14:textId="77777777" w:rsidR="00F82446" w:rsidRPr="00F82446" w:rsidRDefault="00F82446" w:rsidP="00540C39">
      <w:pPr>
        <w:jc w:val="both"/>
        <w:rPr>
          <w:rFonts w:ascii="Roboto" w:eastAsia="Roboto" w:hAnsi="Roboto" w:cs="Roboto"/>
          <w:sz w:val="20"/>
          <w:szCs w:val="20"/>
          <w:lang w:val="en-US"/>
        </w:rPr>
      </w:pPr>
    </w:p>
    <w:p w14:paraId="28E63C69" w14:textId="622F2C21" w:rsidR="00540C39" w:rsidRPr="00F82446" w:rsidRDefault="00540C39" w:rsidP="00540C39">
      <w:pPr>
        <w:jc w:val="both"/>
        <w:rPr>
          <w:rFonts w:ascii="Roboto" w:eastAsia="Roboto" w:hAnsi="Roboto" w:cs="Roboto"/>
          <w:sz w:val="20"/>
          <w:szCs w:val="20"/>
          <w:lang w:val="en-US"/>
        </w:rPr>
      </w:pPr>
      <w:r w:rsidRPr="00F82446">
        <w:rPr>
          <w:rFonts w:ascii="Roboto" w:eastAsia="Roboto" w:hAnsi="Roboto" w:cs="Roboto"/>
          <w:sz w:val="20"/>
          <w:szCs w:val="20"/>
          <w:lang w:val="en-US"/>
        </w:rPr>
        <w:t>Garrison, D. R., Anderson, T., &amp; Archer, W. (</w:t>
      </w:r>
      <w:r w:rsidR="005A2FDC">
        <w:rPr>
          <w:rFonts w:ascii="Roboto" w:eastAsia="Roboto" w:hAnsi="Roboto" w:cs="Roboto"/>
          <w:sz w:val="20"/>
          <w:szCs w:val="20"/>
          <w:lang w:val="en-US"/>
        </w:rPr>
        <w:t>1999</w:t>
      </w:r>
      <w:r w:rsidRPr="00F82446">
        <w:rPr>
          <w:rFonts w:ascii="Roboto" w:eastAsia="Roboto" w:hAnsi="Roboto" w:cs="Roboto"/>
          <w:sz w:val="20"/>
          <w:szCs w:val="20"/>
          <w:lang w:val="en-US"/>
        </w:rPr>
        <w:t>).</w:t>
      </w:r>
      <w:r w:rsidR="00F82446">
        <w:rPr>
          <w:rFonts w:ascii="Roboto" w:eastAsia="Roboto" w:hAnsi="Roboto" w:cs="Roboto"/>
          <w:sz w:val="20"/>
          <w:szCs w:val="20"/>
          <w:lang w:val="en-US"/>
        </w:rPr>
        <w:t xml:space="preserve"> </w:t>
      </w:r>
      <w:r w:rsidRPr="00F82446">
        <w:rPr>
          <w:rFonts w:ascii="Roboto" w:eastAsia="Roboto" w:hAnsi="Roboto" w:cs="Roboto"/>
          <w:sz w:val="20"/>
          <w:szCs w:val="20"/>
          <w:lang w:val="en-US"/>
        </w:rPr>
        <w:t xml:space="preserve">Critical inquiry in a text-based environment: Computer conferencing in higher education. </w:t>
      </w:r>
      <w:r w:rsidRPr="00F82446">
        <w:rPr>
          <w:rFonts w:ascii="Roboto" w:eastAsia="Roboto" w:hAnsi="Roboto" w:cs="Roboto"/>
          <w:i/>
          <w:iCs/>
          <w:sz w:val="20"/>
          <w:szCs w:val="20"/>
          <w:lang w:val="en-US"/>
        </w:rPr>
        <w:t>The Internet and Higher Education, 2</w:t>
      </w:r>
      <w:r w:rsidRPr="00F82446">
        <w:rPr>
          <w:rFonts w:ascii="Roboto" w:eastAsia="Roboto" w:hAnsi="Roboto" w:cs="Roboto"/>
          <w:sz w:val="20"/>
          <w:szCs w:val="20"/>
          <w:lang w:val="en-US"/>
        </w:rPr>
        <w:t>(2–3), 87–105.</w:t>
      </w:r>
    </w:p>
    <w:p w14:paraId="0690CA0D" w14:textId="77777777" w:rsidR="00ED58B0" w:rsidRDefault="00ED58B0" w:rsidP="00540C39">
      <w:pPr>
        <w:jc w:val="both"/>
        <w:rPr>
          <w:rFonts w:ascii="Roboto" w:eastAsia="Roboto" w:hAnsi="Roboto" w:cs="Roboto"/>
          <w:sz w:val="20"/>
          <w:szCs w:val="20"/>
          <w:lang w:val="en-US"/>
        </w:rPr>
      </w:pPr>
    </w:p>
    <w:p w14:paraId="5C155E24" w14:textId="23C08EAA" w:rsidR="00ED58B0" w:rsidRPr="00F82446" w:rsidRDefault="00ED58B0" w:rsidP="00540C39">
      <w:pPr>
        <w:jc w:val="both"/>
        <w:rPr>
          <w:rFonts w:ascii="Roboto" w:eastAsia="Roboto" w:hAnsi="Roboto" w:cs="Roboto"/>
          <w:sz w:val="20"/>
          <w:szCs w:val="20"/>
          <w:lang w:val="en-US"/>
        </w:rPr>
      </w:pPr>
      <w:r w:rsidRPr="00CA07A0">
        <w:rPr>
          <w:rFonts w:ascii="Roboto" w:eastAsia="Roboto" w:hAnsi="Roboto" w:cs="Roboto"/>
          <w:sz w:val="20"/>
          <w:szCs w:val="20"/>
          <w:lang w:val="en-US"/>
        </w:rPr>
        <w:t>Kahu, E. R., &amp; Nelson, K. (2018). Student engagement in the educational interface: understanding the mechanisms of student success. </w:t>
      </w:r>
      <w:r w:rsidRPr="001C1AC3">
        <w:rPr>
          <w:rFonts w:ascii="Roboto" w:eastAsia="Roboto" w:hAnsi="Roboto" w:cs="Roboto"/>
          <w:i/>
          <w:iCs/>
          <w:sz w:val="20"/>
          <w:szCs w:val="20"/>
          <w:lang w:val="en-US"/>
        </w:rPr>
        <w:t>Higher Education Research &amp; Development</w:t>
      </w:r>
      <w:r w:rsidRPr="001C1AC3">
        <w:rPr>
          <w:rFonts w:ascii="Roboto" w:eastAsia="Roboto" w:hAnsi="Roboto" w:cs="Roboto"/>
          <w:sz w:val="20"/>
          <w:szCs w:val="20"/>
          <w:lang w:val="en-US"/>
        </w:rPr>
        <w:t>, </w:t>
      </w:r>
      <w:r w:rsidRPr="001C1AC3">
        <w:rPr>
          <w:rFonts w:ascii="Roboto" w:eastAsia="Roboto" w:hAnsi="Roboto" w:cs="Roboto"/>
          <w:i/>
          <w:iCs/>
          <w:sz w:val="20"/>
          <w:szCs w:val="20"/>
          <w:lang w:val="en-US"/>
        </w:rPr>
        <w:t>37</w:t>
      </w:r>
      <w:r w:rsidRPr="001C1AC3">
        <w:rPr>
          <w:rFonts w:ascii="Roboto" w:eastAsia="Roboto" w:hAnsi="Roboto" w:cs="Roboto"/>
          <w:sz w:val="20"/>
          <w:szCs w:val="20"/>
          <w:lang w:val="en-US"/>
        </w:rPr>
        <w:t>(1), 58–71.</w:t>
      </w:r>
    </w:p>
    <w:p w14:paraId="00D3B4F3" w14:textId="77777777" w:rsidR="00ED58B0" w:rsidRPr="00F82446" w:rsidRDefault="00ED58B0" w:rsidP="00540C39">
      <w:pPr>
        <w:jc w:val="both"/>
        <w:rPr>
          <w:rFonts w:ascii="Roboto" w:eastAsia="Roboto" w:hAnsi="Roboto" w:cs="Roboto"/>
          <w:sz w:val="20"/>
          <w:szCs w:val="20"/>
          <w:lang w:val="en-US"/>
        </w:rPr>
      </w:pPr>
    </w:p>
    <w:p w14:paraId="11824F15" w14:textId="79CF26E0" w:rsidR="00F82446" w:rsidRPr="00F82446" w:rsidRDefault="00F82446" w:rsidP="00540C39">
      <w:pPr>
        <w:jc w:val="both"/>
        <w:rPr>
          <w:rFonts w:ascii="Roboto" w:eastAsia="Roboto" w:hAnsi="Roboto" w:cs="Roboto"/>
          <w:sz w:val="20"/>
          <w:szCs w:val="20"/>
          <w:lang w:val="en-US"/>
        </w:rPr>
      </w:pPr>
      <w:proofErr w:type="spellStart"/>
      <w:r w:rsidRPr="00F82446">
        <w:rPr>
          <w:rFonts w:ascii="Roboto" w:eastAsia="Roboto" w:hAnsi="Roboto" w:cs="Roboto"/>
          <w:sz w:val="20"/>
          <w:szCs w:val="20"/>
          <w:lang w:val="en-US"/>
        </w:rPr>
        <w:t>Laurillard</w:t>
      </w:r>
      <w:proofErr w:type="spellEnd"/>
      <w:r w:rsidRPr="00F82446">
        <w:rPr>
          <w:rFonts w:ascii="Roboto" w:eastAsia="Roboto" w:hAnsi="Roboto" w:cs="Roboto"/>
          <w:sz w:val="20"/>
          <w:szCs w:val="20"/>
          <w:lang w:val="en-US"/>
        </w:rPr>
        <w:t>, D. (2012).</w:t>
      </w:r>
      <w:r>
        <w:rPr>
          <w:rFonts w:ascii="Roboto" w:eastAsia="Roboto" w:hAnsi="Roboto" w:cs="Roboto"/>
          <w:sz w:val="20"/>
          <w:szCs w:val="20"/>
          <w:lang w:val="en-US"/>
        </w:rPr>
        <w:t xml:space="preserve"> </w:t>
      </w:r>
      <w:r w:rsidRPr="00F82446">
        <w:rPr>
          <w:rFonts w:ascii="Roboto" w:eastAsia="Roboto" w:hAnsi="Roboto" w:cs="Roboto"/>
          <w:i/>
          <w:iCs/>
          <w:sz w:val="20"/>
          <w:szCs w:val="20"/>
          <w:lang w:val="en-US"/>
        </w:rPr>
        <w:t>Teaching as a design science: Building pedagogical patterns for learning and technology</w:t>
      </w:r>
      <w:r w:rsidRPr="00F82446">
        <w:rPr>
          <w:rFonts w:ascii="Roboto" w:eastAsia="Roboto" w:hAnsi="Roboto" w:cs="Roboto"/>
          <w:sz w:val="20"/>
          <w:szCs w:val="20"/>
          <w:lang w:val="en-US"/>
        </w:rPr>
        <w:t>. Routledge.</w:t>
      </w:r>
    </w:p>
    <w:p w14:paraId="2DB1A4BC" w14:textId="77777777" w:rsidR="00F82446" w:rsidRPr="00F82446" w:rsidRDefault="00F82446" w:rsidP="00540C39">
      <w:pPr>
        <w:jc w:val="both"/>
        <w:rPr>
          <w:rFonts w:ascii="Roboto" w:eastAsia="Roboto" w:hAnsi="Roboto" w:cs="Roboto"/>
          <w:sz w:val="20"/>
          <w:szCs w:val="20"/>
          <w:lang w:val="en-US"/>
        </w:rPr>
      </w:pPr>
    </w:p>
    <w:p w14:paraId="14641CA7" w14:textId="492FE09C" w:rsidR="00540C39" w:rsidRPr="001C1AC3" w:rsidRDefault="00540C39" w:rsidP="00540C39">
      <w:pPr>
        <w:jc w:val="both"/>
        <w:rPr>
          <w:rFonts w:ascii="Roboto" w:eastAsia="Roboto" w:hAnsi="Roboto" w:cs="Roboto"/>
          <w:sz w:val="20"/>
          <w:szCs w:val="20"/>
        </w:rPr>
      </w:pPr>
      <w:r w:rsidRPr="00F82446">
        <w:rPr>
          <w:rFonts w:ascii="Roboto" w:eastAsia="Roboto" w:hAnsi="Roboto" w:cs="Roboto"/>
          <w:sz w:val="20"/>
          <w:szCs w:val="20"/>
          <w:lang w:val="en-US"/>
        </w:rPr>
        <w:t>Reichheld, F. F. (2003).</w:t>
      </w:r>
      <w:r w:rsidR="00F82446">
        <w:rPr>
          <w:rFonts w:ascii="Roboto" w:eastAsia="Roboto" w:hAnsi="Roboto" w:cs="Roboto"/>
          <w:sz w:val="20"/>
          <w:szCs w:val="20"/>
          <w:lang w:val="en-US"/>
        </w:rPr>
        <w:t xml:space="preserve"> </w:t>
      </w:r>
      <w:r w:rsidRPr="00F82446">
        <w:rPr>
          <w:rFonts w:ascii="Roboto" w:eastAsia="Roboto" w:hAnsi="Roboto" w:cs="Roboto"/>
          <w:sz w:val="20"/>
          <w:szCs w:val="20"/>
          <w:lang w:val="en-US"/>
        </w:rPr>
        <w:t xml:space="preserve">The one number you need to grow. </w:t>
      </w:r>
      <w:r w:rsidRPr="001C1AC3">
        <w:rPr>
          <w:rFonts w:ascii="Roboto" w:eastAsia="Roboto" w:hAnsi="Roboto" w:cs="Roboto"/>
          <w:i/>
          <w:iCs/>
          <w:sz w:val="20"/>
          <w:szCs w:val="20"/>
        </w:rPr>
        <w:t xml:space="preserve">Harvard Business </w:t>
      </w:r>
      <w:proofErr w:type="spellStart"/>
      <w:r w:rsidRPr="001C1AC3">
        <w:rPr>
          <w:rFonts w:ascii="Roboto" w:eastAsia="Roboto" w:hAnsi="Roboto" w:cs="Roboto"/>
          <w:i/>
          <w:iCs/>
          <w:sz w:val="20"/>
          <w:szCs w:val="20"/>
        </w:rPr>
        <w:t>Review</w:t>
      </w:r>
      <w:proofErr w:type="spellEnd"/>
      <w:r w:rsidRPr="001C1AC3">
        <w:rPr>
          <w:rFonts w:ascii="Roboto" w:eastAsia="Roboto" w:hAnsi="Roboto" w:cs="Roboto"/>
          <w:i/>
          <w:iCs/>
          <w:sz w:val="20"/>
          <w:szCs w:val="20"/>
        </w:rPr>
        <w:t>, 81</w:t>
      </w:r>
      <w:r w:rsidRPr="001C1AC3">
        <w:rPr>
          <w:rFonts w:ascii="Roboto" w:eastAsia="Roboto" w:hAnsi="Roboto" w:cs="Roboto"/>
          <w:sz w:val="20"/>
          <w:szCs w:val="20"/>
        </w:rPr>
        <w:t>(12), 46–54.</w:t>
      </w:r>
    </w:p>
    <w:p w14:paraId="35FA5147" w14:textId="77777777" w:rsidR="00540C39" w:rsidRPr="001C1AC3" w:rsidRDefault="00540C39" w:rsidP="00540C39">
      <w:pPr>
        <w:jc w:val="both"/>
        <w:rPr>
          <w:rFonts w:ascii="Roboto" w:eastAsia="Roboto" w:hAnsi="Roboto" w:cs="Roboto"/>
          <w:sz w:val="20"/>
          <w:szCs w:val="20"/>
        </w:rPr>
      </w:pPr>
    </w:p>
    <w:p w14:paraId="5106CF6A" w14:textId="77777777" w:rsidR="0017034B" w:rsidRPr="001C1AC3" w:rsidRDefault="0017034B">
      <w:pPr>
        <w:jc w:val="both"/>
        <w:rPr>
          <w:rFonts w:ascii="Roboto" w:eastAsia="Roboto" w:hAnsi="Roboto" w:cs="Roboto"/>
          <w:sz w:val="20"/>
          <w:szCs w:val="20"/>
        </w:rPr>
      </w:pPr>
    </w:p>
    <w:p w14:paraId="0D4FF32C" w14:textId="77777777" w:rsidR="0017034B" w:rsidRPr="001C1AC3" w:rsidRDefault="0017034B">
      <w:pPr>
        <w:jc w:val="both"/>
        <w:rPr>
          <w:rFonts w:ascii="Roboto" w:eastAsia="Roboto" w:hAnsi="Roboto" w:cs="Roboto"/>
          <w:sz w:val="20"/>
          <w:szCs w:val="20"/>
        </w:rPr>
      </w:pPr>
    </w:p>
    <w:p w14:paraId="4F309468" w14:textId="77777777" w:rsidR="0017034B" w:rsidRPr="001C1AC3" w:rsidRDefault="0017034B">
      <w:pPr>
        <w:jc w:val="both"/>
        <w:rPr>
          <w:rFonts w:ascii="Roboto" w:eastAsia="Roboto" w:hAnsi="Roboto" w:cs="Roboto"/>
          <w:sz w:val="20"/>
          <w:szCs w:val="20"/>
        </w:rPr>
        <w:sectPr w:rsidR="0017034B" w:rsidRPr="001C1AC3">
          <w:type w:val="continuous"/>
          <w:pgSz w:w="11906" w:h="16838"/>
          <w:pgMar w:top="1134" w:right="851" w:bottom="1134" w:left="851" w:header="357" w:footer="720" w:gutter="0"/>
          <w:cols w:num="2" w:space="720" w:equalWidth="0">
            <w:col w:w="4934" w:space="335"/>
            <w:col w:w="4934" w:space="0"/>
          </w:cols>
        </w:sectPr>
      </w:pPr>
    </w:p>
    <w:p w14:paraId="15BA472E" w14:textId="77777777" w:rsidR="0017034B" w:rsidRDefault="0091099E">
      <w:pPr>
        <w:spacing w:before="240"/>
        <w:jc w:val="center"/>
        <w:rPr>
          <w:rFonts w:ascii="Roboto" w:eastAsia="Roboto" w:hAnsi="Roboto" w:cs="Roboto"/>
          <w:b/>
          <w:bCs/>
          <w:color w:val="FF0000"/>
          <w:sz w:val="20"/>
          <w:szCs w:val="20"/>
        </w:rPr>
      </w:pPr>
      <w:r w:rsidRPr="001C1AC3">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26496AAE" w14:textId="77777777" w:rsidR="0017034B" w:rsidRDefault="0091099E">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98E6D2D" w14:textId="77777777" w:rsidR="0017034B" w:rsidRDefault="0091099E">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17FF3AA1"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3578FFD1"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7DFAB9C8"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6B62B17"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59FC787"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3DB66C65"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1A693D2E"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525CC30F" w14:textId="77777777" w:rsidR="0017034B" w:rsidRDefault="0091099E">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BB3FCE0" w14:textId="77777777" w:rsidR="0017034B" w:rsidRDefault="0091099E">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2F902D4" w14:textId="77777777" w:rsidR="0017034B" w:rsidRDefault="0091099E">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5EE569C" w14:textId="77777777" w:rsidR="0017034B" w:rsidRDefault="0091099E">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137D5F1D"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4BB6971A"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6CFA9CC" w14:textId="77777777" w:rsidR="0017034B" w:rsidRDefault="0091099E">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7B1B96B" w14:textId="77777777" w:rsidR="0017034B" w:rsidRDefault="0091099E">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823348E" w14:textId="77777777" w:rsidR="0017034B" w:rsidRDefault="0091099E">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59A420FF"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892C8AE"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2298039" w14:textId="77777777" w:rsidR="0017034B"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D28C95A" w14:textId="77777777" w:rsidR="0017034B" w:rsidRDefault="0091099E">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0C12F7A" w14:textId="77777777" w:rsidR="0017034B" w:rsidRDefault="0091099E">
      <w:pPr>
        <w:spacing w:before="240" w:after="240"/>
        <w:jc w:val="both"/>
        <w:rPr>
          <w:rFonts w:ascii="Roboto" w:eastAsia="Roboto" w:hAnsi="Roboto" w:cs="Roboto"/>
          <w:sz w:val="20"/>
          <w:szCs w:val="20"/>
        </w:rPr>
      </w:pPr>
      <w:proofErr w:type="gramStart"/>
      <w:r>
        <w:rPr>
          <w:rFonts w:ascii="Roboto" w:eastAsia="Roboto" w:hAnsi="Roboto" w:cs="Roboto"/>
          <w:sz w:val="20"/>
          <w:szCs w:val="20"/>
        </w:rPr>
        <w:t>(  Marque</w:t>
      </w:r>
      <w:proofErr w:type="gramEnd"/>
      <w:r>
        <w:rPr>
          <w:rFonts w:ascii="Roboto" w:eastAsia="Roboto" w:hAnsi="Roboto" w:cs="Roboto"/>
          <w:sz w:val="20"/>
          <w:szCs w:val="20"/>
        </w:rPr>
        <w:t xml:space="preserve"> con </w:t>
      </w:r>
      <w:proofErr w:type="gramStart"/>
      <w:r>
        <w:rPr>
          <w:rFonts w:ascii="Roboto" w:eastAsia="Roboto" w:hAnsi="Roboto" w:cs="Roboto"/>
          <w:sz w:val="20"/>
          <w:szCs w:val="20"/>
        </w:rPr>
        <w:t>X  )</w:t>
      </w:r>
      <w:proofErr w:type="gramEnd"/>
      <w:r>
        <w:rPr>
          <w:rFonts w:ascii="Roboto" w:eastAsia="Roboto" w:hAnsi="Roboto" w:cs="Roboto"/>
          <w:sz w:val="20"/>
          <w:szCs w:val="20"/>
        </w:rPr>
        <w:t xml:space="preserve">  Declaro que he leído y acepto los términos de esta declaración y autorización de publicación.</w:t>
      </w:r>
    </w:p>
    <w:p w14:paraId="128178D2" w14:textId="77777777" w:rsidR="001C1AC3" w:rsidRDefault="001C1AC3">
      <w:pPr>
        <w:spacing w:before="240" w:after="240"/>
        <w:jc w:val="both"/>
        <w:rPr>
          <w:rFonts w:ascii="Roboto" w:eastAsia="Roboto" w:hAnsi="Roboto" w:cs="Roboto"/>
          <w:b/>
          <w:bCs/>
          <w:sz w:val="20"/>
          <w:szCs w:val="20"/>
        </w:rPr>
      </w:pPr>
      <w:r>
        <w:rPr>
          <w:rFonts w:ascii="Roboto" w:eastAsia="Roboto" w:hAnsi="Roboto" w:cs="Roboto"/>
          <w:b/>
          <w:bCs/>
          <w:sz w:val="20"/>
          <w:szCs w:val="20"/>
        </w:rPr>
        <w:t xml:space="preserve"> </w:t>
      </w:r>
      <w:r w:rsidR="0091099E">
        <w:rPr>
          <w:rFonts w:ascii="Roboto" w:eastAsia="Roboto" w:hAnsi="Roboto" w:cs="Roboto"/>
          <w:b/>
          <w:bCs/>
          <w:sz w:val="20"/>
          <w:szCs w:val="20"/>
        </w:rPr>
        <w:t>Autor</w:t>
      </w:r>
      <w:r>
        <w:rPr>
          <w:rFonts w:ascii="Roboto" w:eastAsia="Roboto" w:hAnsi="Roboto" w:cs="Roboto"/>
          <w:b/>
          <w:bCs/>
          <w:sz w:val="20"/>
          <w:szCs w:val="20"/>
        </w:rPr>
        <w:t xml:space="preserve"> </w:t>
      </w:r>
      <w:r w:rsidR="0091099E">
        <w:rPr>
          <w:rFonts w:ascii="Roboto" w:eastAsia="Roboto" w:hAnsi="Roboto" w:cs="Roboto"/>
          <w:b/>
          <w:bCs/>
          <w:sz w:val="20"/>
          <w:szCs w:val="20"/>
        </w:rPr>
        <w:t>responsable:</w:t>
      </w:r>
      <w:r>
        <w:rPr>
          <w:rFonts w:ascii="Roboto" w:eastAsia="Roboto" w:hAnsi="Roboto" w:cs="Roboto"/>
          <w:b/>
          <w:bCs/>
          <w:sz w:val="20"/>
          <w:szCs w:val="20"/>
        </w:rPr>
        <w:t xml:space="preserve"> </w:t>
      </w:r>
      <w:r>
        <w:rPr>
          <w:rFonts w:ascii="Roboto" w:eastAsia="Roboto" w:hAnsi="Roboto" w:cs="Roboto"/>
          <w:b/>
          <w:bCs/>
          <w:sz w:val="20"/>
          <w:szCs w:val="20"/>
        </w:rPr>
        <w:t>Gerardo Velasco Pérez</w:t>
      </w:r>
    </w:p>
    <w:p w14:paraId="0373C90D" w14:textId="77777777" w:rsidR="001C1AC3" w:rsidRDefault="0091099E">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t>Institución: Anáhuac Online</w:t>
      </w:r>
    </w:p>
    <w:p w14:paraId="3E474B7B" w14:textId="68430B2B" w:rsidR="0017034B" w:rsidRDefault="0091099E">
      <w:pPr>
        <w:spacing w:before="240" w:after="240"/>
        <w:jc w:val="both"/>
        <w:rPr>
          <w:rFonts w:ascii="Roboto" w:eastAsia="Roboto" w:hAnsi="Roboto" w:cs="Roboto"/>
          <w:sz w:val="20"/>
          <w:szCs w:val="20"/>
        </w:rPr>
      </w:pPr>
      <w:r>
        <w:rPr>
          <w:rFonts w:ascii="Roboto" w:eastAsia="Roboto" w:hAnsi="Roboto" w:cs="Roboto"/>
          <w:b/>
          <w:bCs/>
          <w:sz w:val="20"/>
          <w:szCs w:val="20"/>
        </w:rPr>
        <w:t xml:space="preserve">Título del trabajo con autores: </w:t>
      </w:r>
      <w:r w:rsidR="001C1AC3" w:rsidRPr="001C1AC3">
        <w:rPr>
          <w:rFonts w:ascii="Roboto" w:eastAsia="Roboto" w:hAnsi="Roboto" w:cs="Roboto"/>
          <w:b/>
          <w:bCs/>
          <w:sz w:val="20"/>
          <w:szCs w:val="20"/>
        </w:rPr>
        <w:t>La coherencia de la experiencia de aprendizaje como base de la calidad percibida en educación de extensión en línea – Gerardo Velasco Pérez</w:t>
      </w:r>
      <w:r w:rsidR="001C1AC3">
        <w:rPr>
          <w:rFonts w:ascii="Roboto" w:eastAsia="Roboto" w:hAnsi="Roboto" w:cs="Roboto"/>
          <w:b/>
          <w:bCs/>
          <w:sz w:val="20"/>
          <w:szCs w:val="20"/>
        </w:rPr>
        <w:t xml:space="preserve">, </w:t>
      </w:r>
      <w:proofErr w:type="spellStart"/>
      <w:r w:rsidR="001C1AC3">
        <w:rPr>
          <w:rFonts w:ascii="Roboto" w:eastAsia="Roboto" w:hAnsi="Roboto" w:cs="Roboto"/>
          <w:b/>
          <w:bCs/>
          <w:sz w:val="20"/>
          <w:szCs w:val="20"/>
        </w:rPr>
        <w:t>Zyanya</w:t>
      </w:r>
      <w:proofErr w:type="spellEnd"/>
      <w:r w:rsidR="001C1AC3">
        <w:rPr>
          <w:rFonts w:ascii="Roboto" w:eastAsia="Roboto" w:hAnsi="Roboto" w:cs="Roboto"/>
          <w:b/>
          <w:bCs/>
          <w:sz w:val="20"/>
          <w:szCs w:val="20"/>
        </w:rPr>
        <w:t xml:space="preserve"> Soto Rocha. </w:t>
      </w:r>
    </w:p>
    <w:sectPr w:rsidR="0017034B">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3BC5B" w14:textId="77777777" w:rsidR="00854433" w:rsidRDefault="00854433">
      <w:r>
        <w:separator/>
      </w:r>
    </w:p>
  </w:endnote>
  <w:endnote w:type="continuationSeparator" w:id="0">
    <w:p w14:paraId="330C70B6" w14:textId="77777777" w:rsidR="00854433" w:rsidRDefault="008544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embedRegular r:id="rId1" w:fontKey="{1736DE3B-192D-4F44-B6ED-4BE70A5D5C7E}"/>
  </w:font>
  <w:font w:name="Georgia">
    <w:panose1 w:val="02040502050405020303"/>
    <w:charset w:val="00"/>
    <w:family w:val="roman"/>
    <w:pitch w:val="variable"/>
    <w:sig w:usb0="00000287" w:usb1="00000000" w:usb2="00000000" w:usb3="00000000" w:csb0="0000009F" w:csb1="00000000"/>
    <w:embedItalic r:id="rId2" w:fontKey="{90B1864F-BCB7-462B-98B0-C1941EF54BA7}"/>
  </w:font>
  <w:font w:name="Roboto">
    <w:charset w:val="00"/>
    <w:family w:val="auto"/>
    <w:pitch w:val="variable"/>
    <w:sig w:usb0="E0000AFF" w:usb1="5000217F" w:usb2="00000021" w:usb3="00000000" w:csb0="0000019F" w:csb1="00000000"/>
    <w:embedRegular r:id="rId3" w:fontKey="{33F59AE2-5C74-4675-B92A-EAF4C375219C}"/>
    <w:embedBold r:id="rId4" w:fontKey="{AE6DA9AA-3003-4AF9-9CE6-59B382DDD42F}"/>
    <w:embedItalic r:id="rId5" w:fontKey="{8DB7AB12-A180-4868-ACEA-56F568D4D08F}"/>
  </w:font>
  <w:font w:name="Calibri Light">
    <w:panose1 w:val="020F0302020204030204"/>
    <w:charset w:val="00"/>
    <w:family w:val="swiss"/>
    <w:pitch w:val="variable"/>
    <w:sig w:usb0="E4002EFF" w:usb1="C200247B" w:usb2="00000009" w:usb3="00000000" w:csb0="000001FF" w:csb1="00000000"/>
    <w:embedRegular r:id="rId6" w:fontKey="{753BC0B7-7FBF-4BE6-B5E2-9B159A7BD9F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DDEA1" w14:textId="77777777" w:rsidR="00854433" w:rsidRDefault="00854433">
      <w:r>
        <w:separator/>
      </w:r>
    </w:p>
  </w:footnote>
  <w:footnote w:type="continuationSeparator" w:id="0">
    <w:p w14:paraId="6075B192" w14:textId="77777777" w:rsidR="00854433" w:rsidRDefault="008544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22765" w14:textId="77777777" w:rsidR="0017034B" w:rsidRDefault="0017034B">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17034B" w14:paraId="427740FF" w14:textId="77777777">
      <w:trPr>
        <w:trHeight w:val="345"/>
        <w:jc w:val="center"/>
      </w:trPr>
      <w:tc>
        <w:tcPr>
          <w:tcW w:w="6306" w:type="dxa"/>
          <w:vAlign w:val="center"/>
        </w:tcPr>
        <w:p w14:paraId="223E134D" w14:textId="77777777" w:rsidR="0017034B" w:rsidRDefault="0017034B">
          <w:pPr>
            <w:jc w:val="center"/>
            <w:rPr>
              <w:i/>
              <w:iCs/>
              <w:sz w:val="18"/>
              <w:szCs w:val="18"/>
            </w:rPr>
          </w:pPr>
        </w:p>
      </w:tc>
    </w:tr>
  </w:tbl>
  <w:p w14:paraId="7405502C" w14:textId="77777777" w:rsidR="0017034B" w:rsidRDefault="0017034B">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2F0F38"/>
    <w:multiLevelType w:val="multilevel"/>
    <w:tmpl w:val="FDB0CC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A3E5EBB"/>
    <w:multiLevelType w:val="multilevel"/>
    <w:tmpl w:val="EB6635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3203892">
    <w:abstractNumId w:val="0"/>
  </w:num>
  <w:num w:numId="2" w16cid:durableId="1839228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34B"/>
    <w:rsid w:val="00021983"/>
    <w:rsid w:val="0013032A"/>
    <w:rsid w:val="001505DB"/>
    <w:rsid w:val="00167376"/>
    <w:rsid w:val="0017034B"/>
    <w:rsid w:val="001C1AC3"/>
    <w:rsid w:val="00280678"/>
    <w:rsid w:val="00297D7C"/>
    <w:rsid w:val="003E044E"/>
    <w:rsid w:val="003F372D"/>
    <w:rsid w:val="004F4ECF"/>
    <w:rsid w:val="00531BD4"/>
    <w:rsid w:val="00540C39"/>
    <w:rsid w:val="005A2FDC"/>
    <w:rsid w:val="00604268"/>
    <w:rsid w:val="0068308C"/>
    <w:rsid w:val="006F045B"/>
    <w:rsid w:val="008450AD"/>
    <w:rsid w:val="00854433"/>
    <w:rsid w:val="008A3E9B"/>
    <w:rsid w:val="0091099E"/>
    <w:rsid w:val="00995D5C"/>
    <w:rsid w:val="00B833E3"/>
    <w:rsid w:val="00C97FF3"/>
    <w:rsid w:val="00CA07A0"/>
    <w:rsid w:val="00D450BF"/>
    <w:rsid w:val="00DC0BBC"/>
    <w:rsid w:val="00E96E0B"/>
    <w:rsid w:val="00ED58B0"/>
    <w:rsid w:val="00F82446"/>
    <w:rsid w:val="00FB1AE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558E9A"/>
  <w15:docId w15:val="{3829D71D-AAFC-4418-9B5C-1F4EB1C29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Pages>
  <Words>1643</Words>
  <Characters>9038</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gerar</cp:lastModifiedBy>
  <cp:revision>4</cp:revision>
  <dcterms:created xsi:type="dcterms:W3CDTF">2026-03-30T01:19:00Z</dcterms:created>
  <dcterms:modified xsi:type="dcterms:W3CDTF">2026-03-30T17:10:00Z</dcterms:modified>
</cp:coreProperties>
</file>