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015EEF" w14:textId="77777777" w:rsidR="007C668C" w:rsidRDefault="007C668C">
      <w:pPr>
        <w:pBdr>
          <w:top w:val="nil"/>
          <w:left w:val="nil"/>
          <w:bottom w:val="nil"/>
          <w:right w:val="nil"/>
          <w:between w:val="nil"/>
        </w:pBdr>
        <w:spacing w:before="120" w:after="120"/>
        <w:jc w:val="center"/>
        <w:rPr>
          <w:rFonts w:ascii="Roboto" w:eastAsia="Roboto" w:hAnsi="Roboto" w:cs="Roboto"/>
          <w:b/>
          <w:bCs/>
          <w:color w:val="000000"/>
        </w:rPr>
      </w:pPr>
      <w:r w:rsidRPr="007C668C">
        <w:rPr>
          <w:rFonts w:ascii="Roboto" w:eastAsia="Roboto" w:hAnsi="Roboto" w:cs="Roboto"/>
          <w:b/>
          <w:bCs/>
          <w:color w:val="000000"/>
        </w:rPr>
        <w:t>Estructura y finalidad del juego: fundamento estético de su potencial formativo integral</w:t>
      </w:r>
    </w:p>
    <w:p w14:paraId="5E3F542B" w14:textId="09529A85" w:rsidR="00D9277B" w:rsidRDefault="007C668C">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García Díaz D.</w:t>
      </w:r>
      <w:r>
        <w:rPr>
          <w:rFonts w:ascii="Roboto" w:eastAsia="Roboto" w:hAnsi="Roboto" w:cs="Roboto"/>
          <w:b/>
          <w:bCs/>
          <w:color w:val="000000"/>
          <w:sz w:val="20"/>
          <w:szCs w:val="20"/>
          <w:vertAlign w:val="superscript"/>
        </w:rPr>
        <w:t>1*</w:t>
      </w:r>
    </w:p>
    <w:p w14:paraId="3E8CD6E1" w14:textId="248F0B3F" w:rsidR="00D9277B"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7C668C">
        <w:rPr>
          <w:rFonts w:ascii="Roboto" w:eastAsia="Roboto" w:hAnsi="Roboto" w:cs="Roboto"/>
          <w:color w:val="000000"/>
          <w:sz w:val="18"/>
          <w:szCs w:val="18"/>
        </w:rPr>
        <w:t>Universidad Francisco de Vitoria</w:t>
      </w:r>
      <w:r>
        <w:rPr>
          <w:rFonts w:ascii="Roboto" w:eastAsia="Roboto" w:hAnsi="Roboto" w:cs="Roboto"/>
          <w:color w:val="000000"/>
          <w:sz w:val="18"/>
          <w:szCs w:val="18"/>
        </w:rPr>
        <w:t>, ORCID</w:t>
      </w:r>
      <w:r w:rsidR="007C668C">
        <w:rPr>
          <w:rFonts w:ascii="Roboto" w:eastAsia="Roboto" w:hAnsi="Roboto" w:cs="Roboto"/>
          <w:color w:val="000000"/>
          <w:sz w:val="18"/>
          <w:szCs w:val="18"/>
        </w:rPr>
        <w:t xml:space="preserve"> </w:t>
      </w:r>
      <w:r w:rsidR="007C668C" w:rsidRPr="007C668C">
        <w:rPr>
          <w:rFonts w:ascii="Roboto" w:eastAsia="Roboto" w:hAnsi="Roboto" w:cs="Roboto"/>
          <w:color w:val="000000"/>
          <w:sz w:val="18"/>
          <w:szCs w:val="18"/>
        </w:rPr>
        <w:t>0000-0002-4702-5833</w:t>
      </w:r>
    </w:p>
    <w:p w14:paraId="23D281B3" w14:textId="02DF778E" w:rsidR="00D9277B"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7C668C">
        <w:rPr>
          <w:rFonts w:ascii="Roboto" w:eastAsia="Roboto" w:hAnsi="Roboto" w:cs="Roboto"/>
          <w:sz w:val="18"/>
          <w:szCs w:val="18"/>
        </w:rPr>
        <w:t>d.garciadiaz@ufv.es</w:t>
      </w:r>
      <w:r>
        <w:rPr>
          <w:rFonts w:ascii="Roboto" w:eastAsia="Roboto" w:hAnsi="Roboto" w:cs="Roboto"/>
          <w:sz w:val="18"/>
          <w:szCs w:val="18"/>
        </w:rPr>
        <w:t>)</w:t>
      </w:r>
    </w:p>
    <w:p w14:paraId="5DC67CFA" w14:textId="77777777" w:rsidR="00D9277B" w:rsidRDefault="00000000">
      <w:pPr>
        <w:spacing w:before="60"/>
        <w:jc w:val="center"/>
        <w:rPr>
          <w:rFonts w:ascii="Roboto" w:eastAsia="Roboto" w:hAnsi="Roboto" w:cs="Roboto"/>
          <w:sz w:val="18"/>
          <w:szCs w:val="18"/>
        </w:rPr>
        <w:sectPr w:rsidR="00D9277B">
          <w:headerReference w:type="default" r:id="rId8"/>
          <w:pgSz w:w="11906" w:h="16838"/>
          <w:pgMar w:top="851" w:right="851" w:bottom="828" w:left="851" w:header="357" w:footer="720" w:gutter="0"/>
          <w:pgNumType w:start="1"/>
          <w:cols w:space="720"/>
        </w:sectPr>
      </w:pPr>
      <w:r>
        <w:pict w14:anchorId="4A7E45EA">
          <v:rect id="_x0000_i1025" style="width:0;height:1.5pt" o:hralign="center" o:hrstd="t" o:hr="t" fillcolor="#a0a0a0" stroked="f"/>
        </w:pict>
      </w:r>
    </w:p>
    <w:p w14:paraId="22B57191" w14:textId="2E64A6F6" w:rsidR="00D9277B" w:rsidRDefault="009E6A7B">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 Y OBJETIVO DEL TRABAJO</w:t>
      </w:r>
    </w:p>
    <w:p w14:paraId="263B73BF" w14:textId="77777777" w:rsidR="00A95618" w:rsidRPr="00A95618" w:rsidRDefault="00A95618" w:rsidP="00A95618">
      <w:pPr>
        <w:pBdr>
          <w:top w:val="nil"/>
          <w:left w:val="nil"/>
          <w:bottom w:val="nil"/>
          <w:right w:val="nil"/>
          <w:between w:val="nil"/>
        </w:pBdr>
        <w:spacing w:before="60"/>
        <w:jc w:val="both"/>
        <w:rPr>
          <w:rFonts w:ascii="Roboto" w:eastAsia="Roboto" w:hAnsi="Roboto" w:cs="Roboto"/>
          <w:color w:val="000000"/>
          <w:sz w:val="20"/>
          <w:szCs w:val="20"/>
        </w:rPr>
      </w:pPr>
      <w:r w:rsidRPr="00A95618">
        <w:rPr>
          <w:rFonts w:ascii="Roboto" w:eastAsia="Roboto" w:hAnsi="Roboto" w:cs="Roboto"/>
          <w:color w:val="000000"/>
          <w:sz w:val="20"/>
          <w:szCs w:val="20"/>
        </w:rPr>
        <w:t>En las últimas décadas, el juego ha adquirido una creciente relevancia en los ámbitos educativo y terapéutico, consolidándose como recurso para el desarrollo cognitivo, social y emocional. Su presencia es notable en la educación infantil y primaria, así como en diversas intervenciones psicoterapéuticas. En este contexto destacan el auge de editoriales especializadas en juego de mesa educativo y el interés creciente por diseñar experiencias lúdicas con fines formativos mediante los denominados serious games.</w:t>
      </w:r>
    </w:p>
    <w:p w14:paraId="51D42C25" w14:textId="77777777" w:rsidR="00A95618" w:rsidRPr="00A95618" w:rsidRDefault="00A95618" w:rsidP="00A95618">
      <w:pPr>
        <w:pBdr>
          <w:top w:val="nil"/>
          <w:left w:val="nil"/>
          <w:bottom w:val="nil"/>
          <w:right w:val="nil"/>
          <w:between w:val="nil"/>
        </w:pBdr>
        <w:spacing w:before="60"/>
        <w:jc w:val="both"/>
        <w:rPr>
          <w:rFonts w:ascii="Roboto" w:eastAsia="Roboto" w:hAnsi="Roboto" w:cs="Roboto"/>
          <w:color w:val="000000"/>
          <w:sz w:val="20"/>
          <w:szCs w:val="20"/>
        </w:rPr>
      </w:pPr>
      <w:r w:rsidRPr="00A95618">
        <w:rPr>
          <w:rFonts w:ascii="Roboto" w:eastAsia="Roboto" w:hAnsi="Roboto" w:cs="Roboto"/>
          <w:color w:val="000000"/>
          <w:sz w:val="20"/>
          <w:szCs w:val="20"/>
        </w:rPr>
        <w:t>Sin embargo, al orientar el juego hacia fines externos se corre el riesgo de que pierda su esencia lúdica y quede reducido a mecánicas al servicio de resultados predefinidos. Esto empobrece la vivencia del jugador y oscurece aquello que hace valioso al juego: su capacidad para generar ámbitos de sentido en los que la persona se implica de forma libre y creadora. Respetar el juego como fin en sí mismo es condición para mantener su dimensión estética.</w:t>
      </w:r>
    </w:p>
    <w:p w14:paraId="7569D663" w14:textId="3BB14D21" w:rsidR="00A95618" w:rsidRDefault="00A95618" w:rsidP="00A95618">
      <w:pPr>
        <w:pBdr>
          <w:top w:val="nil"/>
          <w:left w:val="nil"/>
          <w:bottom w:val="nil"/>
          <w:right w:val="nil"/>
          <w:between w:val="nil"/>
        </w:pBdr>
        <w:spacing w:before="60"/>
        <w:jc w:val="both"/>
        <w:rPr>
          <w:rFonts w:ascii="Roboto" w:eastAsia="Roboto" w:hAnsi="Roboto" w:cs="Roboto"/>
          <w:color w:val="000000"/>
          <w:sz w:val="20"/>
          <w:szCs w:val="20"/>
        </w:rPr>
      </w:pPr>
      <w:r w:rsidRPr="00A95618">
        <w:rPr>
          <w:rFonts w:ascii="Roboto" w:eastAsia="Roboto" w:hAnsi="Roboto" w:cs="Roboto"/>
          <w:color w:val="000000"/>
          <w:sz w:val="20"/>
          <w:szCs w:val="20"/>
        </w:rPr>
        <w:t xml:space="preserve">Este trabajo propone comprender el juego desde su estructura interna más que desde sus </w:t>
      </w:r>
      <w:r w:rsidR="00133504">
        <w:rPr>
          <w:rFonts w:ascii="Roboto" w:eastAsia="Roboto" w:hAnsi="Roboto" w:cs="Roboto"/>
          <w:color w:val="000000"/>
          <w:sz w:val="20"/>
          <w:szCs w:val="20"/>
        </w:rPr>
        <w:t>aplicaciones</w:t>
      </w:r>
      <w:r w:rsidRPr="00A95618">
        <w:rPr>
          <w:rFonts w:ascii="Roboto" w:eastAsia="Roboto" w:hAnsi="Roboto" w:cs="Roboto"/>
          <w:color w:val="000000"/>
          <w:sz w:val="20"/>
          <w:szCs w:val="20"/>
        </w:rPr>
        <w:t>. Inspirado en la Estética de la creatividad de Alfonso López Quintás, considera el juego como un ámbito de creación relacional. Desde esta perspectiva, el juego —actividad libre, reglada y generadora de sentido— posee un potencial formativo propio, que no depende de su aplicación con fines externos, sino de su naturaleza misma. Entendido como experiencia estética, el juego suscita una formación integradora que afecta a la libertad, la relación y la apertura a los valores.</w:t>
      </w:r>
    </w:p>
    <w:p w14:paraId="456FF2F9" w14:textId="6474F1B7" w:rsidR="00472360" w:rsidRDefault="009E6A7B" w:rsidP="00A95618">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EL JUEGO COMO CATEGORÍA ESTÉTICA</w:t>
      </w:r>
    </w:p>
    <w:p w14:paraId="6AB28A7E" w14:textId="77777777" w:rsidR="002748E2" w:rsidRPr="002748E2" w:rsidRDefault="002748E2" w:rsidP="002748E2">
      <w:pPr>
        <w:pBdr>
          <w:top w:val="nil"/>
          <w:left w:val="nil"/>
          <w:bottom w:val="nil"/>
          <w:right w:val="nil"/>
          <w:between w:val="nil"/>
        </w:pBdr>
        <w:spacing w:before="60"/>
        <w:jc w:val="both"/>
        <w:rPr>
          <w:rFonts w:ascii="Roboto" w:eastAsia="Roboto" w:hAnsi="Roboto" w:cs="Roboto"/>
          <w:color w:val="000000"/>
          <w:sz w:val="20"/>
          <w:szCs w:val="20"/>
        </w:rPr>
      </w:pPr>
      <w:r w:rsidRPr="002748E2">
        <w:rPr>
          <w:rFonts w:ascii="Roboto" w:eastAsia="Roboto" w:hAnsi="Roboto" w:cs="Roboto"/>
          <w:color w:val="000000"/>
          <w:sz w:val="20"/>
          <w:szCs w:val="20"/>
        </w:rPr>
        <w:t>La filosofía moderna y contemporánea ha reconocido el juego como categoría clave para pensar la relación humana consigo misma, con los otros y con el mundo. La reflexión estética encuentra en él un ámbito donde libertad, forma y creación se articulan originariamente.</w:t>
      </w:r>
    </w:p>
    <w:p w14:paraId="5E77F19E" w14:textId="673FE5A5" w:rsidR="002748E2" w:rsidRPr="002748E2" w:rsidRDefault="002748E2" w:rsidP="002748E2">
      <w:pPr>
        <w:pBdr>
          <w:top w:val="nil"/>
          <w:left w:val="nil"/>
          <w:bottom w:val="nil"/>
          <w:right w:val="nil"/>
          <w:between w:val="nil"/>
        </w:pBdr>
        <w:spacing w:before="60"/>
        <w:jc w:val="both"/>
        <w:rPr>
          <w:rFonts w:ascii="Roboto" w:eastAsia="Roboto" w:hAnsi="Roboto" w:cs="Roboto"/>
          <w:color w:val="000000"/>
          <w:sz w:val="20"/>
          <w:szCs w:val="20"/>
        </w:rPr>
      </w:pPr>
      <w:r w:rsidRPr="002748E2">
        <w:rPr>
          <w:rFonts w:ascii="Roboto" w:eastAsia="Roboto" w:hAnsi="Roboto" w:cs="Roboto"/>
          <w:color w:val="000000"/>
          <w:sz w:val="20"/>
          <w:szCs w:val="20"/>
        </w:rPr>
        <w:t xml:space="preserve">Kant inaugura esta reflexión al entender el “libre juego” entre imaginación y entendimiento como fuente del placer estético, una actividad no utilitaria ni subordinada a </w:t>
      </w:r>
      <w:r>
        <w:rPr>
          <w:rFonts w:ascii="Roboto" w:eastAsia="Roboto" w:hAnsi="Roboto" w:cs="Roboto"/>
          <w:color w:val="000000"/>
          <w:sz w:val="20"/>
          <w:szCs w:val="20"/>
        </w:rPr>
        <w:t>otros fines</w:t>
      </w:r>
      <w:r w:rsidRPr="002748E2">
        <w:rPr>
          <w:rFonts w:ascii="Roboto" w:eastAsia="Roboto" w:hAnsi="Roboto" w:cs="Roboto"/>
          <w:color w:val="000000"/>
          <w:sz w:val="20"/>
          <w:szCs w:val="20"/>
        </w:rPr>
        <w:t>. Schiller profundiza esta intuición al afirmar que el ser humano alcanza su plenitud precisamente al jugar, integrando sensibilidad y razón.</w:t>
      </w:r>
    </w:p>
    <w:p w14:paraId="27248797" w14:textId="77777777" w:rsidR="00133504" w:rsidRDefault="002748E2" w:rsidP="002748E2">
      <w:pPr>
        <w:pBdr>
          <w:top w:val="nil"/>
          <w:left w:val="nil"/>
          <w:bottom w:val="nil"/>
          <w:right w:val="nil"/>
          <w:between w:val="nil"/>
        </w:pBdr>
        <w:spacing w:before="60"/>
        <w:jc w:val="both"/>
        <w:rPr>
          <w:rFonts w:ascii="Roboto" w:eastAsia="Roboto" w:hAnsi="Roboto" w:cs="Roboto"/>
          <w:color w:val="000000"/>
          <w:sz w:val="20"/>
          <w:szCs w:val="20"/>
        </w:rPr>
      </w:pPr>
      <w:r w:rsidRPr="002748E2">
        <w:rPr>
          <w:rFonts w:ascii="Roboto" w:eastAsia="Roboto" w:hAnsi="Roboto" w:cs="Roboto"/>
          <w:color w:val="000000"/>
          <w:sz w:val="20"/>
          <w:szCs w:val="20"/>
        </w:rPr>
        <w:t>Gadamer sitúa el juego en el centro de la experiencia hermenéutica: no es dominio del sujeto, sino una dinámica que lo envuelve y genera sentido. Huizinga muestra que la cultura misma —derecho, arte, religión o guerra— nace de estructuras lúdicas, revelando su carácter originario. Guardini destaca dimensiones lúdicas en experiencias como la liturgia, donde la acción encuentra su sentido en sí misma.</w:t>
      </w:r>
    </w:p>
    <w:p w14:paraId="1E3B0679" w14:textId="49F3C049" w:rsidR="002748E2" w:rsidRDefault="002748E2" w:rsidP="002748E2">
      <w:pPr>
        <w:pBdr>
          <w:top w:val="nil"/>
          <w:left w:val="nil"/>
          <w:bottom w:val="nil"/>
          <w:right w:val="nil"/>
          <w:between w:val="nil"/>
        </w:pBdr>
        <w:spacing w:before="60"/>
        <w:jc w:val="both"/>
        <w:rPr>
          <w:rFonts w:ascii="Roboto" w:eastAsia="Roboto" w:hAnsi="Roboto" w:cs="Roboto"/>
          <w:color w:val="000000"/>
          <w:sz w:val="20"/>
          <w:szCs w:val="20"/>
        </w:rPr>
      </w:pPr>
      <w:r w:rsidRPr="002748E2">
        <w:rPr>
          <w:rFonts w:ascii="Roboto" w:eastAsia="Roboto" w:hAnsi="Roboto" w:cs="Roboto"/>
          <w:color w:val="000000"/>
          <w:sz w:val="20"/>
          <w:szCs w:val="20"/>
        </w:rPr>
        <w:t>Sobre este trasfondo, la estética de López Quintás presenta el juego como experiencia corpóreo-espiritual, libre y reglada, creadora de ámbitos de encuentro y sentido. Su valor procede del gozo de participar en un mundo compartido. Entenderlo como categoría estética permite superar su reducción a entretenimiento o instrumento: el juego es un modo de habitar la realidad en el que libertad, norma y significado se integran plenamente.</w:t>
      </w:r>
    </w:p>
    <w:p w14:paraId="32510BA9" w14:textId="48A5DDCE" w:rsidR="00472360" w:rsidRDefault="00455372" w:rsidP="002748E2">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ESTRUCTURA DEL JUEGO Y EXPERIENCIA ESTÉTICA</w:t>
      </w:r>
    </w:p>
    <w:p w14:paraId="3FA9A0F5" w14:textId="77777777" w:rsidR="00871BA1" w:rsidRP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Si el juego puede entenderse como una categoría estética fundamental es gracias a su estructura interna, que no lo presenta como una actividad cualquiera, sino como una forma de acción dotada de configuración propia: la experiencia lúdica. Comprender esta estructura resulta decisivo para captar cómo el juego genera sentido y se convierte en un ámbito privilegiado de formación humana.</w:t>
      </w:r>
    </w:p>
    <w:p w14:paraId="6990BABB" w14:textId="77777777" w:rsidR="00871BA1" w:rsidRP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Siguiendo a Alfonso López Quintás, el juego puede describirse como la creación de un ámbito de realidad: un espacio de posibilidades que no se reduce a la manipulación de objetos, sino que constituye un campo de interacción en el que el jugador participa activamente. Tablero, reglas y turnos no son simples instrumentos, sino mediaciones que permiten el surgimiento de un sentido compartido.</w:t>
      </w:r>
    </w:p>
    <w:p w14:paraId="70588F11" w14:textId="77777777" w:rsidR="00871BA1" w:rsidRP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Este ámbito se caracteriza, en primer lugar, por estar delimitado por normas libremente aceptadas. Lejos de restringir, las reglas hacen posible el juego y fecundan la libertad: quien juega decide habitar un orden que reconoce como propio. En segundo lugar, la acción lúdica es libre y desinteresada: no se orienta a un fin externo, sino que encuentra su sentido en el propio acto de jugar. Su carácter autotélico permite una implicación plena sin instrumentalización.</w:t>
      </w:r>
    </w:p>
    <w:p w14:paraId="1075780A" w14:textId="2B57D61E" w:rsidR="00871BA1" w:rsidRP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 xml:space="preserve">Otro rasgo esencial es su temporalidad rítmica y repetible: cada partida reproduce una estructura y, a la vez, la renueva creativamente, posibilitando un aprendizaje que emerge desde dentro de la experiencia. Además, el juego posee una dimensión mimética y simbólica que crea un mundo </w:t>
      </w:r>
      <w:r>
        <w:rPr>
          <w:rFonts w:ascii="Roboto" w:eastAsia="Roboto" w:hAnsi="Roboto" w:cs="Roboto"/>
          <w:color w:val="000000"/>
          <w:sz w:val="20"/>
          <w:szCs w:val="20"/>
        </w:rPr>
        <w:t xml:space="preserve">extraordinario </w:t>
      </w:r>
      <w:r w:rsidRPr="00871BA1">
        <w:rPr>
          <w:rFonts w:ascii="Roboto" w:eastAsia="Roboto" w:hAnsi="Roboto" w:cs="Roboto"/>
          <w:color w:val="000000"/>
          <w:sz w:val="20"/>
          <w:szCs w:val="20"/>
        </w:rPr>
        <w:t>dentro del mundo</w:t>
      </w:r>
      <w:r>
        <w:rPr>
          <w:rFonts w:ascii="Roboto" w:eastAsia="Roboto" w:hAnsi="Roboto" w:cs="Roboto"/>
          <w:color w:val="000000"/>
          <w:sz w:val="20"/>
          <w:szCs w:val="20"/>
        </w:rPr>
        <w:t xml:space="preserve"> ordinario</w:t>
      </w:r>
      <w:r w:rsidRPr="00871BA1">
        <w:rPr>
          <w:rFonts w:ascii="Roboto" w:eastAsia="Roboto" w:hAnsi="Roboto" w:cs="Roboto"/>
          <w:color w:val="000000"/>
          <w:sz w:val="20"/>
          <w:szCs w:val="20"/>
        </w:rPr>
        <w:t>, un espacio donde la realidad puede ser explorada desde una distancia segura y significativa.</w:t>
      </w:r>
    </w:p>
    <w:p w14:paraId="058ACAAA" w14:textId="4CF004D1" w:rsidR="00871BA1" w:rsidRP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 xml:space="preserve">El juego es también radicalmente relacional. Incluso en solitario, el jugador se enfrenta a una lógica que lo interpela; en los juegos compartidos, la presencia del otro se convierte en condición de posibilidad del </w:t>
      </w:r>
      <w:r>
        <w:rPr>
          <w:rFonts w:ascii="Roboto" w:eastAsia="Roboto" w:hAnsi="Roboto" w:cs="Roboto"/>
          <w:color w:val="000000"/>
          <w:sz w:val="20"/>
          <w:szCs w:val="20"/>
        </w:rPr>
        <w:t>juego</w:t>
      </w:r>
      <w:r w:rsidRPr="00871BA1">
        <w:rPr>
          <w:rFonts w:ascii="Roboto" w:eastAsia="Roboto" w:hAnsi="Roboto" w:cs="Roboto"/>
          <w:color w:val="000000"/>
          <w:sz w:val="20"/>
          <w:szCs w:val="20"/>
        </w:rPr>
        <w:t>, configurando un espacio de encuentro</w:t>
      </w:r>
      <w:r>
        <w:rPr>
          <w:rFonts w:ascii="Roboto" w:eastAsia="Roboto" w:hAnsi="Roboto" w:cs="Roboto"/>
          <w:color w:val="000000"/>
          <w:sz w:val="20"/>
          <w:szCs w:val="20"/>
        </w:rPr>
        <w:t xml:space="preserve"> en el que se da un mutuo enriquecimiento en la dinámica apelación-respuesta</w:t>
      </w:r>
      <w:r w:rsidRPr="00871BA1">
        <w:rPr>
          <w:rFonts w:ascii="Roboto" w:eastAsia="Roboto" w:hAnsi="Roboto" w:cs="Roboto"/>
          <w:color w:val="000000"/>
          <w:sz w:val="20"/>
          <w:szCs w:val="20"/>
        </w:rPr>
        <w:t>.</w:t>
      </w:r>
    </w:p>
    <w:p w14:paraId="04DB31EF" w14:textId="6562266F" w:rsidR="00871BA1" w:rsidRDefault="00871BA1" w:rsidP="00871BA1">
      <w:pPr>
        <w:spacing w:before="60"/>
        <w:jc w:val="both"/>
        <w:rPr>
          <w:rFonts w:ascii="Roboto" w:eastAsia="Roboto" w:hAnsi="Roboto" w:cs="Roboto"/>
          <w:color w:val="000000"/>
          <w:sz w:val="20"/>
          <w:szCs w:val="20"/>
        </w:rPr>
      </w:pPr>
      <w:r w:rsidRPr="00871BA1">
        <w:rPr>
          <w:rFonts w:ascii="Roboto" w:eastAsia="Roboto" w:hAnsi="Roboto" w:cs="Roboto"/>
          <w:color w:val="000000"/>
          <w:sz w:val="20"/>
          <w:szCs w:val="20"/>
        </w:rPr>
        <w:t xml:space="preserve">Estos rasgos —norma, libertad, desinterés, repetición, mímesis y relación— conforman una unidad dinámica. El </w:t>
      </w:r>
      <w:r w:rsidRPr="00871BA1">
        <w:rPr>
          <w:rFonts w:ascii="Roboto" w:eastAsia="Roboto" w:hAnsi="Roboto" w:cs="Roboto"/>
          <w:color w:val="000000"/>
          <w:sz w:val="20"/>
          <w:szCs w:val="20"/>
        </w:rPr>
        <w:lastRenderedPageBreak/>
        <w:t xml:space="preserve">juego es creación de sentido: un ámbito en el que la realidad se ofrece como campo de posibilidades actualizado por la interacción de sujetos libres. La experiencia estética del juego implica una </w:t>
      </w:r>
      <w:r w:rsidRPr="00871BA1">
        <w:rPr>
          <w:rFonts w:ascii="Roboto" w:eastAsia="Roboto" w:hAnsi="Roboto" w:cs="Roboto"/>
          <w:color w:val="000000"/>
          <w:sz w:val="20"/>
          <w:szCs w:val="20"/>
        </w:rPr>
        <w:t>participación</w:t>
      </w:r>
      <w:r w:rsidRPr="00871BA1">
        <w:rPr>
          <w:rFonts w:ascii="Roboto" w:eastAsia="Roboto" w:hAnsi="Roboto" w:cs="Roboto"/>
          <w:color w:val="000000"/>
          <w:sz w:val="20"/>
          <w:szCs w:val="20"/>
        </w:rPr>
        <w:t xml:space="preserve"> </w:t>
      </w:r>
      <w:r>
        <w:rPr>
          <w:rFonts w:ascii="Roboto" w:eastAsia="Roboto" w:hAnsi="Roboto" w:cs="Roboto"/>
          <w:color w:val="000000"/>
          <w:sz w:val="20"/>
          <w:szCs w:val="20"/>
        </w:rPr>
        <w:t xml:space="preserve">activo-receptiva </w:t>
      </w:r>
      <w:r w:rsidRPr="00871BA1">
        <w:rPr>
          <w:rFonts w:ascii="Roboto" w:eastAsia="Roboto" w:hAnsi="Roboto" w:cs="Roboto"/>
          <w:color w:val="000000"/>
          <w:sz w:val="20"/>
          <w:szCs w:val="20"/>
        </w:rPr>
        <w:t>en la configuración de un orden significativo, en el que el jugador no es un mero espectador, sino un auténtico co‑creador.</w:t>
      </w:r>
    </w:p>
    <w:p w14:paraId="2AD07297" w14:textId="27FF3684" w:rsidR="00D9277B" w:rsidRDefault="00455372" w:rsidP="00871BA1">
      <w:pPr>
        <w:spacing w:before="60"/>
        <w:jc w:val="both"/>
        <w:rPr>
          <w:rFonts w:ascii="Roboto" w:eastAsia="Roboto" w:hAnsi="Roboto" w:cs="Roboto"/>
          <w:b/>
          <w:bCs/>
          <w:sz w:val="20"/>
          <w:szCs w:val="20"/>
        </w:rPr>
      </w:pPr>
      <w:r>
        <w:rPr>
          <w:rFonts w:ascii="Roboto" w:eastAsia="Roboto" w:hAnsi="Roboto" w:cs="Roboto"/>
          <w:b/>
          <w:bCs/>
          <w:sz w:val="20"/>
          <w:szCs w:val="20"/>
        </w:rPr>
        <w:t>POTENCIAL FORMATIVO INTEGRAL</w:t>
      </w:r>
    </w:p>
    <w:p w14:paraId="66C0C349" w14:textId="5DA9D88E" w:rsidR="00C21B92" w:rsidRPr="00C21B92" w:rsidRDefault="00C21B92" w:rsidP="00C21B92">
      <w:pPr>
        <w:spacing w:before="60"/>
        <w:jc w:val="both"/>
        <w:rPr>
          <w:rFonts w:ascii="Roboto" w:eastAsia="Roboto" w:hAnsi="Roboto" w:cs="Roboto"/>
          <w:color w:val="000000"/>
          <w:sz w:val="20"/>
          <w:szCs w:val="20"/>
        </w:rPr>
      </w:pPr>
      <w:r w:rsidRPr="00C21B92">
        <w:rPr>
          <w:rFonts w:ascii="Roboto" w:eastAsia="Roboto" w:hAnsi="Roboto" w:cs="Roboto"/>
          <w:color w:val="000000"/>
          <w:sz w:val="20"/>
          <w:szCs w:val="20"/>
        </w:rPr>
        <w:t xml:space="preserve">A partir de la estructura del juego y de su carácter estético, es posible comprender con mayor precisión su potencial formativo. </w:t>
      </w:r>
      <w:r>
        <w:rPr>
          <w:rFonts w:ascii="Roboto" w:eastAsia="Roboto" w:hAnsi="Roboto" w:cs="Roboto"/>
          <w:color w:val="000000"/>
          <w:sz w:val="20"/>
          <w:szCs w:val="20"/>
        </w:rPr>
        <w:t>Más allá de su uso con fines extrínsecos al acto de jugar vemos como encierra potencial formativo e</w:t>
      </w:r>
      <w:r w:rsidRPr="00C21B92">
        <w:rPr>
          <w:rFonts w:ascii="Roboto" w:eastAsia="Roboto" w:hAnsi="Roboto" w:cs="Roboto"/>
          <w:color w:val="000000"/>
          <w:sz w:val="20"/>
          <w:szCs w:val="20"/>
        </w:rPr>
        <w:t xml:space="preserve">n la medida en que se respeta su lógica propia: una actividad con finalidad interna, libre y generadora de sentido. En un contexto dominado por el utilitarismo, jugar se convierte en un acto de </w:t>
      </w:r>
      <w:r>
        <w:rPr>
          <w:rFonts w:ascii="Roboto" w:eastAsia="Roboto" w:hAnsi="Roboto" w:cs="Roboto"/>
          <w:color w:val="000000"/>
          <w:sz w:val="20"/>
          <w:szCs w:val="20"/>
        </w:rPr>
        <w:t>rebeldía</w:t>
      </w:r>
      <w:r w:rsidRPr="00C21B92">
        <w:rPr>
          <w:rFonts w:ascii="Roboto" w:eastAsia="Roboto" w:hAnsi="Roboto" w:cs="Roboto"/>
          <w:color w:val="000000"/>
          <w:sz w:val="20"/>
          <w:szCs w:val="20"/>
        </w:rPr>
        <w:t xml:space="preserve"> </w:t>
      </w:r>
      <w:r>
        <w:rPr>
          <w:rFonts w:ascii="Roboto" w:eastAsia="Roboto" w:hAnsi="Roboto" w:cs="Roboto"/>
          <w:color w:val="000000"/>
          <w:sz w:val="20"/>
          <w:szCs w:val="20"/>
        </w:rPr>
        <w:t>donde</w:t>
      </w:r>
      <w:r w:rsidRPr="00C21B92">
        <w:rPr>
          <w:rFonts w:ascii="Roboto" w:eastAsia="Roboto" w:hAnsi="Roboto" w:cs="Roboto"/>
          <w:color w:val="000000"/>
          <w:sz w:val="20"/>
          <w:szCs w:val="20"/>
        </w:rPr>
        <w:t xml:space="preserve"> el valor de la acción se mide por la plenitud de sentido que contiene y no por su rendimiento </w:t>
      </w:r>
      <w:r>
        <w:rPr>
          <w:rFonts w:ascii="Roboto" w:eastAsia="Roboto" w:hAnsi="Roboto" w:cs="Roboto"/>
          <w:color w:val="000000"/>
          <w:sz w:val="20"/>
          <w:szCs w:val="20"/>
        </w:rPr>
        <w:t>o utilidad</w:t>
      </w:r>
      <w:r w:rsidRPr="00C21B92">
        <w:rPr>
          <w:rFonts w:ascii="Roboto" w:eastAsia="Roboto" w:hAnsi="Roboto" w:cs="Roboto"/>
          <w:color w:val="000000"/>
          <w:sz w:val="20"/>
          <w:szCs w:val="20"/>
        </w:rPr>
        <w:t>.</w:t>
      </w:r>
    </w:p>
    <w:p w14:paraId="0C10B106" w14:textId="59A3FF6E" w:rsidR="00C21B92" w:rsidRPr="00C21B92" w:rsidRDefault="00C21B92" w:rsidP="00C21B92">
      <w:pPr>
        <w:spacing w:before="60"/>
        <w:jc w:val="both"/>
        <w:rPr>
          <w:rFonts w:ascii="Roboto" w:eastAsia="Roboto" w:hAnsi="Roboto" w:cs="Roboto"/>
          <w:color w:val="000000"/>
          <w:sz w:val="20"/>
          <w:szCs w:val="20"/>
        </w:rPr>
      </w:pPr>
      <w:r w:rsidRPr="00C21B92">
        <w:rPr>
          <w:rFonts w:ascii="Roboto" w:eastAsia="Roboto" w:hAnsi="Roboto" w:cs="Roboto"/>
          <w:color w:val="000000"/>
          <w:sz w:val="20"/>
          <w:szCs w:val="20"/>
        </w:rPr>
        <w:t xml:space="preserve">Esta perspectiva permite superar la reducción de lo formativo a lo meramente cognitivo o competencial. El juego no se limita a desarrollar habilidades </w:t>
      </w:r>
      <w:r>
        <w:rPr>
          <w:rFonts w:ascii="Roboto" w:eastAsia="Roboto" w:hAnsi="Roboto" w:cs="Roboto"/>
          <w:color w:val="000000"/>
          <w:sz w:val="20"/>
          <w:szCs w:val="20"/>
        </w:rPr>
        <w:t xml:space="preserve">de forma </w:t>
      </w:r>
      <w:r w:rsidRPr="00C21B92">
        <w:rPr>
          <w:rFonts w:ascii="Roboto" w:eastAsia="Roboto" w:hAnsi="Roboto" w:cs="Roboto"/>
          <w:color w:val="000000"/>
          <w:sz w:val="20"/>
          <w:szCs w:val="20"/>
        </w:rPr>
        <w:t xml:space="preserve">aislada, sino que forma a la persona como sujeto capaz de sentido. </w:t>
      </w:r>
      <w:r>
        <w:rPr>
          <w:rFonts w:ascii="Roboto" w:eastAsia="Roboto" w:hAnsi="Roboto" w:cs="Roboto"/>
          <w:color w:val="000000"/>
          <w:sz w:val="20"/>
          <w:szCs w:val="20"/>
        </w:rPr>
        <w:t>La</w:t>
      </w:r>
      <w:r w:rsidRPr="00C21B92">
        <w:rPr>
          <w:rFonts w:ascii="Roboto" w:eastAsia="Roboto" w:hAnsi="Roboto" w:cs="Roboto"/>
          <w:color w:val="000000"/>
          <w:sz w:val="20"/>
          <w:szCs w:val="20"/>
        </w:rPr>
        <w:t xml:space="preserve"> formación integra</w:t>
      </w:r>
      <w:r>
        <w:rPr>
          <w:rFonts w:ascii="Roboto" w:eastAsia="Roboto" w:hAnsi="Roboto" w:cs="Roboto"/>
          <w:color w:val="000000"/>
          <w:sz w:val="20"/>
          <w:szCs w:val="20"/>
        </w:rPr>
        <w:t>l concita</w:t>
      </w:r>
      <w:r w:rsidRPr="00C21B92">
        <w:rPr>
          <w:rFonts w:ascii="Roboto" w:eastAsia="Roboto" w:hAnsi="Roboto" w:cs="Roboto"/>
          <w:color w:val="000000"/>
          <w:sz w:val="20"/>
          <w:szCs w:val="20"/>
        </w:rPr>
        <w:t xml:space="preserve"> razón, voluntad y afectividad en una unidad orientada al encuentro con </w:t>
      </w:r>
      <w:r>
        <w:rPr>
          <w:rFonts w:ascii="Roboto" w:eastAsia="Roboto" w:hAnsi="Roboto" w:cs="Roboto"/>
          <w:color w:val="000000"/>
          <w:sz w:val="20"/>
          <w:szCs w:val="20"/>
        </w:rPr>
        <w:t xml:space="preserve">los </w:t>
      </w:r>
      <w:r w:rsidRPr="00C21B92">
        <w:rPr>
          <w:rFonts w:ascii="Roboto" w:eastAsia="Roboto" w:hAnsi="Roboto" w:cs="Roboto"/>
          <w:color w:val="000000"/>
          <w:sz w:val="20"/>
          <w:szCs w:val="20"/>
        </w:rPr>
        <w:t>valores</w:t>
      </w:r>
      <w:r>
        <w:rPr>
          <w:rFonts w:ascii="Roboto" w:eastAsia="Roboto" w:hAnsi="Roboto" w:cs="Roboto"/>
          <w:color w:val="000000"/>
          <w:sz w:val="20"/>
          <w:szCs w:val="20"/>
        </w:rPr>
        <w:t xml:space="preserve"> que confieren sentido a la acción</w:t>
      </w:r>
      <w:r w:rsidRPr="00C21B92">
        <w:rPr>
          <w:rFonts w:ascii="Roboto" w:eastAsia="Roboto" w:hAnsi="Roboto" w:cs="Roboto"/>
          <w:color w:val="000000"/>
          <w:sz w:val="20"/>
          <w:szCs w:val="20"/>
        </w:rPr>
        <w:t>. Jugar auténticamente implica comprender una situación, decidir y actuar en consecuencia, y vincularse afectivamente a lo que se reconoce como valioso. Esta integración no procede de imposiciones externas, sino que brota de la dinámica misma del juego, que exige una participación libre, creativa y comprometida.</w:t>
      </w:r>
    </w:p>
    <w:p w14:paraId="599B46B9" w14:textId="39092B1A" w:rsidR="0094146F" w:rsidRPr="0094146F" w:rsidRDefault="0094146F" w:rsidP="0094146F">
      <w:pPr>
        <w:spacing w:before="60"/>
        <w:jc w:val="both"/>
        <w:rPr>
          <w:rFonts w:ascii="Roboto" w:eastAsia="Roboto" w:hAnsi="Roboto" w:cs="Roboto"/>
          <w:color w:val="000000"/>
          <w:sz w:val="20"/>
          <w:szCs w:val="20"/>
        </w:rPr>
      </w:pPr>
      <w:r w:rsidRPr="0094146F">
        <w:rPr>
          <w:rFonts w:ascii="Roboto" w:eastAsia="Roboto" w:hAnsi="Roboto" w:cs="Roboto"/>
          <w:color w:val="000000"/>
          <w:sz w:val="20"/>
          <w:szCs w:val="20"/>
        </w:rPr>
        <w:t>El juego constituye un ámbito privilegiado para aprender a habitar el mundo. En él, las reglas y dinámicas no solo ordenan la acción, sino que configuran un espacio de libertad estructurada en el que se revelan las condiciones que hacen posible la creación compartida: reconocimiento del otro, respeto del orden asumido, apertura al riesgo, aceptación del límite</w:t>
      </w:r>
      <w:r>
        <w:rPr>
          <w:rFonts w:ascii="Roboto" w:eastAsia="Roboto" w:hAnsi="Roboto" w:cs="Roboto"/>
          <w:color w:val="000000"/>
          <w:sz w:val="20"/>
          <w:szCs w:val="20"/>
        </w:rPr>
        <w:t>..</w:t>
      </w:r>
      <w:r w:rsidRPr="0094146F">
        <w:rPr>
          <w:rFonts w:ascii="Roboto" w:eastAsia="Roboto" w:hAnsi="Roboto" w:cs="Roboto"/>
          <w:color w:val="000000"/>
          <w:sz w:val="20"/>
          <w:szCs w:val="20"/>
        </w:rPr>
        <w:t>. Estas condiciones no aparecen como conceptos abstractos, sino como exigencias internas del propio juego, vividas y comprendidas en la acción misma.</w:t>
      </w:r>
    </w:p>
    <w:p w14:paraId="3FBC31EE" w14:textId="195D9393" w:rsidR="0094146F" w:rsidRDefault="0094146F" w:rsidP="0094146F">
      <w:pPr>
        <w:spacing w:before="60"/>
        <w:jc w:val="both"/>
        <w:rPr>
          <w:rFonts w:ascii="Roboto" w:eastAsia="Roboto" w:hAnsi="Roboto" w:cs="Roboto"/>
          <w:color w:val="000000"/>
          <w:sz w:val="20"/>
          <w:szCs w:val="20"/>
        </w:rPr>
      </w:pPr>
      <w:r w:rsidRPr="0094146F">
        <w:rPr>
          <w:rFonts w:ascii="Roboto" w:eastAsia="Roboto" w:hAnsi="Roboto" w:cs="Roboto"/>
          <w:color w:val="000000"/>
          <w:sz w:val="20"/>
          <w:szCs w:val="20"/>
        </w:rPr>
        <w:t xml:space="preserve">Esta experiencia es decisiva: el juego no transmite valores desde fuera, sino que los hace aparecer como </w:t>
      </w:r>
      <w:r>
        <w:rPr>
          <w:rFonts w:ascii="Roboto" w:eastAsia="Roboto" w:hAnsi="Roboto" w:cs="Roboto"/>
          <w:color w:val="000000"/>
          <w:sz w:val="20"/>
          <w:szCs w:val="20"/>
        </w:rPr>
        <w:t xml:space="preserve">las condiciones </w:t>
      </w:r>
      <w:r w:rsidRPr="0094146F">
        <w:rPr>
          <w:rFonts w:ascii="Roboto" w:eastAsia="Roboto" w:hAnsi="Roboto" w:cs="Roboto"/>
          <w:color w:val="000000"/>
          <w:sz w:val="20"/>
          <w:szCs w:val="20"/>
        </w:rPr>
        <w:t xml:space="preserve">sin </w:t>
      </w:r>
      <w:r>
        <w:rPr>
          <w:rFonts w:ascii="Roboto" w:eastAsia="Roboto" w:hAnsi="Roboto" w:cs="Roboto"/>
          <w:color w:val="000000"/>
          <w:sz w:val="20"/>
          <w:szCs w:val="20"/>
        </w:rPr>
        <w:t>las que</w:t>
      </w:r>
      <w:r w:rsidRPr="0094146F">
        <w:rPr>
          <w:rFonts w:ascii="Roboto" w:eastAsia="Roboto" w:hAnsi="Roboto" w:cs="Roboto"/>
          <w:color w:val="000000"/>
          <w:sz w:val="20"/>
          <w:szCs w:val="20"/>
        </w:rPr>
        <w:t xml:space="preserve"> el libre juego no podría sostenerse. Al participar en el ámbito lúdico, la persona descubre que ciertas actitudes y modos de relación son los que permiten que el juego exista y se despliegue. En </w:t>
      </w:r>
      <w:r>
        <w:rPr>
          <w:rFonts w:ascii="Roboto" w:eastAsia="Roboto" w:hAnsi="Roboto" w:cs="Roboto"/>
          <w:color w:val="000000"/>
          <w:sz w:val="20"/>
          <w:szCs w:val="20"/>
        </w:rPr>
        <w:t>las</w:t>
      </w:r>
      <w:r w:rsidRPr="0094146F">
        <w:rPr>
          <w:rFonts w:ascii="Roboto" w:eastAsia="Roboto" w:hAnsi="Roboto" w:cs="Roboto"/>
          <w:color w:val="000000"/>
          <w:sz w:val="20"/>
          <w:szCs w:val="20"/>
        </w:rPr>
        <w:t xml:space="preserve"> formas más altas de </w:t>
      </w:r>
      <w:r>
        <w:rPr>
          <w:rFonts w:ascii="Roboto" w:eastAsia="Roboto" w:hAnsi="Roboto" w:cs="Roboto"/>
          <w:color w:val="000000"/>
          <w:sz w:val="20"/>
          <w:szCs w:val="20"/>
        </w:rPr>
        <w:t>relación</w:t>
      </w:r>
      <w:r w:rsidRPr="0094146F">
        <w:rPr>
          <w:rFonts w:ascii="Roboto" w:eastAsia="Roboto" w:hAnsi="Roboto" w:cs="Roboto"/>
          <w:color w:val="000000"/>
          <w:sz w:val="20"/>
          <w:szCs w:val="20"/>
        </w:rPr>
        <w:t>, se hace patente la riqueza del encuentro y el sentido de la acción bien realizada por sí misma. De este modo, el juego desencadena un verdadero dinamismo de crecimiento personal: al participar en ámbitos que lo interpelan y elevan, el jugador orienta su libertad hacia modos más plenos de realización.</w:t>
      </w:r>
    </w:p>
    <w:p w14:paraId="3FD25A67" w14:textId="616FD1B9" w:rsidR="00C21B92" w:rsidRDefault="00C21B92" w:rsidP="0094146F">
      <w:pPr>
        <w:spacing w:before="60"/>
        <w:jc w:val="both"/>
        <w:rPr>
          <w:rFonts w:ascii="Roboto" w:eastAsia="Roboto" w:hAnsi="Roboto" w:cs="Roboto"/>
          <w:color w:val="000000"/>
          <w:sz w:val="20"/>
          <w:szCs w:val="20"/>
        </w:rPr>
      </w:pPr>
      <w:r w:rsidRPr="00C21B92">
        <w:rPr>
          <w:rFonts w:ascii="Roboto" w:eastAsia="Roboto" w:hAnsi="Roboto" w:cs="Roboto"/>
          <w:color w:val="000000"/>
          <w:sz w:val="20"/>
          <w:szCs w:val="20"/>
        </w:rPr>
        <w:t>Por ello, el juego</w:t>
      </w:r>
      <w:r w:rsidR="00497E0E">
        <w:rPr>
          <w:rFonts w:ascii="Roboto" w:eastAsia="Roboto" w:hAnsi="Roboto" w:cs="Roboto"/>
          <w:color w:val="000000"/>
          <w:sz w:val="20"/>
          <w:szCs w:val="20"/>
        </w:rPr>
        <w:t xml:space="preserve"> es formativo principalmente porque</w:t>
      </w:r>
      <w:r w:rsidRPr="00C21B92">
        <w:rPr>
          <w:rFonts w:ascii="Roboto" w:eastAsia="Roboto" w:hAnsi="Roboto" w:cs="Roboto"/>
          <w:color w:val="000000"/>
          <w:sz w:val="20"/>
          <w:szCs w:val="20"/>
        </w:rPr>
        <w:t xml:space="preserve"> constituye una relación originaria con la realidad: la creación y participación en ámbitos de sentido compartido. La transformación que produce no es un </w:t>
      </w:r>
      <w:r w:rsidRPr="00C21B92">
        <w:rPr>
          <w:rFonts w:ascii="Roboto" w:eastAsia="Roboto" w:hAnsi="Roboto" w:cs="Roboto"/>
          <w:color w:val="000000"/>
          <w:sz w:val="20"/>
          <w:szCs w:val="20"/>
        </w:rPr>
        <w:t xml:space="preserve">efecto añadido, sino inherente a </w:t>
      </w:r>
      <w:r w:rsidR="00497E0E">
        <w:rPr>
          <w:rFonts w:ascii="Roboto" w:eastAsia="Roboto" w:hAnsi="Roboto" w:cs="Roboto"/>
          <w:color w:val="000000"/>
          <w:sz w:val="20"/>
          <w:szCs w:val="20"/>
        </w:rPr>
        <w:t>la</w:t>
      </w:r>
      <w:r w:rsidRPr="00C21B92">
        <w:rPr>
          <w:rFonts w:ascii="Roboto" w:eastAsia="Roboto" w:hAnsi="Roboto" w:cs="Roboto"/>
          <w:color w:val="000000"/>
          <w:sz w:val="20"/>
          <w:szCs w:val="20"/>
        </w:rPr>
        <w:t xml:space="preserve"> experiencia</w:t>
      </w:r>
      <w:r w:rsidR="00497E0E">
        <w:rPr>
          <w:rFonts w:ascii="Roboto" w:eastAsia="Roboto" w:hAnsi="Roboto" w:cs="Roboto"/>
          <w:color w:val="000000"/>
          <w:sz w:val="20"/>
          <w:szCs w:val="20"/>
        </w:rPr>
        <w:t xml:space="preserve"> lúdica</w:t>
      </w:r>
      <w:r w:rsidRPr="00C21B92">
        <w:rPr>
          <w:rFonts w:ascii="Roboto" w:eastAsia="Roboto" w:hAnsi="Roboto" w:cs="Roboto"/>
          <w:color w:val="000000"/>
          <w:sz w:val="20"/>
          <w:szCs w:val="20"/>
        </w:rPr>
        <w:t xml:space="preserve">. </w:t>
      </w:r>
      <w:r w:rsidR="00497E0E" w:rsidRPr="00497E0E">
        <w:rPr>
          <w:rFonts w:ascii="Roboto" w:eastAsia="Roboto" w:hAnsi="Roboto" w:cs="Roboto"/>
          <w:color w:val="000000"/>
          <w:sz w:val="20"/>
          <w:szCs w:val="20"/>
        </w:rPr>
        <w:t>Respetado como fin en sí mismo, el juego puede desplegar toda su potencia configuradora, integrando las diversas dimensiones de la persona y orientarla hacia una existencia cargada de sentido</w:t>
      </w:r>
      <w:r w:rsidR="00497E0E">
        <w:rPr>
          <w:rFonts w:ascii="Roboto" w:eastAsia="Roboto" w:hAnsi="Roboto" w:cs="Roboto"/>
          <w:color w:val="000000"/>
          <w:sz w:val="20"/>
          <w:szCs w:val="20"/>
        </w:rPr>
        <w:t>.</w:t>
      </w:r>
    </w:p>
    <w:p w14:paraId="3060AF13" w14:textId="0DA9A2AC" w:rsidR="00472360" w:rsidRDefault="00FA0853" w:rsidP="00C21B92">
      <w:pPr>
        <w:spacing w:before="60"/>
        <w:jc w:val="both"/>
        <w:rPr>
          <w:rFonts w:ascii="Roboto" w:eastAsia="Roboto" w:hAnsi="Roboto" w:cs="Roboto"/>
          <w:b/>
          <w:bCs/>
          <w:sz w:val="20"/>
          <w:szCs w:val="20"/>
        </w:rPr>
      </w:pPr>
      <w:r>
        <w:rPr>
          <w:rFonts w:ascii="Roboto" w:eastAsia="Roboto" w:hAnsi="Roboto" w:cs="Roboto"/>
          <w:b/>
          <w:bCs/>
          <w:sz w:val="20"/>
          <w:szCs w:val="20"/>
        </w:rPr>
        <w:t>CONCLUSIONES</w:t>
      </w:r>
    </w:p>
    <w:p w14:paraId="3A8D46FC" w14:textId="6772FF1D" w:rsidR="00DB4528" w:rsidRPr="00DB4528" w:rsidRDefault="00DB4528" w:rsidP="00DB4528">
      <w:pPr>
        <w:spacing w:before="60"/>
        <w:jc w:val="both"/>
        <w:rPr>
          <w:rFonts w:ascii="Roboto" w:eastAsia="Roboto" w:hAnsi="Roboto" w:cs="Roboto"/>
          <w:color w:val="000000"/>
          <w:sz w:val="20"/>
          <w:szCs w:val="20"/>
        </w:rPr>
      </w:pPr>
      <w:r w:rsidRPr="00DB4528">
        <w:rPr>
          <w:rFonts w:ascii="Roboto" w:eastAsia="Roboto" w:hAnsi="Roboto" w:cs="Roboto"/>
          <w:color w:val="000000"/>
          <w:sz w:val="20"/>
          <w:szCs w:val="20"/>
        </w:rPr>
        <w:t xml:space="preserve">A la luz de lo expuesto, los usos educativos y terapéuticos del juego pueden comprenderse de manera más profunda. Reconocer el juego como experiencia estética creadora de sentido no implica negar la legitimidad de orientarlo hacia fines externos; significa, más bien, situar esos fines en el lugar adecuado, integrándolos sin desnaturalizar la </w:t>
      </w:r>
      <w:r w:rsidR="003C669F">
        <w:rPr>
          <w:rFonts w:ascii="Roboto" w:eastAsia="Roboto" w:hAnsi="Roboto" w:cs="Roboto"/>
          <w:color w:val="000000"/>
          <w:sz w:val="20"/>
          <w:szCs w:val="20"/>
        </w:rPr>
        <w:t>experiencia</w:t>
      </w:r>
      <w:r w:rsidRPr="00DB4528">
        <w:rPr>
          <w:rFonts w:ascii="Roboto" w:eastAsia="Roboto" w:hAnsi="Roboto" w:cs="Roboto"/>
          <w:color w:val="000000"/>
          <w:sz w:val="20"/>
          <w:szCs w:val="20"/>
        </w:rPr>
        <w:t xml:space="preserve"> lúdica.</w:t>
      </w:r>
    </w:p>
    <w:p w14:paraId="58E90025" w14:textId="41B1EA21" w:rsidR="00DB4528" w:rsidRPr="00DB4528" w:rsidRDefault="00DB4528" w:rsidP="00DB4528">
      <w:pPr>
        <w:spacing w:before="60"/>
        <w:jc w:val="both"/>
        <w:rPr>
          <w:rFonts w:ascii="Roboto" w:eastAsia="Roboto" w:hAnsi="Roboto" w:cs="Roboto"/>
          <w:color w:val="000000"/>
          <w:sz w:val="20"/>
          <w:szCs w:val="20"/>
        </w:rPr>
      </w:pPr>
      <w:r w:rsidRPr="00DB4528">
        <w:rPr>
          <w:rFonts w:ascii="Roboto" w:eastAsia="Roboto" w:hAnsi="Roboto" w:cs="Roboto"/>
          <w:color w:val="000000"/>
          <w:sz w:val="20"/>
          <w:szCs w:val="20"/>
        </w:rPr>
        <w:t>El valor formativo del juego no reside principalmente en transmitir contenidos o modificar conductas, sino en configurar un ámbito simbólico y libre en el que la persona pueda desarrollar modos elevados de relación, explorar posibilidades y desplegar su creatividad. En este contexto, los elementos estructurales del juego favorecen procesos educativos y terapéuticos porque exigen una implicación activa y comprometen a la persona en la unidad de sus dimensiones. Así, en educación ofrece un espacio donde el alumno ejercita libertad, cooperación y apertura al sentido; en el ámbito terapéutico constituye un entorno simbólico seguro desde el cual explorar y reelaborar la propia experiencia.</w:t>
      </w:r>
    </w:p>
    <w:p w14:paraId="7DB77A08" w14:textId="77777777" w:rsidR="00DB4528" w:rsidRPr="00DB4528" w:rsidRDefault="00DB4528" w:rsidP="00DB4528">
      <w:pPr>
        <w:spacing w:before="60"/>
        <w:jc w:val="both"/>
        <w:rPr>
          <w:rFonts w:ascii="Roboto" w:eastAsia="Roboto" w:hAnsi="Roboto" w:cs="Roboto"/>
          <w:color w:val="000000"/>
          <w:sz w:val="20"/>
          <w:szCs w:val="20"/>
        </w:rPr>
      </w:pPr>
      <w:r w:rsidRPr="00DB4528">
        <w:rPr>
          <w:rFonts w:ascii="Roboto" w:eastAsia="Roboto" w:hAnsi="Roboto" w:cs="Roboto"/>
          <w:color w:val="000000"/>
          <w:sz w:val="20"/>
          <w:szCs w:val="20"/>
        </w:rPr>
        <w:t>Comprendido de este modo, el juego no se opone a objetivos formativos o terapéuticos: los potencia. Sus posibilidades emergen con mayor fuerza cuando es respetado como fin en sí mismo, como actividad libre, reglada y orientada a su propio sentido. Esta fidelidad a su esencia permite que el juego actúe como un ámbito genuino de humanización, capaz de integrar a la persona y abrirla a formas más plenas de existencia.</w:t>
      </w:r>
    </w:p>
    <w:p w14:paraId="32DD81D3" w14:textId="02D18902" w:rsidR="00DB4528" w:rsidRDefault="00DB4528" w:rsidP="00DB4528">
      <w:pPr>
        <w:spacing w:before="60"/>
        <w:jc w:val="both"/>
        <w:rPr>
          <w:rFonts w:ascii="Roboto" w:eastAsia="Roboto" w:hAnsi="Roboto" w:cs="Roboto"/>
          <w:color w:val="000000"/>
          <w:sz w:val="20"/>
          <w:szCs w:val="20"/>
        </w:rPr>
      </w:pPr>
      <w:r w:rsidRPr="00DB4528">
        <w:rPr>
          <w:rFonts w:ascii="Roboto" w:eastAsia="Roboto" w:hAnsi="Roboto" w:cs="Roboto"/>
          <w:color w:val="000000"/>
          <w:sz w:val="20"/>
          <w:szCs w:val="20"/>
        </w:rPr>
        <w:t>En última instancia, el juego transforma porque ofrece un modo originario de entrar en relación con la realidad: la creación y participación en ámbitos de sentido compartido. Quien juega habita un mundo, se descubre en relación con otros y se vincula con valores que orientan su vida. Comprender el juego desde su dimensión estética es reconocer en él una fuente fecunda de crecimiento humano, especialmente cuando sus aplicaciones respetan y se apoyan en su naturaleza más profunda.</w:t>
      </w:r>
    </w:p>
    <w:p w14:paraId="77DA752C" w14:textId="7B64A491" w:rsidR="00472360" w:rsidRDefault="00472360" w:rsidP="00DB4528">
      <w:pPr>
        <w:spacing w:before="60"/>
        <w:jc w:val="both"/>
        <w:rPr>
          <w:rFonts w:ascii="Roboto" w:eastAsia="Roboto" w:hAnsi="Roboto" w:cs="Roboto"/>
          <w:b/>
          <w:bCs/>
          <w:sz w:val="20"/>
          <w:szCs w:val="20"/>
        </w:rPr>
      </w:pPr>
      <w:r>
        <w:rPr>
          <w:rFonts w:ascii="Roboto" w:eastAsia="Roboto" w:hAnsi="Roboto" w:cs="Roboto"/>
          <w:b/>
          <w:bCs/>
          <w:sz w:val="20"/>
          <w:szCs w:val="20"/>
        </w:rPr>
        <w:t>REFERENCIAS</w:t>
      </w:r>
    </w:p>
    <w:p w14:paraId="48D251EF" w14:textId="4858C6B8" w:rsidR="00A31F52"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pPr>
      <w:r w:rsidRPr="00A31F52">
        <w:rPr>
          <w:rFonts w:ascii="Roboto" w:eastAsia="Roboto" w:hAnsi="Roboto" w:cs="Roboto"/>
          <w:color w:val="000000"/>
          <w:sz w:val="20"/>
          <w:szCs w:val="20"/>
        </w:rPr>
        <w:t>Gadamer, H.G. (1975). Verdad y método. Sígueme.</w:t>
      </w:r>
    </w:p>
    <w:p w14:paraId="1877357E" w14:textId="0D889D2D" w:rsidR="00A31F52"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pPr>
      <w:r w:rsidRPr="00A31F52">
        <w:rPr>
          <w:rFonts w:ascii="Roboto" w:eastAsia="Roboto" w:hAnsi="Roboto" w:cs="Roboto"/>
          <w:color w:val="000000"/>
          <w:sz w:val="20"/>
          <w:szCs w:val="20"/>
        </w:rPr>
        <w:t>Guardini, R. (19</w:t>
      </w:r>
      <w:r w:rsidR="00463FBA">
        <w:rPr>
          <w:rFonts w:ascii="Roboto" w:eastAsia="Roboto" w:hAnsi="Roboto" w:cs="Roboto"/>
          <w:color w:val="000000"/>
          <w:sz w:val="20"/>
          <w:szCs w:val="20"/>
        </w:rPr>
        <w:t>99</w:t>
      </w:r>
      <w:r w:rsidRPr="00A31F52">
        <w:rPr>
          <w:rFonts w:ascii="Roboto" w:eastAsia="Roboto" w:hAnsi="Roboto" w:cs="Roboto"/>
          <w:color w:val="000000"/>
          <w:sz w:val="20"/>
          <w:szCs w:val="20"/>
        </w:rPr>
        <w:t xml:space="preserve">). El espíritu de la liturgia. </w:t>
      </w:r>
      <w:r w:rsidR="00463FBA">
        <w:rPr>
          <w:rFonts w:ascii="Roboto" w:eastAsia="Roboto" w:hAnsi="Roboto" w:cs="Roboto"/>
          <w:color w:val="000000"/>
          <w:sz w:val="20"/>
          <w:szCs w:val="20"/>
        </w:rPr>
        <w:t>Centre de pastoral litúrgica.</w:t>
      </w:r>
    </w:p>
    <w:p w14:paraId="67EB8C7B" w14:textId="752E6B4D" w:rsidR="00A31F52"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pPr>
      <w:r w:rsidRPr="00A31F52">
        <w:rPr>
          <w:rFonts w:ascii="Roboto" w:eastAsia="Roboto" w:hAnsi="Roboto" w:cs="Roboto"/>
          <w:color w:val="000000"/>
          <w:sz w:val="20"/>
          <w:szCs w:val="20"/>
        </w:rPr>
        <w:t>Huizinga, J. (200</w:t>
      </w:r>
      <w:r w:rsidR="00463FBA">
        <w:rPr>
          <w:rFonts w:ascii="Roboto" w:eastAsia="Roboto" w:hAnsi="Roboto" w:cs="Roboto"/>
          <w:color w:val="000000"/>
          <w:sz w:val="20"/>
          <w:szCs w:val="20"/>
        </w:rPr>
        <w:t>0</w:t>
      </w:r>
      <w:r w:rsidRPr="00A31F52">
        <w:rPr>
          <w:rFonts w:ascii="Roboto" w:eastAsia="Roboto" w:hAnsi="Roboto" w:cs="Roboto"/>
          <w:color w:val="000000"/>
          <w:sz w:val="20"/>
          <w:szCs w:val="20"/>
        </w:rPr>
        <w:t>). Homo ludens. Alianza</w:t>
      </w:r>
      <w:r w:rsidR="006F02D7">
        <w:rPr>
          <w:rFonts w:ascii="Roboto" w:eastAsia="Roboto" w:hAnsi="Roboto" w:cs="Roboto"/>
          <w:color w:val="000000"/>
          <w:sz w:val="20"/>
          <w:szCs w:val="20"/>
        </w:rPr>
        <w:t>.</w:t>
      </w:r>
    </w:p>
    <w:p w14:paraId="0FF8F222" w14:textId="10D76415" w:rsidR="00A31F52"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pPr>
      <w:r w:rsidRPr="00A31F52">
        <w:rPr>
          <w:rFonts w:ascii="Roboto" w:eastAsia="Roboto" w:hAnsi="Roboto" w:cs="Roboto"/>
          <w:color w:val="000000"/>
          <w:sz w:val="20"/>
          <w:szCs w:val="20"/>
        </w:rPr>
        <w:t>Kant, I. (20</w:t>
      </w:r>
      <w:r w:rsidR="00463FBA">
        <w:rPr>
          <w:rFonts w:ascii="Roboto" w:eastAsia="Roboto" w:hAnsi="Roboto" w:cs="Roboto"/>
          <w:color w:val="000000"/>
          <w:sz w:val="20"/>
          <w:szCs w:val="20"/>
        </w:rPr>
        <w:t>11</w:t>
      </w:r>
      <w:r w:rsidRPr="00A31F52">
        <w:rPr>
          <w:rFonts w:ascii="Roboto" w:eastAsia="Roboto" w:hAnsi="Roboto" w:cs="Roboto"/>
          <w:color w:val="000000"/>
          <w:sz w:val="20"/>
          <w:szCs w:val="20"/>
        </w:rPr>
        <w:t xml:space="preserve">). Crítica del juicio. </w:t>
      </w:r>
      <w:r w:rsidR="00463FBA">
        <w:rPr>
          <w:rFonts w:ascii="Roboto" w:eastAsia="Roboto" w:hAnsi="Roboto" w:cs="Roboto"/>
          <w:color w:val="000000"/>
          <w:sz w:val="20"/>
          <w:szCs w:val="20"/>
        </w:rPr>
        <w:t>Tecnos</w:t>
      </w:r>
      <w:r w:rsidRPr="00A31F52">
        <w:rPr>
          <w:rFonts w:ascii="Roboto" w:eastAsia="Roboto" w:hAnsi="Roboto" w:cs="Roboto"/>
          <w:color w:val="000000"/>
          <w:sz w:val="20"/>
          <w:szCs w:val="20"/>
        </w:rPr>
        <w:t xml:space="preserve">. </w:t>
      </w:r>
    </w:p>
    <w:p w14:paraId="7B3B1146" w14:textId="77777777" w:rsidR="00A31F52"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pPr>
      <w:r w:rsidRPr="00A31F52">
        <w:rPr>
          <w:rFonts w:ascii="Roboto" w:eastAsia="Roboto" w:hAnsi="Roboto" w:cs="Roboto"/>
          <w:color w:val="000000"/>
          <w:sz w:val="20"/>
          <w:szCs w:val="20"/>
        </w:rPr>
        <w:t>López Quintás, A. (1998). Estética de la creatividad: Juego, arte, literatura. Rialp.</w:t>
      </w:r>
    </w:p>
    <w:p w14:paraId="253A50D6" w14:textId="32273DE4" w:rsidR="00D9277B" w:rsidRPr="00A31F52" w:rsidRDefault="00A31F52" w:rsidP="00A31F52">
      <w:pPr>
        <w:pBdr>
          <w:top w:val="nil"/>
          <w:left w:val="nil"/>
          <w:bottom w:val="nil"/>
          <w:right w:val="nil"/>
          <w:between w:val="nil"/>
        </w:pBdr>
        <w:spacing w:before="60"/>
        <w:jc w:val="both"/>
        <w:rPr>
          <w:rFonts w:ascii="Roboto" w:eastAsia="Roboto" w:hAnsi="Roboto" w:cs="Roboto"/>
          <w:color w:val="000000"/>
          <w:sz w:val="20"/>
          <w:szCs w:val="20"/>
        </w:rPr>
        <w:sectPr w:rsidR="00D9277B" w:rsidRPr="00A31F52">
          <w:type w:val="continuous"/>
          <w:pgSz w:w="11906" w:h="16838"/>
          <w:pgMar w:top="1134" w:right="851" w:bottom="1134" w:left="851" w:header="357" w:footer="720" w:gutter="0"/>
          <w:cols w:num="2" w:space="720" w:equalWidth="0">
            <w:col w:w="4934" w:space="335"/>
            <w:col w:w="4934" w:space="0"/>
          </w:cols>
        </w:sectPr>
      </w:pPr>
      <w:r w:rsidRPr="00A31F52">
        <w:rPr>
          <w:rFonts w:ascii="Roboto" w:eastAsia="Roboto" w:hAnsi="Roboto" w:cs="Roboto"/>
          <w:color w:val="000000"/>
          <w:sz w:val="20"/>
          <w:szCs w:val="20"/>
        </w:rPr>
        <w:t>Schiller, F. (20</w:t>
      </w:r>
      <w:r w:rsidR="00463FBA">
        <w:rPr>
          <w:rFonts w:ascii="Roboto" w:eastAsia="Roboto" w:hAnsi="Roboto" w:cs="Roboto"/>
          <w:color w:val="000000"/>
          <w:sz w:val="20"/>
          <w:szCs w:val="20"/>
        </w:rPr>
        <w:t>18</w:t>
      </w:r>
      <w:r w:rsidRPr="00A31F52">
        <w:rPr>
          <w:rFonts w:ascii="Roboto" w:eastAsia="Roboto" w:hAnsi="Roboto" w:cs="Roboto"/>
          <w:color w:val="000000"/>
          <w:sz w:val="20"/>
          <w:szCs w:val="20"/>
        </w:rPr>
        <w:t xml:space="preserve">). Cartas sobre la educación estética del hombre. Acantilado. </w:t>
      </w:r>
    </w:p>
    <w:p w14:paraId="493BFA4F" w14:textId="77777777" w:rsidR="00D9277B" w:rsidRDefault="00000000" w:rsidP="00F835F9">
      <w:pPr>
        <w:jc w:val="center"/>
        <w:rPr>
          <w:rFonts w:ascii="Roboto" w:eastAsia="Roboto" w:hAnsi="Roboto" w:cs="Roboto"/>
          <w:b/>
          <w:bCs/>
          <w:color w:val="FF0000"/>
          <w:sz w:val="20"/>
          <w:szCs w:val="20"/>
        </w:rPr>
      </w:pPr>
      <w:r w:rsidRPr="00A31F52">
        <w:rPr>
          <w:rFonts w:ascii="Roboto" w:eastAsia="Roboto" w:hAnsi="Roboto" w:cs="Roboto"/>
          <w:b/>
          <w:bCs/>
          <w:color w:val="FF0000"/>
          <w:sz w:val="20"/>
          <w:szCs w:val="20"/>
          <w:lang w:val="es-ES"/>
        </w:rPr>
        <w:lastRenderedPageBreak/>
        <w:t xml:space="preserve">NO ELIMINAR ESTA HOJA DEL ARCHIVO. </w:t>
      </w:r>
      <w:r>
        <w:rPr>
          <w:rFonts w:ascii="Roboto" w:eastAsia="Roboto" w:hAnsi="Roboto" w:cs="Roboto"/>
          <w:b/>
          <w:bCs/>
          <w:color w:val="FF0000"/>
          <w:sz w:val="20"/>
          <w:szCs w:val="20"/>
        </w:rPr>
        <w:t>ENVÍE EL ARCHIVO COMPLETO</w:t>
      </w:r>
    </w:p>
    <w:p w14:paraId="1CFE7700" w14:textId="77777777" w:rsidR="00D9277B" w:rsidRDefault="00000000" w:rsidP="00F835F9">
      <w:pPr>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9280DB8" w14:textId="77777777" w:rsidR="00D9277B"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40A33A10"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50F75912"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C20D889"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31FE72B"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09F44FF0"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CAB7291"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58571059"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F1B00EC" w14:textId="77777777" w:rsidR="00D9277B"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69FF285C" w14:textId="77777777" w:rsidR="00D9277B"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CBC4E53" w14:textId="77777777" w:rsidR="00D9277B"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F15BE7C" w14:textId="77777777" w:rsidR="00D9277B"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60399075"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B67CA8C"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7D221DE" w14:textId="77777777" w:rsidR="00D9277B"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36A26A7" w14:textId="77777777" w:rsidR="00D9277B"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2A59A8D0" w14:textId="77777777" w:rsidR="00D9277B"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CAE0CBA"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C2B1B41"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2CC164BB" w14:textId="77777777" w:rsidR="00D9277B"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24224CA" w14:textId="77777777"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0E8A1E78" w14:textId="46A0FD59" w:rsidR="00D9277B" w:rsidRDefault="00000000">
      <w:pPr>
        <w:spacing w:before="240" w:after="240"/>
        <w:jc w:val="both"/>
        <w:rPr>
          <w:rFonts w:ascii="Roboto" w:eastAsia="Roboto" w:hAnsi="Roboto" w:cs="Roboto"/>
          <w:sz w:val="20"/>
          <w:szCs w:val="20"/>
        </w:rPr>
      </w:pPr>
      <w:r>
        <w:rPr>
          <w:rFonts w:ascii="Roboto" w:eastAsia="Roboto" w:hAnsi="Roboto" w:cs="Roboto"/>
          <w:sz w:val="20"/>
          <w:szCs w:val="20"/>
        </w:rPr>
        <w:t>(Marque con X)  Declaro que he leído y acepto los términos de esta declaración y autorización de publicación.</w:t>
      </w:r>
      <w:r w:rsidR="00AB4C76">
        <w:rPr>
          <w:rFonts w:ascii="Roboto" w:eastAsia="Roboto" w:hAnsi="Roboto" w:cs="Roboto"/>
          <w:sz w:val="20"/>
          <w:szCs w:val="20"/>
        </w:rPr>
        <w:t xml:space="preserve"> X</w:t>
      </w:r>
    </w:p>
    <w:p w14:paraId="63BFA733" w14:textId="25E5C4F4" w:rsidR="00D9277B" w:rsidRDefault="00000000" w:rsidP="00132795">
      <w:pPr>
        <w:spacing w:before="240" w:after="240"/>
        <w:rPr>
          <w:rFonts w:ascii="Roboto" w:eastAsia="Roboto" w:hAnsi="Roboto" w:cs="Roboto"/>
          <w:sz w:val="20"/>
          <w:szCs w:val="20"/>
        </w:rPr>
      </w:pPr>
      <w:r>
        <w:rPr>
          <w:rFonts w:ascii="Roboto" w:eastAsia="Roboto" w:hAnsi="Roboto" w:cs="Roboto"/>
          <w:b/>
          <w:bCs/>
          <w:sz w:val="20"/>
          <w:szCs w:val="20"/>
        </w:rPr>
        <w:t>Autor</w:t>
      </w:r>
      <w:r w:rsidR="00132795">
        <w:rPr>
          <w:rFonts w:ascii="Roboto" w:eastAsia="Roboto" w:hAnsi="Roboto" w:cs="Roboto"/>
          <w:b/>
          <w:bCs/>
          <w:sz w:val="20"/>
          <w:szCs w:val="20"/>
        </w:rPr>
        <w:t xml:space="preserve"> </w:t>
      </w:r>
      <w:r>
        <w:rPr>
          <w:rFonts w:ascii="Roboto" w:eastAsia="Roboto" w:hAnsi="Roboto" w:cs="Roboto"/>
          <w:b/>
          <w:bCs/>
          <w:sz w:val="20"/>
          <w:szCs w:val="20"/>
        </w:rPr>
        <w:t>responsable:</w:t>
      </w:r>
      <w:r w:rsidR="00132795">
        <w:rPr>
          <w:rFonts w:ascii="Roboto" w:eastAsia="Roboto" w:hAnsi="Roboto" w:cs="Roboto"/>
          <w:b/>
          <w:bCs/>
          <w:sz w:val="20"/>
          <w:szCs w:val="20"/>
        </w:rPr>
        <w:t xml:space="preserve"> David García Díaz</w:t>
      </w:r>
      <w:r>
        <w:rPr>
          <w:rFonts w:ascii="Roboto" w:eastAsia="Roboto" w:hAnsi="Roboto" w:cs="Roboto"/>
          <w:b/>
          <w:bCs/>
          <w:sz w:val="20"/>
          <w:szCs w:val="20"/>
        </w:rPr>
        <w:br/>
        <w:t>Institución:</w:t>
      </w:r>
      <w:r w:rsidR="00132795">
        <w:rPr>
          <w:rFonts w:ascii="Roboto" w:eastAsia="Roboto" w:hAnsi="Roboto" w:cs="Roboto"/>
          <w:b/>
          <w:bCs/>
          <w:sz w:val="20"/>
          <w:szCs w:val="20"/>
        </w:rPr>
        <w:t xml:space="preserve"> Universidad Francisco de Vitoria</w:t>
      </w:r>
      <w:r>
        <w:rPr>
          <w:rFonts w:ascii="Roboto" w:eastAsia="Roboto" w:hAnsi="Roboto" w:cs="Roboto"/>
          <w:b/>
          <w:bCs/>
          <w:sz w:val="20"/>
          <w:szCs w:val="20"/>
        </w:rPr>
        <w:br/>
        <w:t>Título del trabajo con autores:</w:t>
      </w:r>
      <w:r w:rsidR="00132795">
        <w:rPr>
          <w:rFonts w:ascii="Roboto" w:eastAsia="Roboto" w:hAnsi="Roboto" w:cs="Roboto"/>
          <w:b/>
          <w:bCs/>
          <w:sz w:val="20"/>
          <w:szCs w:val="20"/>
        </w:rPr>
        <w:t xml:space="preserve"> </w:t>
      </w:r>
      <w:r w:rsidR="007C668C" w:rsidRPr="007C668C">
        <w:rPr>
          <w:rFonts w:ascii="Roboto" w:eastAsia="Roboto" w:hAnsi="Roboto" w:cs="Roboto"/>
          <w:b/>
          <w:bCs/>
          <w:sz w:val="20"/>
          <w:szCs w:val="20"/>
        </w:rPr>
        <w:t>Estructura y finalidad del juego: fundamento estético de su potencial formativo integral</w:t>
      </w:r>
    </w:p>
    <w:sectPr w:rsidR="00D9277B">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C88E1" w14:textId="77777777" w:rsidR="002A054F" w:rsidRDefault="002A054F">
      <w:r>
        <w:separator/>
      </w:r>
    </w:p>
  </w:endnote>
  <w:endnote w:type="continuationSeparator" w:id="0">
    <w:p w14:paraId="5806321C" w14:textId="77777777" w:rsidR="002A054F" w:rsidRDefault="002A05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A47E31E5-736C-41CF-A0FE-6BC389E56904}"/>
  </w:font>
  <w:font w:name="Georgia">
    <w:panose1 w:val="02040502050405020303"/>
    <w:charset w:val="00"/>
    <w:family w:val="roman"/>
    <w:pitch w:val="variable"/>
    <w:sig w:usb0="00000287" w:usb1="00000000" w:usb2="00000000" w:usb3="00000000" w:csb0="0000009F" w:csb1="00000000"/>
    <w:embedItalic r:id="rId2" w:fontKey="{00CD1677-D57A-437D-8122-CF2113C2C143}"/>
  </w:font>
  <w:font w:name="Roboto">
    <w:charset w:val="00"/>
    <w:family w:val="auto"/>
    <w:pitch w:val="variable"/>
    <w:sig w:usb0="E0000AFF" w:usb1="5000217F" w:usb2="00000021" w:usb3="00000000" w:csb0="0000019F" w:csb1="00000000"/>
    <w:embedRegular r:id="rId3" w:fontKey="{1DB597D6-EBEE-446F-836E-C4643E12E579}"/>
    <w:embedBold r:id="rId4" w:fontKey="{5C103FD9-DC92-47A0-B839-2DBF64F18CEC}"/>
  </w:font>
  <w:font w:name="Calibri Light">
    <w:panose1 w:val="020F0302020204030204"/>
    <w:charset w:val="00"/>
    <w:family w:val="swiss"/>
    <w:pitch w:val="variable"/>
    <w:sig w:usb0="E4002EFF" w:usb1="C200247B" w:usb2="00000009" w:usb3="00000000" w:csb0="000001FF" w:csb1="00000000"/>
    <w:embedRegular r:id="rId5" w:fontKey="{DC0C8DF5-4F6D-484E-8F1E-6A3CB28C05F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1C817E" w14:textId="77777777" w:rsidR="002A054F" w:rsidRDefault="002A054F">
      <w:r>
        <w:separator/>
      </w:r>
    </w:p>
  </w:footnote>
  <w:footnote w:type="continuationSeparator" w:id="0">
    <w:p w14:paraId="4C27A160" w14:textId="77777777" w:rsidR="002A054F" w:rsidRDefault="002A05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A7F72" w14:textId="77777777" w:rsidR="00D9277B" w:rsidRDefault="00D9277B">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D9277B" w14:paraId="40402087" w14:textId="77777777">
      <w:trPr>
        <w:trHeight w:val="345"/>
        <w:jc w:val="center"/>
      </w:trPr>
      <w:tc>
        <w:tcPr>
          <w:tcW w:w="6306" w:type="dxa"/>
          <w:vAlign w:val="center"/>
        </w:tcPr>
        <w:p w14:paraId="4DF80E0E" w14:textId="77777777" w:rsidR="00D9277B" w:rsidRDefault="00D9277B">
          <w:pPr>
            <w:jc w:val="center"/>
            <w:rPr>
              <w:i/>
              <w:iCs/>
              <w:sz w:val="18"/>
              <w:szCs w:val="18"/>
            </w:rPr>
          </w:pPr>
        </w:p>
      </w:tc>
    </w:tr>
  </w:tbl>
  <w:p w14:paraId="772CB507" w14:textId="77777777" w:rsidR="00D9277B" w:rsidRDefault="00D9277B">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4042E"/>
    <w:multiLevelType w:val="multilevel"/>
    <w:tmpl w:val="312479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34D594F"/>
    <w:multiLevelType w:val="multilevel"/>
    <w:tmpl w:val="EFD8EE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36818564">
    <w:abstractNumId w:val="1"/>
  </w:num>
  <w:num w:numId="2" w16cid:durableId="13121744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77B"/>
    <w:rsid w:val="00132795"/>
    <w:rsid w:val="00133504"/>
    <w:rsid w:val="0014749C"/>
    <w:rsid w:val="00202245"/>
    <w:rsid w:val="002748E2"/>
    <w:rsid w:val="00277A4C"/>
    <w:rsid w:val="002A054F"/>
    <w:rsid w:val="00385718"/>
    <w:rsid w:val="003C669F"/>
    <w:rsid w:val="00455372"/>
    <w:rsid w:val="00463FBA"/>
    <w:rsid w:val="00472360"/>
    <w:rsid w:val="00497E0E"/>
    <w:rsid w:val="005E491A"/>
    <w:rsid w:val="006B6548"/>
    <w:rsid w:val="006C7F77"/>
    <w:rsid w:val="006F02D7"/>
    <w:rsid w:val="007C668C"/>
    <w:rsid w:val="00871BA1"/>
    <w:rsid w:val="008F42BA"/>
    <w:rsid w:val="0094146F"/>
    <w:rsid w:val="00996EA9"/>
    <w:rsid w:val="009D3A67"/>
    <w:rsid w:val="009E6A7B"/>
    <w:rsid w:val="00A31F52"/>
    <w:rsid w:val="00A95618"/>
    <w:rsid w:val="00AB4C76"/>
    <w:rsid w:val="00BF78F5"/>
    <w:rsid w:val="00C21B92"/>
    <w:rsid w:val="00D6048F"/>
    <w:rsid w:val="00D9277B"/>
    <w:rsid w:val="00DB33B3"/>
    <w:rsid w:val="00DB4528"/>
    <w:rsid w:val="00F835F9"/>
    <w:rsid w:val="00FA085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C97F2"/>
  <w15:docId w15:val="{32902723-DAAB-4ECF-ACD1-94C41806E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2181</TotalTime>
  <Pages>3</Pages>
  <Words>2215</Words>
  <Characters>12186</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David García Díaz</cp:lastModifiedBy>
  <cp:revision>24</cp:revision>
  <dcterms:created xsi:type="dcterms:W3CDTF">2025-09-09T17:06:00Z</dcterms:created>
  <dcterms:modified xsi:type="dcterms:W3CDTF">2026-03-29T22:55:00Z</dcterms:modified>
</cp:coreProperties>
</file>