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44E872" w14:textId="40E7E410" w:rsidR="002A32BA" w:rsidRDefault="004725FE">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Proactividad ambiental como determinante de ventajas competitivas en el sector hotelero</w:t>
      </w:r>
      <w:r w:rsidR="00DF5CDF">
        <w:rPr>
          <w:rFonts w:ascii="Roboto" w:eastAsia="Roboto" w:hAnsi="Roboto" w:cs="Roboto"/>
          <w:b/>
          <w:bCs/>
          <w:color w:val="000000"/>
        </w:rPr>
        <w:t xml:space="preserve"> de Veracruz</w:t>
      </w:r>
    </w:p>
    <w:p w14:paraId="1C960222" w14:textId="7856E5C1" w:rsidR="002A32BA" w:rsidRDefault="00F64AC2">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Rodríguez</w:t>
      </w:r>
      <w:r w:rsidR="00000000">
        <w:rPr>
          <w:rFonts w:ascii="Roboto" w:eastAsia="Roboto" w:hAnsi="Roboto" w:cs="Roboto"/>
          <w:b/>
          <w:bCs/>
          <w:color w:val="000000"/>
          <w:sz w:val="20"/>
          <w:szCs w:val="20"/>
        </w:rPr>
        <w:t>-</w:t>
      </w:r>
      <w:r>
        <w:rPr>
          <w:rFonts w:ascii="Roboto" w:eastAsia="Roboto" w:hAnsi="Roboto" w:cs="Roboto"/>
          <w:b/>
          <w:bCs/>
          <w:color w:val="000000"/>
          <w:sz w:val="20"/>
          <w:szCs w:val="20"/>
        </w:rPr>
        <w:t>Rudi</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G</w:t>
      </w:r>
      <w:r w:rsidR="00000000">
        <w:rPr>
          <w:rFonts w:ascii="Roboto" w:eastAsia="Roboto" w:hAnsi="Roboto" w:cs="Roboto"/>
          <w:b/>
          <w:bCs/>
          <w:color w:val="000000"/>
          <w:sz w:val="20"/>
          <w:szCs w:val="20"/>
        </w:rPr>
        <w:t>.</w:t>
      </w:r>
      <w:r w:rsidR="00000000">
        <w:rPr>
          <w:rFonts w:ascii="Roboto" w:eastAsia="Roboto" w:hAnsi="Roboto" w:cs="Roboto"/>
          <w:b/>
          <w:bCs/>
          <w:color w:val="000000"/>
          <w:sz w:val="20"/>
          <w:szCs w:val="20"/>
          <w:vertAlign w:val="superscript"/>
        </w:rPr>
        <w:t>1</w:t>
      </w:r>
      <w:r w:rsidR="0028462F" w:rsidRPr="0028462F">
        <w:rPr>
          <w:rFonts w:ascii="Roboto" w:eastAsia="Roboto" w:hAnsi="Roboto" w:cs="Roboto"/>
          <w:b/>
          <w:bCs/>
          <w:color w:val="000000"/>
          <w:sz w:val="20"/>
          <w:szCs w:val="20"/>
        </w:rPr>
        <w:t xml:space="preserve"> </w:t>
      </w:r>
      <w:r w:rsidR="0028462F">
        <w:rPr>
          <w:rFonts w:ascii="Roboto" w:eastAsia="Roboto" w:hAnsi="Roboto" w:cs="Roboto"/>
          <w:b/>
          <w:bCs/>
          <w:color w:val="000000"/>
          <w:sz w:val="20"/>
          <w:szCs w:val="20"/>
        </w:rPr>
        <w:t>Guevara</w:t>
      </w:r>
      <w:r w:rsidR="0028462F">
        <w:rPr>
          <w:rFonts w:ascii="Roboto" w:eastAsia="Roboto" w:hAnsi="Roboto" w:cs="Roboto"/>
          <w:b/>
          <w:bCs/>
          <w:color w:val="000000"/>
          <w:sz w:val="20"/>
          <w:szCs w:val="20"/>
        </w:rPr>
        <w:t>-</w:t>
      </w:r>
      <w:r w:rsidR="0028462F">
        <w:rPr>
          <w:rFonts w:ascii="Roboto" w:eastAsia="Roboto" w:hAnsi="Roboto" w:cs="Roboto"/>
          <w:b/>
          <w:bCs/>
          <w:color w:val="000000"/>
          <w:sz w:val="20"/>
          <w:szCs w:val="20"/>
        </w:rPr>
        <w:t>Otero</w:t>
      </w:r>
      <w:r w:rsidR="0028462F">
        <w:rPr>
          <w:rFonts w:ascii="Roboto" w:eastAsia="Roboto" w:hAnsi="Roboto" w:cs="Roboto"/>
          <w:b/>
          <w:bCs/>
          <w:color w:val="000000"/>
          <w:sz w:val="20"/>
          <w:szCs w:val="20"/>
        </w:rPr>
        <w:t xml:space="preserve"> N.</w:t>
      </w:r>
      <w:r w:rsidR="0028462F">
        <w:rPr>
          <w:rFonts w:ascii="Roboto" w:eastAsia="Roboto" w:hAnsi="Roboto" w:cs="Roboto"/>
          <w:b/>
          <w:bCs/>
          <w:color w:val="000000"/>
          <w:sz w:val="20"/>
          <w:szCs w:val="20"/>
          <w:vertAlign w:val="superscript"/>
        </w:rPr>
        <w:t>2</w:t>
      </w:r>
    </w:p>
    <w:p w14:paraId="41DC85FA" w14:textId="7E0D5DA4" w:rsidR="002A32BA" w:rsidRDefault="00000000">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00DF5CDF">
        <w:rPr>
          <w:rFonts w:ascii="Roboto" w:eastAsia="Roboto" w:hAnsi="Roboto" w:cs="Roboto"/>
          <w:color w:val="000000"/>
          <w:sz w:val="18"/>
          <w:szCs w:val="18"/>
        </w:rPr>
        <w:t>Universidad Anáhuac</w:t>
      </w:r>
      <w:r>
        <w:rPr>
          <w:rFonts w:ascii="Roboto" w:eastAsia="Roboto" w:hAnsi="Roboto" w:cs="Roboto"/>
          <w:color w:val="000000"/>
          <w:sz w:val="18"/>
          <w:szCs w:val="18"/>
        </w:rPr>
        <w:t>,</w:t>
      </w:r>
      <w:r w:rsidR="00DF5CDF">
        <w:rPr>
          <w:rFonts w:ascii="Roboto" w:eastAsia="Roboto" w:hAnsi="Roboto" w:cs="Roboto"/>
          <w:color w:val="000000"/>
          <w:sz w:val="18"/>
          <w:szCs w:val="18"/>
        </w:rPr>
        <w:t xml:space="preserve">Veracruz, </w:t>
      </w:r>
      <w:r>
        <w:rPr>
          <w:rFonts w:ascii="Roboto" w:eastAsia="Roboto" w:hAnsi="Roboto" w:cs="Roboto"/>
          <w:color w:val="000000"/>
          <w:sz w:val="18"/>
          <w:szCs w:val="18"/>
        </w:rPr>
        <w:t xml:space="preserve"> ORCID</w:t>
      </w:r>
      <w:r w:rsidR="00D65AC1">
        <w:rPr>
          <w:rFonts w:ascii="Roboto" w:eastAsia="Roboto" w:hAnsi="Roboto" w:cs="Roboto"/>
          <w:color w:val="000000"/>
          <w:sz w:val="18"/>
          <w:szCs w:val="18"/>
        </w:rPr>
        <w:t xml:space="preserve">: </w:t>
      </w:r>
      <w:hyperlink r:id="rId8" w:tgtFrame="blank" w:tooltip="Orcid" w:history="1">
        <w:r w:rsidR="00D65AC1" w:rsidRPr="00D65AC1">
          <w:rPr>
            <w:rFonts w:ascii="Roboto" w:eastAsia="Roboto" w:hAnsi="Roboto" w:cs="Roboto"/>
            <w:color w:val="000000"/>
            <w:sz w:val="18"/>
            <w:szCs w:val="18"/>
          </w:rPr>
          <w:t>https://orcid.org/0000-0002-0555-1376</w:t>
        </w:r>
      </w:hyperlink>
    </w:p>
    <w:p w14:paraId="4353C470" w14:textId="6F17A765" w:rsidR="0028462F" w:rsidRDefault="0028462F" w:rsidP="0028462F">
      <w:pPr>
        <w:jc w:val="center"/>
        <w:rPr>
          <w:rFonts w:ascii="Roboto" w:eastAsia="Roboto" w:hAnsi="Roboto" w:cs="Roboto"/>
          <w:sz w:val="18"/>
          <w:szCs w:val="18"/>
        </w:rPr>
      </w:pPr>
      <w:r>
        <w:rPr>
          <w:rFonts w:ascii="Roboto" w:eastAsia="Roboto" w:hAnsi="Roboto" w:cs="Roboto"/>
          <w:sz w:val="18"/>
          <w:szCs w:val="18"/>
          <w:vertAlign w:val="superscript"/>
        </w:rPr>
        <w:t>2</w:t>
      </w:r>
      <w:r>
        <w:rPr>
          <w:rFonts w:ascii="Roboto" w:eastAsia="Roboto" w:hAnsi="Roboto" w:cs="Roboto"/>
          <w:sz w:val="18"/>
          <w:szCs w:val="18"/>
        </w:rPr>
        <w:t>Universidad Rey Juan Carlos</w:t>
      </w:r>
      <w:r>
        <w:rPr>
          <w:rFonts w:ascii="Roboto" w:eastAsia="Roboto" w:hAnsi="Roboto" w:cs="Roboto"/>
          <w:sz w:val="18"/>
          <w:szCs w:val="18"/>
        </w:rPr>
        <w:t>, ORCID</w:t>
      </w:r>
      <w:r>
        <w:rPr>
          <w:rFonts w:ascii="Roboto" w:eastAsia="Roboto" w:hAnsi="Roboto" w:cs="Roboto"/>
          <w:sz w:val="18"/>
          <w:szCs w:val="18"/>
        </w:rPr>
        <w:t xml:space="preserve">: </w:t>
      </w:r>
      <w:r w:rsidRPr="0028462F">
        <w:rPr>
          <w:rFonts w:ascii="Roboto" w:eastAsia="Roboto" w:hAnsi="Roboto" w:cs="Roboto"/>
          <w:sz w:val="18"/>
          <w:szCs w:val="18"/>
        </w:rPr>
        <w:t>https://orcid.org/0000-0003-3039-6221</w:t>
      </w:r>
    </w:p>
    <w:p w14:paraId="32B8AC78" w14:textId="77777777" w:rsidR="00187FB4" w:rsidRDefault="00187FB4" w:rsidP="0028462F">
      <w:pPr>
        <w:pBdr>
          <w:top w:val="nil"/>
          <w:left w:val="nil"/>
          <w:bottom w:val="nil"/>
          <w:right w:val="nil"/>
          <w:between w:val="nil"/>
        </w:pBdr>
        <w:rPr>
          <w:rFonts w:ascii="Roboto" w:eastAsia="Roboto" w:hAnsi="Roboto" w:cs="Roboto"/>
          <w:color w:val="000000"/>
          <w:sz w:val="18"/>
          <w:szCs w:val="18"/>
          <w:vertAlign w:val="superscript"/>
        </w:rPr>
      </w:pPr>
    </w:p>
    <w:p w14:paraId="347FF81C" w14:textId="470FA18B" w:rsidR="002A32BA"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sidR="00D65AC1" w:rsidRPr="00D65AC1">
        <w:t xml:space="preserve"> </w:t>
      </w:r>
      <w:r w:rsidR="00D65AC1" w:rsidRPr="00D65AC1">
        <w:rPr>
          <w:rFonts w:ascii="Roboto" w:eastAsia="Roboto" w:hAnsi="Roboto" w:cs="Roboto"/>
          <w:sz w:val="18"/>
          <w:szCs w:val="18"/>
        </w:rPr>
        <w:t>giselle.rodriguezru@anahuac.mx</w:t>
      </w:r>
      <w:r>
        <w:rPr>
          <w:rFonts w:ascii="Roboto" w:eastAsia="Roboto" w:hAnsi="Roboto" w:cs="Roboto"/>
          <w:sz w:val="18"/>
          <w:szCs w:val="18"/>
        </w:rPr>
        <w:t>)</w:t>
      </w:r>
    </w:p>
    <w:p w14:paraId="2C5E1926" w14:textId="77777777" w:rsidR="002A32BA" w:rsidRDefault="00D4792E">
      <w:pPr>
        <w:spacing w:before="60"/>
        <w:jc w:val="center"/>
        <w:rPr>
          <w:rFonts w:ascii="Roboto" w:eastAsia="Roboto" w:hAnsi="Roboto" w:cs="Roboto"/>
          <w:sz w:val="18"/>
          <w:szCs w:val="18"/>
        </w:rPr>
        <w:sectPr w:rsidR="002A32BA">
          <w:headerReference w:type="default" r:id="rId9"/>
          <w:pgSz w:w="11906" w:h="16838"/>
          <w:pgMar w:top="851" w:right="851" w:bottom="828" w:left="851" w:header="357" w:footer="720" w:gutter="0"/>
          <w:pgNumType w:start="1"/>
          <w:cols w:space="720"/>
        </w:sectPr>
      </w:pPr>
      <w:r>
        <w:pict w14:anchorId="68064DBB">
          <v:rect id="Horizontal Line 1" o:spid="_x0000_s1026" alt="" style="width:510.2pt;height:1.1pt;visibility:visible;mso-wrap-style:square;mso-width-percent:0;mso-height-percent:0;mso-left-percent:-10001;mso-top-percent:-10001;mso-position-horizontal:absolute;mso-position-horizontal-relative:char;mso-position-vertical:absolute;mso-position-vertical-relative:line;mso-width-percent:0;mso-height-percent:0;mso-left-percent:-10001;mso-top-percent:-10001;v-text-anchor:top" filled="f">
            <o:lock v:ext="edit" rotation="t" aspectratio="t" verticies="t" text="t" shapetype="t"/>
            <w10:anchorlock/>
          </v:rect>
        </w:pict>
      </w:r>
    </w:p>
    <w:p w14:paraId="3465DA42" w14:textId="77777777" w:rsidR="002A32BA" w:rsidRDefault="002A32BA">
      <w:pPr>
        <w:pBdr>
          <w:top w:val="nil"/>
          <w:left w:val="nil"/>
          <w:bottom w:val="nil"/>
          <w:right w:val="nil"/>
          <w:between w:val="nil"/>
        </w:pBdr>
        <w:jc w:val="both"/>
        <w:rPr>
          <w:rFonts w:ascii="Roboto" w:eastAsia="Roboto" w:hAnsi="Roboto" w:cs="Roboto"/>
          <w:b/>
          <w:bCs/>
          <w:color w:val="000000"/>
          <w:sz w:val="20"/>
          <w:szCs w:val="20"/>
        </w:rPr>
      </w:pPr>
    </w:p>
    <w:p w14:paraId="4272EDA5" w14:textId="37C05DE2" w:rsidR="002A32BA" w:rsidRDefault="00871256">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INTRODUCCIÓN </w:t>
      </w:r>
    </w:p>
    <w:p w14:paraId="255CDB78" w14:textId="0B14EE8E" w:rsidR="00E2465E" w:rsidRPr="00E2465E" w:rsidRDefault="00E2465E">
      <w:pPr>
        <w:pBdr>
          <w:top w:val="nil"/>
          <w:left w:val="nil"/>
          <w:bottom w:val="nil"/>
          <w:right w:val="nil"/>
          <w:between w:val="nil"/>
        </w:pBdr>
        <w:jc w:val="both"/>
        <w:rPr>
          <w:rFonts w:ascii="Roboto" w:eastAsia="Roboto" w:hAnsi="Roboto" w:cs="Roboto"/>
          <w:color w:val="000000"/>
          <w:sz w:val="20"/>
          <w:szCs w:val="20"/>
        </w:rPr>
      </w:pPr>
      <w:r w:rsidRPr="00E2465E">
        <w:rPr>
          <w:rFonts w:ascii="Roboto" w:eastAsia="Roboto" w:hAnsi="Roboto" w:cs="Roboto"/>
          <w:color w:val="000000"/>
          <w:sz w:val="20"/>
          <w:szCs w:val="20"/>
        </w:rPr>
        <w:t xml:space="preserve">En el contexto actual, las organizaciones enfrentan entornos altamente dinámicos que demandan estrategias innovadoras para sostener ventajas competitivas. En este marco, la presente investigación analiza el papel de las capacidades </w:t>
      </w:r>
      <w:r w:rsidRPr="00E2465E">
        <w:rPr>
          <w:rFonts w:ascii="Roboto" w:eastAsia="Roboto" w:hAnsi="Roboto" w:cs="Roboto"/>
          <w:color w:val="000000"/>
          <w:sz w:val="20"/>
          <w:szCs w:val="20"/>
        </w:rPr>
        <w:t>organizacionales</w:t>
      </w:r>
      <w:r w:rsidRPr="00E2465E">
        <w:rPr>
          <w:rFonts w:ascii="Roboto" w:eastAsia="Roboto" w:hAnsi="Roboto" w:cs="Roboto"/>
          <w:color w:val="000000"/>
          <w:sz w:val="20"/>
          <w:szCs w:val="20"/>
        </w:rPr>
        <w:t xml:space="preserve">, </w:t>
      </w:r>
      <w:r w:rsidRPr="00E2465E">
        <w:rPr>
          <w:rFonts w:ascii="Roboto" w:eastAsia="Roboto" w:hAnsi="Roboto" w:cs="Roboto"/>
          <w:color w:val="000000"/>
          <w:sz w:val="20"/>
          <w:szCs w:val="20"/>
        </w:rPr>
        <w:t xml:space="preserve">para motivar </w:t>
      </w:r>
      <w:r w:rsidRPr="00E2465E">
        <w:rPr>
          <w:rFonts w:ascii="Roboto" w:eastAsia="Roboto" w:hAnsi="Roboto" w:cs="Roboto"/>
          <w:color w:val="000000"/>
          <w:sz w:val="20"/>
          <w:szCs w:val="20"/>
        </w:rPr>
        <w:t>la proactividad ambiental, como determinante de ventaja</w:t>
      </w:r>
      <w:r>
        <w:rPr>
          <w:rFonts w:ascii="Roboto" w:eastAsia="Roboto" w:hAnsi="Roboto" w:cs="Roboto"/>
          <w:color w:val="000000"/>
          <w:sz w:val="20"/>
          <w:szCs w:val="20"/>
        </w:rPr>
        <w:t>s</w:t>
      </w:r>
      <w:r w:rsidRPr="00E2465E">
        <w:rPr>
          <w:rFonts w:ascii="Roboto" w:eastAsia="Roboto" w:hAnsi="Roboto" w:cs="Roboto"/>
          <w:color w:val="000000"/>
          <w:sz w:val="20"/>
          <w:szCs w:val="20"/>
        </w:rPr>
        <w:t xml:space="preserve"> competitiva</w:t>
      </w:r>
      <w:r>
        <w:rPr>
          <w:rFonts w:ascii="Roboto" w:eastAsia="Roboto" w:hAnsi="Roboto" w:cs="Roboto"/>
          <w:color w:val="000000"/>
          <w:sz w:val="20"/>
          <w:szCs w:val="20"/>
        </w:rPr>
        <w:t>s</w:t>
      </w:r>
      <w:r w:rsidRPr="00E2465E">
        <w:rPr>
          <w:rFonts w:ascii="Roboto" w:eastAsia="Roboto" w:hAnsi="Roboto" w:cs="Roboto"/>
          <w:color w:val="000000"/>
          <w:sz w:val="20"/>
          <w:szCs w:val="20"/>
        </w:rPr>
        <w:t xml:space="preserve"> en el sector hotelero.</w:t>
      </w:r>
    </w:p>
    <w:p w14:paraId="61152624" w14:textId="77777777" w:rsidR="002A32BA" w:rsidRDefault="002A32BA">
      <w:pPr>
        <w:pBdr>
          <w:top w:val="nil"/>
          <w:left w:val="nil"/>
          <w:bottom w:val="nil"/>
          <w:right w:val="nil"/>
          <w:between w:val="nil"/>
        </w:pBdr>
        <w:jc w:val="both"/>
        <w:rPr>
          <w:rFonts w:ascii="Roboto" w:eastAsia="Roboto" w:hAnsi="Roboto" w:cs="Roboto"/>
          <w:b/>
          <w:bCs/>
          <w:color w:val="000000"/>
          <w:sz w:val="20"/>
          <w:szCs w:val="20"/>
        </w:rPr>
      </w:pPr>
    </w:p>
    <w:p w14:paraId="03651CCE" w14:textId="6AEEFBC0" w:rsidR="002A32BA" w:rsidRDefault="00FA58E1">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Revisión de la literatura </w:t>
      </w:r>
    </w:p>
    <w:p w14:paraId="026E3ABB" w14:textId="77777777" w:rsidR="00FC40EF" w:rsidRDefault="00FC40EF">
      <w:pPr>
        <w:pBdr>
          <w:top w:val="nil"/>
          <w:left w:val="nil"/>
          <w:bottom w:val="nil"/>
          <w:right w:val="nil"/>
          <w:between w:val="nil"/>
        </w:pBdr>
        <w:jc w:val="both"/>
        <w:rPr>
          <w:rFonts w:ascii="Roboto" w:eastAsia="Roboto" w:hAnsi="Roboto" w:cs="Roboto"/>
          <w:color w:val="000000"/>
          <w:sz w:val="20"/>
          <w:szCs w:val="20"/>
        </w:rPr>
      </w:pPr>
    </w:p>
    <w:p w14:paraId="1DA58ED9" w14:textId="02B05C85" w:rsidR="00FC40EF" w:rsidRDefault="00FC40EF">
      <w:pPr>
        <w:pBdr>
          <w:top w:val="nil"/>
          <w:left w:val="nil"/>
          <w:bottom w:val="nil"/>
          <w:right w:val="nil"/>
          <w:between w:val="nil"/>
        </w:pBdr>
        <w:jc w:val="both"/>
        <w:rPr>
          <w:rFonts w:ascii="Roboto" w:eastAsia="Roboto" w:hAnsi="Roboto" w:cs="Roboto"/>
          <w:color w:val="000000"/>
          <w:sz w:val="20"/>
          <w:szCs w:val="20"/>
        </w:rPr>
      </w:pPr>
      <w:r w:rsidRPr="00FC40EF">
        <w:rPr>
          <w:rFonts w:ascii="Roboto" w:eastAsia="Roboto" w:hAnsi="Roboto" w:cs="Roboto"/>
          <w:color w:val="000000"/>
          <w:sz w:val="20"/>
          <w:szCs w:val="20"/>
        </w:rPr>
        <w:t xml:space="preserve">La literatura reciente destaca que el sector turístico enfrenta una creciente presión por incorporar prácticas sostenibles como respuesta a un entorno dinámico y competitivo. En este contexto, la proactividad ambiental se posiciona como una herramienta estratégica que permite a las organizaciones no solo proteger el entorno, sino también generar ventajas competitivas. Sin embargo, los estudios sobre </w:t>
      </w:r>
      <w:r>
        <w:rPr>
          <w:rFonts w:ascii="Roboto" w:eastAsia="Roboto" w:hAnsi="Roboto" w:cs="Roboto"/>
          <w:color w:val="000000"/>
          <w:sz w:val="20"/>
          <w:szCs w:val="20"/>
        </w:rPr>
        <w:t xml:space="preserve">la </w:t>
      </w:r>
      <w:r w:rsidRPr="00FC40EF">
        <w:rPr>
          <w:rFonts w:ascii="Roboto" w:eastAsia="Roboto" w:hAnsi="Roboto" w:cs="Roboto"/>
          <w:color w:val="000000"/>
          <w:sz w:val="20"/>
          <w:szCs w:val="20"/>
        </w:rPr>
        <w:t>proactividad ambiental han sido limitados y se han concentrado</w:t>
      </w:r>
      <w:r w:rsidRPr="00233888">
        <w:rPr>
          <w:rFonts w:ascii="Roboto" w:eastAsia="Roboto" w:hAnsi="Roboto" w:cs="Roboto"/>
          <w:color w:val="000000"/>
          <w:sz w:val="20"/>
          <w:szCs w:val="20"/>
        </w:rPr>
        <w:t xml:space="preserve"> principalmente en el sector industrial, dejando al sector turístico relativamente subexplorado</w:t>
      </w:r>
      <w:r w:rsidR="00233888">
        <w:rPr>
          <w:rFonts w:ascii="Roboto" w:eastAsia="Roboto" w:hAnsi="Roboto" w:cs="Roboto"/>
          <w:color w:val="000000"/>
          <w:sz w:val="20"/>
          <w:szCs w:val="20"/>
        </w:rPr>
        <w:t xml:space="preserve"> (</w:t>
      </w:r>
      <w:r w:rsidR="00233888" w:rsidRPr="00233888">
        <w:rPr>
          <w:rFonts w:ascii="Roboto" w:eastAsia="Roboto" w:hAnsi="Roboto" w:cs="Roboto"/>
          <w:color w:val="000000"/>
          <w:sz w:val="20"/>
          <w:szCs w:val="20"/>
        </w:rPr>
        <w:t>Bianco et al., 2023; Chen et al., 2014; Garcés-Ayerbe &amp; Cañón-de-Francia, 2017</w:t>
      </w:r>
      <w:r w:rsidR="00233888">
        <w:rPr>
          <w:rFonts w:ascii="Roboto" w:eastAsia="Roboto" w:hAnsi="Roboto" w:cs="Roboto"/>
          <w:color w:val="000000"/>
          <w:sz w:val="20"/>
          <w:szCs w:val="20"/>
        </w:rPr>
        <w:t>)</w:t>
      </w:r>
      <w:r w:rsidR="0013172B">
        <w:rPr>
          <w:rFonts w:ascii="Roboto" w:eastAsia="Roboto" w:hAnsi="Roboto" w:cs="Roboto"/>
          <w:color w:val="000000"/>
          <w:sz w:val="20"/>
          <w:szCs w:val="20"/>
        </w:rPr>
        <w:t>.</w:t>
      </w:r>
      <w:r w:rsidR="00233888">
        <w:rPr>
          <w:rFonts w:ascii="Roboto" w:eastAsia="Roboto" w:hAnsi="Roboto" w:cs="Roboto"/>
          <w:color w:val="000000"/>
          <w:sz w:val="20"/>
          <w:szCs w:val="20"/>
        </w:rPr>
        <w:t xml:space="preserve"> </w:t>
      </w:r>
      <w:r w:rsidRPr="00233888">
        <w:rPr>
          <w:rFonts w:ascii="Roboto" w:eastAsia="Roboto" w:hAnsi="Roboto" w:cs="Roboto"/>
          <w:color w:val="000000"/>
          <w:sz w:val="20"/>
          <w:szCs w:val="20"/>
        </w:rPr>
        <w:t>Investigaciones previas han identificado como antecedentes relevantes el aprendizaje organizacional, la innovación, la visión estratégica y la integración de stakeholders, aunque aún no existe consenso sobre sus efectos ni sobre la rentabilidad de las estrategias ambientales, lo que ha generado resultados contradictorios en la literatura </w:t>
      </w:r>
      <w:r w:rsidR="003C382F" w:rsidRPr="003C382F">
        <w:rPr>
          <w:rFonts w:ascii="Roboto" w:eastAsia="Roboto" w:hAnsi="Roboto" w:cs="Roboto"/>
          <w:color w:val="000000"/>
          <w:sz w:val="20"/>
          <w:szCs w:val="20"/>
        </w:rPr>
        <w:t>(Aragón-Correa et al., 2015; Pereira-Moliner et al., 2015)</w:t>
      </w:r>
      <w:r w:rsidRPr="00233888">
        <w:rPr>
          <w:rFonts w:ascii="Roboto" w:eastAsia="Roboto" w:hAnsi="Roboto" w:cs="Roboto"/>
          <w:color w:val="000000"/>
          <w:sz w:val="20"/>
          <w:szCs w:val="20"/>
        </w:rPr>
        <w:t>.</w:t>
      </w:r>
    </w:p>
    <w:p w14:paraId="2C3CD538" w14:textId="77777777" w:rsidR="00264731" w:rsidRDefault="00264731">
      <w:pPr>
        <w:pBdr>
          <w:top w:val="nil"/>
          <w:left w:val="nil"/>
          <w:bottom w:val="nil"/>
          <w:right w:val="nil"/>
          <w:between w:val="nil"/>
        </w:pBdr>
        <w:jc w:val="both"/>
        <w:rPr>
          <w:rFonts w:ascii="Roboto" w:eastAsia="Roboto" w:hAnsi="Roboto" w:cs="Roboto"/>
          <w:color w:val="000000"/>
          <w:sz w:val="20"/>
          <w:szCs w:val="20"/>
        </w:rPr>
      </w:pPr>
    </w:p>
    <w:p w14:paraId="6206D1D7" w14:textId="635ED3B6" w:rsidR="00264731" w:rsidRDefault="00264731">
      <w:pPr>
        <w:pBdr>
          <w:top w:val="nil"/>
          <w:left w:val="nil"/>
          <w:bottom w:val="nil"/>
          <w:right w:val="nil"/>
          <w:between w:val="nil"/>
        </w:pBdr>
        <w:jc w:val="both"/>
        <w:rPr>
          <w:rFonts w:ascii="Roboto" w:eastAsia="Roboto" w:hAnsi="Roboto" w:cs="Roboto"/>
          <w:color w:val="000000"/>
          <w:sz w:val="20"/>
          <w:szCs w:val="20"/>
        </w:rPr>
      </w:pPr>
      <w:r w:rsidRPr="00264731">
        <w:rPr>
          <w:rFonts w:ascii="Roboto" w:eastAsia="Roboto" w:hAnsi="Roboto" w:cs="Roboto"/>
          <w:color w:val="000000"/>
          <w:sz w:val="20"/>
          <w:szCs w:val="20"/>
        </w:rPr>
        <w:t>Asimismo, los estudios han abordado de manera fragmentada la relación entre capacidades organizacionales, proactividad ambiental y ventajas competitivas, evidenciando una brecha en la comprensión integral de estos elementos</w:t>
      </w:r>
      <w:r w:rsidR="00DF1C47">
        <w:rPr>
          <w:rFonts w:ascii="Roboto" w:eastAsia="Roboto" w:hAnsi="Roboto" w:cs="Roboto"/>
          <w:color w:val="000000"/>
          <w:sz w:val="20"/>
          <w:szCs w:val="20"/>
        </w:rPr>
        <w:t xml:space="preserve"> </w:t>
      </w:r>
      <w:r w:rsidR="00DF1C47" w:rsidRPr="00DF1C47">
        <w:rPr>
          <w:rFonts w:ascii="Roboto" w:eastAsia="Roboto" w:hAnsi="Roboto" w:cs="Roboto"/>
          <w:color w:val="000000"/>
          <w:sz w:val="20"/>
          <w:szCs w:val="20"/>
        </w:rPr>
        <w:t>(López-Gamero &amp; Molina-Azorín, 2016).</w:t>
      </w:r>
      <w:r w:rsidR="00DF1C47">
        <w:rPr>
          <w:rFonts w:ascii="Roboto" w:eastAsia="Roboto" w:hAnsi="Roboto" w:cs="Roboto"/>
          <w:color w:val="000000"/>
          <w:sz w:val="20"/>
          <w:szCs w:val="20"/>
        </w:rPr>
        <w:t xml:space="preserve"> </w:t>
      </w:r>
      <w:r w:rsidRPr="00264731">
        <w:rPr>
          <w:rFonts w:ascii="Roboto" w:eastAsia="Roboto" w:hAnsi="Roboto" w:cs="Roboto"/>
          <w:color w:val="000000"/>
          <w:sz w:val="20"/>
          <w:szCs w:val="20"/>
        </w:rPr>
        <w:t xml:space="preserve">En particular, existe escasa evidencia empírica sobre el papel mediador de la proactividad ambiental entre variables como la innovación, y su impacto en la competitividad en costos y diferenciación, especialmente en el sector hotelero de economías en desarrollo. </w:t>
      </w:r>
    </w:p>
    <w:p w14:paraId="1A58949B" w14:textId="77777777" w:rsidR="00264731" w:rsidRDefault="00264731">
      <w:pPr>
        <w:pBdr>
          <w:top w:val="nil"/>
          <w:left w:val="nil"/>
          <w:bottom w:val="nil"/>
          <w:right w:val="nil"/>
          <w:between w:val="nil"/>
        </w:pBdr>
        <w:jc w:val="both"/>
        <w:rPr>
          <w:rFonts w:ascii="Roboto" w:eastAsia="Roboto" w:hAnsi="Roboto" w:cs="Roboto"/>
          <w:color w:val="000000"/>
          <w:sz w:val="20"/>
          <w:szCs w:val="20"/>
        </w:rPr>
      </w:pPr>
    </w:p>
    <w:p w14:paraId="2765B25F" w14:textId="545C05AC" w:rsidR="00264731" w:rsidRDefault="00264731">
      <w:pPr>
        <w:pBdr>
          <w:top w:val="nil"/>
          <w:left w:val="nil"/>
          <w:bottom w:val="nil"/>
          <w:right w:val="nil"/>
          <w:between w:val="nil"/>
        </w:pBdr>
        <w:jc w:val="both"/>
        <w:rPr>
          <w:rFonts w:ascii="Roboto" w:eastAsia="Roboto" w:hAnsi="Roboto" w:cs="Roboto"/>
          <w:color w:val="000000"/>
          <w:sz w:val="20"/>
          <w:szCs w:val="20"/>
        </w:rPr>
      </w:pPr>
      <w:r w:rsidRPr="00264731">
        <w:rPr>
          <w:rFonts w:ascii="Roboto" w:eastAsia="Roboto" w:hAnsi="Roboto" w:cs="Roboto"/>
          <w:color w:val="000000"/>
          <w:sz w:val="20"/>
          <w:szCs w:val="20"/>
        </w:rPr>
        <w:t>Ante ello, investigaciones recientes proponen enfoques integradores que permiten analizar de forma conjunta estas relaciones, destacando la importancia de la sostenibilidad como un factor clave para la competitividad</w:t>
      </w:r>
      <w:r w:rsidR="00A96777">
        <w:rPr>
          <w:rFonts w:ascii="Roboto" w:eastAsia="Roboto" w:hAnsi="Roboto" w:cs="Roboto"/>
          <w:color w:val="000000"/>
          <w:sz w:val="20"/>
          <w:szCs w:val="20"/>
        </w:rPr>
        <w:t xml:space="preserve"> </w:t>
      </w:r>
      <w:r w:rsidR="00A96777" w:rsidRPr="00A96777">
        <w:rPr>
          <w:rFonts w:ascii="Roboto" w:eastAsia="Roboto" w:hAnsi="Roboto" w:cs="Roboto"/>
          <w:color w:val="000000"/>
          <w:sz w:val="20"/>
          <w:szCs w:val="20"/>
        </w:rPr>
        <w:t>(López‐Gamero et al., 2023)</w:t>
      </w:r>
      <w:r w:rsidRPr="00264731">
        <w:rPr>
          <w:rFonts w:ascii="Roboto" w:eastAsia="Roboto" w:hAnsi="Roboto" w:cs="Roboto"/>
          <w:color w:val="000000"/>
          <w:sz w:val="20"/>
          <w:szCs w:val="20"/>
        </w:rPr>
        <w:t xml:space="preserve">. Este </w:t>
      </w:r>
      <w:r w:rsidRPr="00264731">
        <w:rPr>
          <w:rFonts w:ascii="Roboto" w:eastAsia="Roboto" w:hAnsi="Roboto" w:cs="Roboto"/>
          <w:color w:val="000000"/>
          <w:sz w:val="20"/>
          <w:szCs w:val="20"/>
        </w:rPr>
        <w:t>enfoque resulta especialmente relevante en contextos como el de Veracruz, donde el turismo tiene un peso significativo y la adopción de prácticas sostenibles representa tanto un reto como una oportunidad estratégica para las empresas del sector</w:t>
      </w:r>
      <w:r w:rsidR="00813E7C">
        <w:rPr>
          <w:rFonts w:ascii="Roboto" w:eastAsia="Roboto" w:hAnsi="Roboto" w:cs="Roboto"/>
          <w:color w:val="000000"/>
          <w:sz w:val="20"/>
          <w:szCs w:val="20"/>
        </w:rPr>
        <w:t xml:space="preserve">. </w:t>
      </w:r>
    </w:p>
    <w:p w14:paraId="3E217F2D" w14:textId="77777777" w:rsidR="002A32BA" w:rsidRDefault="002A32BA">
      <w:pPr>
        <w:pBdr>
          <w:top w:val="nil"/>
          <w:left w:val="nil"/>
          <w:bottom w:val="nil"/>
          <w:right w:val="nil"/>
          <w:between w:val="nil"/>
        </w:pBdr>
        <w:jc w:val="both"/>
        <w:rPr>
          <w:rFonts w:ascii="Roboto" w:eastAsia="Roboto" w:hAnsi="Roboto" w:cs="Roboto"/>
          <w:color w:val="000000"/>
          <w:sz w:val="20"/>
          <w:szCs w:val="20"/>
        </w:rPr>
      </w:pPr>
    </w:p>
    <w:p w14:paraId="2618C1C8" w14:textId="0404B9E5" w:rsidR="002A32BA" w:rsidRDefault="0013172B">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Métodos </w:t>
      </w:r>
    </w:p>
    <w:p w14:paraId="718C5467" w14:textId="77777777" w:rsidR="0013172B" w:rsidRDefault="0013172B" w:rsidP="009E206B">
      <w:pPr>
        <w:pBdr>
          <w:top w:val="nil"/>
          <w:left w:val="nil"/>
          <w:bottom w:val="nil"/>
          <w:right w:val="nil"/>
          <w:between w:val="nil"/>
        </w:pBdr>
        <w:jc w:val="both"/>
        <w:rPr>
          <w:rFonts w:ascii="Roboto" w:eastAsia="Roboto" w:hAnsi="Roboto" w:cs="Roboto"/>
          <w:color w:val="000000"/>
          <w:sz w:val="20"/>
          <w:szCs w:val="20"/>
        </w:rPr>
      </w:pPr>
      <w:r w:rsidRPr="0013172B">
        <w:rPr>
          <w:rFonts w:ascii="Roboto" w:eastAsia="Roboto" w:hAnsi="Roboto" w:cs="Roboto"/>
          <w:color w:val="000000"/>
          <w:sz w:val="20"/>
          <w:szCs w:val="20"/>
        </w:rPr>
        <w:t>Metodológicamente, se desarrolló un estudio cuantitativo basado en modelos de ecuaciones estructurales utilizando la técnica PLS-SEM. Los datos fueron analizados mediante el software SmartPLS, empleando bootstrap con 500 submuestras y criterios de significancia estadística establecidos en la literatura .</w:t>
      </w:r>
    </w:p>
    <w:p w14:paraId="40D0E354" w14:textId="77777777" w:rsidR="009E206B" w:rsidRDefault="009E206B" w:rsidP="009E206B">
      <w:pPr>
        <w:pBdr>
          <w:top w:val="nil"/>
          <w:left w:val="nil"/>
          <w:bottom w:val="nil"/>
          <w:right w:val="nil"/>
          <w:between w:val="nil"/>
        </w:pBdr>
        <w:jc w:val="both"/>
        <w:rPr>
          <w:rFonts w:ascii="Roboto" w:eastAsia="Roboto" w:hAnsi="Roboto" w:cs="Roboto"/>
          <w:color w:val="000000"/>
          <w:sz w:val="20"/>
          <w:szCs w:val="20"/>
        </w:rPr>
      </w:pPr>
    </w:p>
    <w:p w14:paraId="2E5A8B8B" w14:textId="18DCEAE4" w:rsidR="009E206B" w:rsidRDefault="009E206B" w:rsidP="009E206B">
      <w:pPr>
        <w:pBdr>
          <w:top w:val="nil"/>
          <w:left w:val="nil"/>
          <w:bottom w:val="nil"/>
          <w:right w:val="nil"/>
          <w:between w:val="nil"/>
        </w:pBdr>
        <w:jc w:val="both"/>
        <w:rPr>
          <w:rFonts w:ascii="Roboto" w:eastAsia="Roboto" w:hAnsi="Roboto" w:cs="Roboto"/>
          <w:color w:val="000000"/>
          <w:sz w:val="20"/>
          <w:szCs w:val="20"/>
        </w:rPr>
      </w:pPr>
      <w:r w:rsidRPr="009E206B">
        <w:rPr>
          <w:rFonts w:ascii="Roboto" w:eastAsia="Roboto" w:hAnsi="Roboto" w:cs="Roboto"/>
          <w:color w:val="000000"/>
          <w:sz w:val="20"/>
          <w:szCs w:val="20"/>
        </w:rPr>
        <w:t xml:space="preserve">La investigación es de tipo transversal y utilizó un muestreo estratificado, con el fin de garantizar la representatividad y confiabilidad de los resultados. La población estuvo conformada por hoteles del estado de Veracruz clasificados de una a cinco estrellas, excluyendo aquellos sin clasificación debido a las limitaciones que enfrentan para implementar estrategias de proactividad ambiental. La recolección de datos se realizó mediante un cuestionario en línea autoadministrado, dirigido a gerentes, subgerentes o responsables ambientales de los hoteles, durante un periodo de </w:t>
      </w:r>
      <w:r>
        <w:rPr>
          <w:rFonts w:ascii="Roboto" w:eastAsia="Roboto" w:hAnsi="Roboto" w:cs="Roboto"/>
          <w:color w:val="000000"/>
          <w:sz w:val="20"/>
          <w:szCs w:val="20"/>
        </w:rPr>
        <w:t>ocho</w:t>
      </w:r>
      <w:r w:rsidRPr="009E206B">
        <w:rPr>
          <w:rFonts w:ascii="Roboto" w:eastAsia="Roboto" w:hAnsi="Roboto" w:cs="Roboto"/>
          <w:color w:val="000000"/>
          <w:sz w:val="20"/>
          <w:szCs w:val="20"/>
        </w:rPr>
        <w:t xml:space="preserve"> meses. El instrumento fue previamente validado mediante revisión de expertos y una prueba piloto con directivos del sector, lo que permitió ajustar su contenido al contexto hotelero de la región. </w:t>
      </w:r>
    </w:p>
    <w:p w14:paraId="2F8EE10A" w14:textId="77777777" w:rsidR="0013172B" w:rsidRPr="0013172B" w:rsidRDefault="0013172B" w:rsidP="0013172B">
      <w:pPr>
        <w:pStyle w:val="NormalWeb"/>
        <w:jc w:val="both"/>
        <w:rPr>
          <w:rFonts w:ascii="Roboto" w:eastAsia="Roboto" w:hAnsi="Roboto" w:cs="Roboto"/>
          <w:color w:val="000000"/>
          <w:sz w:val="20"/>
          <w:szCs w:val="20"/>
        </w:rPr>
      </w:pPr>
      <w:r w:rsidRPr="0013172B">
        <w:rPr>
          <w:rFonts w:ascii="Roboto" w:eastAsia="Roboto" w:hAnsi="Roboto" w:cs="Roboto"/>
          <w:color w:val="000000"/>
          <w:sz w:val="20"/>
          <w:szCs w:val="20"/>
        </w:rPr>
        <w:t>Los resultados evidencian que las capacidades organizacionales tienen un efecto significativo sobre la proactividad ambiental, explicando aproximadamente el 76.5% de su varianza. Asimismo, se confirma que esta capacidad dinámica influye positivamente en la ventaja competitiva, tanto en costos como en diferenciación, explicando el 46.4% y 45.0% respectivamente .</w:t>
      </w:r>
    </w:p>
    <w:p w14:paraId="175C0C96" w14:textId="267C8DF9" w:rsidR="0013172B" w:rsidRPr="0013172B" w:rsidRDefault="0013172B" w:rsidP="0013172B">
      <w:pPr>
        <w:pStyle w:val="NormalWeb"/>
        <w:jc w:val="both"/>
        <w:rPr>
          <w:rFonts w:ascii="Roboto" w:eastAsia="Roboto" w:hAnsi="Roboto" w:cs="Roboto"/>
          <w:color w:val="000000"/>
          <w:sz w:val="20"/>
          <w:szCs w:val="20"/>
        </w:rPr>
      </w:pPr>
      <w:r w:rsidRPr="0013172B">
        <w:rPr>
          <w:rFonts w:ascii="Roboto" w:eastAsia="Roboto" w:hAnsi="Roboto" w:cs="Roboto"/>
          <w:color w:val="000000"/>
          <w:sz w:val="20"/>
          <w:szCs w:val="20"/>
        </w:rPr>
        <w:t xml:space="preserve">Estos hallazgos refuerzan la importancia de integrar estrategias ambientales dentro de la gestión empresarial, no solo como un mecanismo de cumplimiento normativo, sino como una fuente estratégica de valor. Se concluye que </w:t>
      </w:r>
      <w:r w:rsidR="0074004B">
        <w:rPr>
          <w:rFonts w:ascii="Roboto" w:eastAsia="Roboto" w:hAnsi="Roboto" w:cs="Roboto"/>
          <w:color w:val="000000"/>
          <w:sz w:val="20"/>
          <w:szCs w:val="20"/>
        </w:rPr>
        <w:t xml:space="preserve">las capacidades organizacionales orientadas </w:t>
      </w:r>
      <w:r w:rsidRPr="0013172B">
        <w:rPr>
          <w:rFonts w:ascii="Roboto" w:eastAsia="Roboto" w:hAnsi="Roboto" w:cs="Roboto"/>
          <w:color w:val="000000"/>
          <w:sz w:val="20"/>
          <w:szCs w:val="20"/>
        </w:rPr>
        <w:t>a la sostenibilidad permiten a las organizaciones adaptarse a entornos cambiantes y generar ventajas competitivas sostenibles.</w:t>
      </w:r>
    </w:p>
    <w:p w14:paraId="6A0851FF" w14:textId="0661FEB0" w:rsidR="00F0561A" w:rsidRPr="003003E7" w:rsidRDefault="0013172B" w:rsidP="003003E7">
      <w:pPr>
        <w:pStyle w:val="NormalWeb"/>
        <w:jc w:val="both"/>
        <w:rPr>
          <w:rFonts w:ascii="Roboto" w:eastAsia="Roboto" w:hAnsi="Roboto" w:cs="Roboto"/>
          <w:color w:val="000000"/>
          <w:sz w:val="20"/>
          <w:szCs w:val="20"/>
        </w:rPr>
      </w:pPr>
      <w:r w:rsidRPr="0013172B">
        <w:rPr>
          <w:rFonts w:ascii="Roboto" w:eastAsia="Roboto" w:hAnsi="Roboto" w:cs="Roboto"/>
          <w:color w:val="000000"/>
          <w:sz w:val="20"/>
          <w:szCs w:val="20"/>
        </w:rPr>
        <w:t xml:space="preserve">Finalmente, la investigación contribuye a la literatura al integrar variables antecedentes y consecuentes de la proactividad ambiental en un mismo modelo, aportando </w:t>
      </w:r>
      <w:r w:rsidRPr="0013172B">
        <w:rPr>
          <w:rFonts w:ascii="Roboto" w:eastAsia="Roboto" w:hAnsi="Roboto" w:cs="Roboto"/>
          <w:color w:val="000000"/>
          <w:sz w:val="20"/>
          <w:szCs w:val="20"/>
        </w:rPr>
        <w:lastRenderedPageBreak/>
        <w:t>evidencia empírica en el contexto del sector hotelero mexicano, donde aún existen vacíos significativos en este campo de estudio</w:t>
      </w:r>
      <w:r w:rsidR="009E206B">
        <w:rPr>
          <w:rFonts w:ascii="Roboto" w:eastAsia="Roboto" w:hAnsi="Roboto" w:cs="Roboto"/>
          <w:color w:val="000000"/>
          <w:sz w:val="20"/>
          <w:szCs w:val="20"/>
        </w:rPr>
        <w:t xml:space="preserve">. </w:t>
      </w:r>
    </w:p>
    <w:p w14:paraId="1C6FB199" w14:textId="302950D9" w:rsidR="002A32BA" w:rsidRDefault="00000000">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xml:space="preserve">. </w:t>
      </w:r>
      <w:r w:rsidR="00F0561A">
        <w:rPr>
          <w:rFonts w:ascii="Roboto" w:eastAsia="Roboto" w:hAnsi="Roboto" w:cs="Roboto"/>
          <w:sz w:val="20"/>
          <w:szCs w:val="20"/>
        </w:rPr>
        <w:t xml:space="preserve">Modelo de ecuaciones estructurales </w:t>
      </w:r>
    </w:p>
    <w:p w14:paraId="03FD0AE9" w14:textId="77777777" w:rsidR="002A32BA" w:rsidRDefault="002A32BA">
      <w:pPr>
        <w:pBdr>
          <w:top w:val="nil"/>
          <w:left w:val="nil"/>
          <w:bottom w:val="nil"/>
          <w:right w:val="nil"/>
          <w:between w:val="nil"/>
        </w:pBdr>
        <w:jc w:val="both"/>
        <w:rPr>
          <w:rFonts w:ascii="Roboto" w:eastAsia="Roboto" w:hAnsi="Roboto" w:cs="Roboto"/>
          <w:color w:val="000000"/>
          <w:sz w:val="20"/>
          <w:szCs w:val="20"/>
        </w:rPr>
      </w:pPr>
    </w:p>
    <w:p w14:paraId="3B38DD11" w14:textId="37C5D2C3" w:rsidR="002A32BA" w:rsidRDefault="00AF2DC4">
      <w:pPr>
        <w:jc w:val="both"/>
        <w:rPr>
          <w:rFonts w:ascii="Roboto" w:eastAsia="Roboto" w:hAnsi="Roboto" w:cs="Roboto"/>
          <w:sz w:val="20"/>
          <w:szCs w:val="20"/>
        </w:rPr>
      </w:pPr>
      <w:r>
        <w:rPr>
          <w:noProof/>
          <w:lang w:val="es-ES_tradnl"/>
        </w:rPr>
        <w:drawing>
          <wp:inline distT="0" distB="0" distL="0" distR="0" wp14:anchorId="3B334E5E" wp14:editId="6A5B914C">
            <wp:extent cx="3315694" cy="198749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MODELO COMPLET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36263" cy="1999820"/>
                    </a:xfrm>
                    <a:prstGeom prst="rect">
                      <a:avLst/>
                    </a:prstGeom>
                  </pic:spPr>
                </pic:pic>
              </a:graphicData>
            </a:graphic>
          </wp:inline>
        </w:drawing>
      </w:r>
    </w:p>
    <w:p w14:paraId="2F57B0D5" w14:textId="77777777" w:rsidR="00CB0555" w:rsidRDefault="00CB0555">
      <w:pPr>
        <w:jc w:val="both"/>
        <w:rPr>
          <w:rFonts w:ascii="Roboto" w:eastAsia="Roboto" w:hAnsi="Roboto" w:cs="Roboto"/>
          <w:sz w:val="20"/>
          <w:szCs w:val="20"/>
        </w:rPr>
      </w:pPr>
    </w:p>
    <w:p w14:paraId="5774419F" w14:textId="77777777" w:rsidR="00CB0555" w:rsidRDefault="00CB0555">
      <w:pPr>
        <w:jc w:val="both"/>
        <w:rPr>
          <w:rFonts w:ascii="Roboto" w:eastAsia="Roboto" w:hAnsi="Roboto" w:cs="Roboto"/>
          <w:sz w:val="20"/>
          <w:szCs w:val="20"/>
        </w:rPr>
      </w:pPr>
    </w:p>
    <w:p w14:paraId="0F85B53D" w14:textId="1D0017EF" w:rsidR="002A32BA" w:rsidRDefault="00000000">
      <w:pPr>
        <w:jc w:val="both"/>
        <w:rPr>
          <w:rFonts w:ascii="Roboto" w:eastAsia="Roboto" w:hAnsi="Roboto" w:cs="Roboto"/>
          <w:b/>
          <w:bCs/>
          <w:sz w:val="20"/>
          <w:szCs w:val="20"/>
        </w:rPr>
      </w:pPr>
      <w:r>
        <w:rPr>
          <w:rFonts w:ascii="Roboto" w:eastAsia="Roboto" w:hAnsi="Roboto" w:cs="Roboto"/>
          <w:b/>
          <w:bCs/>
          <w:sz w:val="20"/>
          <w:szCs w:val="20"/>
        </w:rPr>
        <w:t xml:space="preserve">REFERENCIAS </w:t>
      </w:r>
    </w:p>
    <w:p w14:paraId="5C45A654" w14:textId="77777777" w:rsidR="001B0BFA" w:rsidRDefault="001B0BFA">
      <w:pPr>
        <w:rPr>
          <w:rFonts w:ascii="Roboto" w:eastAsia="Roboto" w:hAnsi="Roboto" w:cs="Roboto"/>
          <w:sz w:val="20"/>
          <w:szCs w:val="20"/>
        </w:rPr>
      </w:pPr>
    </w:p>
    <w:p w14:paraId="7B81077E" w14:textId="77777777" w:rsidR="00CB77B5" w:rsidRDefault="00CB77B5" w:rsidP="0009636D">
      <w:pPr>
        <w:jc w:val="both"/>
        <w:rPr>
          <w:rFonts w:ascii="Roboto" w:eastAsia="Roboto" w:hAnsi="Roboto" w:cs="Roboto"/>
          <w:sz w:val="20"/>
          <w:szCs w:val="20"/>
        </w:rPr>
      </w:pPr>
      <w:r w:rsidRPr="00661FD4">
        <w:rPr>
          <w:rFonts w:ascii="Roboto" w:eastAsia="Roboto" w:hAnsi="Roboto" w:cs="Roboto"/>
          <w:sz w:val="20"/>
          <w:szCs w:val="20"/>
        </w:rPr>
        <w:t xml:space="preserve">Aragón-Correa, J. A., Martín-Tapia, I., &amp; de la Torre-Ruiz, J. (2015). Sustainability issues and hospitality and tourism firms’ strategies. . International Journal of Contemporary Hospitality Management, 27(3), 498–522. </w:t>
      </w:r>
      <w:hyperlink r:id="rId11" w:history="1">
        <w:r w:rsidRPr="00661FD4">
          <w:rPr>
            <w:rFonts w:ascii="Roboto" w:eastAsia="Roboto" w:hAnsi="Roboto" w:cs="Roboto"/>
            <w:sz w:val="20"/>
            <w:szCs w:val="20"/>
          </w:rPr>
          <w:t>https://doi.org/10.1108/IJCHM-11-2014-0564</w:t>
        </w:r>
      </w:hyperlink>
      <w:r w:rsidRPr="00661FD4">
        <w:rPr>
          <w:rFonts w:ascii="Roboto" w:eastAsia="Roboto" w:hAnsi="Roboto" w:cs="Roboto"/>
          <w:sz w:val="20"/>
          <w:szCs w:val="20"/>
        </w:rPr>
        <w:t> </w:t>
      </w:r>
    </w:p>
    <w:p w14:paraId="20095CDE" w14:textId="77777777" w:rsidR="00CB77B5" w:rsidRDefault="00CB77B5" w:rsidP="0009636D">
      <w:pPr>
        <w:jc w:val="both"/>
        <w:rPr>
          <w:rFonts w:ascii="Roboto" w:eastAsia="Roboto" w:hAnsi="Roboto" w:cs="Roboto"/>
          <w:sz w:val="20"/>
          <w:szCs w:val="20"/>
        </w:rPr>
      </w:pPr>
      <w:r w:rsidRPr="001B0BFA">
        <w:rPr>
          <w:rFonts w:ascii="Roboto" w:eastAsia="Roboto" w:hAnsi="Roboto" w:cs="Roboto"/>
          <w:sz w:val="20"/>
          <w:szCs w:val="20"/>
        </w:rPr>
        <w:t xml:space="preserve">Bianco, S., Bernard, S., &amp; Singal, M. (2023). The impact of sustainability certifications on performance and competitive action in hotels. International Journal of Hospitality Management, 108, 103379. </w:t>
      </w:r>
      <w:hyperlink r:id="rId12" w:history="1">
        <w:r w:rsidRPr="001B0BFA">
          <w:rPr>
            <w:rFonts w:ascii="Roboto" w:eastAsia="Roboto" w:hAnsi="Roboto" w:cs="Roboto"/>
            <w:sz w:val="20"/>
            <w:szCs w:val="20"/>
          </w:rPr>
          <w:t>https://doi.org/10.1016/j.ijhm.2022.103379</w:t>
        </w:r>
      </w:hyperlink>
      <w:r w:rsidRPr="001B0BFA">
        <w:rPr>
          <w:rFonts w:ascii="Roboto" w:eastAsia="Roboto" w:hAnsi="Roboto" w:cs="Roboto"/>
          <w:sz w:val="20"/>
          <w:szCs w:val="20"/>
        </w:rPr>
        <w:t> </w:t>
      </w:r>
    </w:p>
    <w:p w14:paraId="223C804D" w14:textId="77777777" w:rsidR="00CB77B5" w:rsidRDefault="00CB77B5" w:rsidP="00D87CAB">
      <w:pPr>
        <w:jc w:val="both"/>
        <w:rPr>
          <w:rFonts w:ascii="Roboto" w:eastAsia="Roboto" w:hAnsi="Roboto" w:cs="Roboto"/>
          <w:sz w:val="20"/>
          <w:szCs w:val="20"/>
        </w:rPr>
      </w:pPr>
      <w:r w:rsidRPr="0009636D">
        <w:rPr>
          <w:rFonts w:ascii="Roboto" w:eastAsia="Roboto" w:hAnsi="Roboto" w:cs="Roboto"/>
          <w:sz w:val="20"/>
          <w:szCs w:val="20"/>
        </w:rPr>
        <w:t>Chen, T. T., Honda, T., Hosoda, E., &amp; Hayase, K. (2014). The relationship between environmental management and economic performance: A new model with accumulated earnings ratio. Journal of Human Resource and Sustainability Studies, 2014. </w:t>
      </w:r>
    </w:p>
    <w:p w14:paraId="0612C0AD" w14:textId="77777777" w:rsidR="00CB77B5" w:rsidRDefault="00CB77B5" w:rsidP="00D87CAB">
      <w:pPr>
        <w:jc w:val="both"/>
        <w:rPr>
          <w:rFonts w:ascii="Roboto" w:eastAsia="Roboto" w:hAnsi="Roboto" w:cs="Roboto"/>
          <w:sz w:val="20"/>
          <w:szCs w:val="20"/>
        </w:rPr>
      </w:pPr>
      <w:r w:rsidRPr="00D87CAB">
        <w:rPr>
          <w:rFonts w:ascii="Roboto" w:eastAsia="Roboto" w:hAnsi="Roboto" w:cs="Roboto"/>
          <w:sz w:val="20"/>
          <w:szCs w:val="20"/>
        </w:rPr>
        <w:t xml:space="preserve">Garcés-Ayerbe, C., &amp; Cañón-de-Francia, J. (2017). The Relevance of Complementarities in the Study of the Economic Consequences of Environmental Proactivity: Analysis of the Moderating Effect of Innovation Efforts [Article]. Ecological Economics, 142, 21-30. </w:t>
      </w:r>
      <w:hyperlink r:id="rId13" w:history="1">
        <w:r w:rsidRPr="00D87CAB">
          <w:rPr>
            <w:rFonts w:ascii="Roboto" w:eastAsia="Roboto" w:hAnsi="Roboto" w:cs="Roboto"/>
            <w:sz w:val="20"/>
            <w:szCs w:val="20"/>
          </w:rPr>
          <w:t>https://doi.org/10.101</w:t>
        </w:r>
        <w:r w:rsidRPr="00D87CAB">
          <w:rPr>
            <w:rFonts w:ascii="Roboto" w:eastAsia="Roboto" w:hAnsi="Roboto" w:cs="Roboto"/>
            <w:sz w:val="20"/>
            <w:szCs w:val="20"/>
          </w:rPr>
          <w:t>6</w:t>
        </w:r>
        <w:r w:rsidRPr="00D87CAB">
          <w:rPr>
            <w:rFonts w:ascii="Roboto" w:eastAsia="Roboto" w:hAnsi="Roboto" w:cs="Roboto"/>
            <w:sz w:val="20"/>
            <w:szCs w:val="20"/>
          </w:rPr>
          <w:t>/j.ecolecon.2017.06.022</w:t>
        </w:r>
      </w:hyperlink>
      <w:r w:rsidRPr="00D87CAB">
        <w:rPr>
          <w:rFonts w:ascii="Roboto" w:eastAsia="Roboto" w:hAnsi="Roboto" w:cs="Roboto"/>
          <w:sz w:val="20"/>
          <w:szCs w:val="20"/>
        </w:rPr>
        <w:t> </w:t>
      </w:r>
    </w:p>
    <w:p w14:paraId="4D4DCC51" w14:textId="669A287C" w:rsidR="00E957A7" w:rsidRPr="00D87CAB" w:rsidRDefault="00E957A7" w:rsidP="00D87CAB">
      <w:pPr>
        <w:jc w:val="both"/>
        <w:rPr>
          <w:rFonts w:ascii="Roboto" w:eastAsia="Roboto" w:hAnsi="Roboto" w:cs="Roboto"/>
          <w:sz w:val="20"/>
          <w:szCs w:val="20"/>
        </w:rPr>
      </w:pPr>
      <w:r w:rsidRPr="005016FB">
        <w:rPr>
          <w:rFonts w:ascii="Roboto" w:eastAsia="Roboto" w:hAnsi="Roboto" w:cs="Roboto"/>
          <w:sz w:val="20"/>
          <w:szCs w:val="20"/>
        </w:rPr>
        <w:t>Lópe</w:t>
      </w:r>
      <w:r>
        <w:rPr>
          <w:rFonts w:ascii="Roboto" w:eastAsia="Roboto" w:hAnsi="Roboto" w:cs="Roboto"/>
          <w:sz w:val="20"/>
          <w:szCs w:val="20"/>
        </w:rPr>
        <w:t>z</w:t>
      </w:r>
      <w:r w:rsidRPr="005016FB">
        <w:rPr>
          <w:rFonts w:ascii="Roboto" w:eastAsia="Roboto" w:hAnsi="Roboto" w:cs="Roboto"/>
          <w:sz w:val="20"/>
          <w:szCs w:val="20"/>
        </w:rPr>
        <w:t xml:space="preserve"> Gamero, M. D., Molina‐Azorín, J. F., Pereira‐Moliner, J., &amp; Pertusa‐Ortega, E. M. (2023). Agility, innovation, environmental management and competitiveness in the hotel industry. Corporate Social Responsibility and Environmental Management, 30(2), 548-562. </w:t>
      </w:r>
      <w:hyperlink r:id="rId14" w:history="1">
        <w:r w:rsidRPr="005016FB">
          <w:rPr>
            <w:rFonts w:ascii="Roboto" w:eastAsia="Roboto" w:hAnsi="Roboto" w:cs="Roboto"/>
            <w:sz w:val="20"/>
            <w:szCs w:val="20"/>
          </w:rPr>
          <w:t>https://doi.org/10.1002/csr.2373</w:t>
        </w:r>
      </w:hyperlink>
      <w:r w:rsidRPr="005016FB">
        <w:rPr>
          <w:rFonts w:ascii="Roboto" w:eastAsia="Roboto" w:hAnsi="Roboto" w:cs="Roboto"/>
          <w:sz w:val="20"/>
          <w:szCs w:val="20"/>
        </w:rPr>
        <w:t> </w:t>
      </w:r>
    </w:p>
    <w:p w14:paraId="187650E4" w14:textId="77777777" w:rsidR="00CB77B5" w:rsidRPr="00E44777" w:rsidRDefault="00CB77B5" w:rsidP="00E44777">
      <w:pPr>
        <w:jc w:val="both"/>
        <w:rPr>
          <w:rFonts w:ascii="Roboto" w:eastAsia="Roboto" w:hAnsi="Roboto" w:cs="Roboto"/>
          <w:sz w:val="20"/>
          <w:szCs w:val="20"/>
        </w:rPr>
      </w:pPr>
      <w:r w:rsidRPr="00E44777">
        <w:rPr>
          <w:rFonts w:ascii="Roboto" w:eastAsia="Roboto" w:hAnsi="Roboto" w:cs="Roboto"/>
          <w:sz w:val="20"/>
          <w:szCs w:val="20"/>
        </w:rPr>
        <w:t xml:space="preserve">López-Gamero, M. D., &amp; Molina-Azorín, J. F. (2016). Environmental Management and Firm Competitiveness: The Joint Analysis of External and Internal Elements. Long Range Planning, 49(6), 746-763. </w:t>
      </w:r>
      <w:hyperlink r:id="rId15" w:history="1">
        <w:r w:rsidRPr="00E44777">
          <w:rPr>
            <w:rFonts w:ascii="Roboto" w:eastAsia="Roboto" w:hAnsi="Roboto" w:cs="Roboto"/>
            <w:sz w:val="20"/>
            <w:szCs w:val="20"/>
          </w:rPr>
          <w:t>https://doi.o</w:t>
        </w:r>
        <w:r w:rsidRPr="00E44777">
          <w:rPr>
            <w:rFonts w:ascii="Roboto" w:eastAsia="Roboto" w:hAnsi="Roboto" w:cs="Roboto"/>
            <w:sz w:val="20"/>
            <w:szCs w:val="20"/>
          </w:rPr>
          <w:t>r</w:t>
        </w:r>
        <w:r w:rsidRPr="00E44777">
          <w:rPr>
            <w:rFonts w:ascii="Roboto" w:eastAsia="Roboto" w:hAnsi="Roboto" w:cs="Roboto"/>
            <w:sz w:val="20"/>
            <w:szCs w:val="20"/>
          </w:rPr>
          <w:t>g/https://doi.org/10.1016/j.lrp.2015.12.002</w:t>
        </w:r>
      </w:hyperlink>
      <w:r w:rsidRPr="00E44777">
        <w:rPr>
          <w:rFonts w:ascii="Roboto" w:eastAsia="Roboto" w:hAnsi="Roboto" w:cs="Roboto"/>
          <w:sz w:val="20"/>
          <w:szCs w:val="20"/>
        </w:rPr>
        <w:t> </w:t>
      </w:r>
    </w:p>
    <w:p w14:paraId="0E09FC78" w14:textId="77777777" w:rsidR="00CB77B5" w:rsidRPr="001519C8" w:rsidRDefault="00CB77B5" w:rsidP="001519C8">
      <w:pPr>
        <w:jc w:val="both"/>
        <w:rPr>
          <w:rFonts w:ascii="Roboto" w:eastAsia="Roboto" w:hAnsi="Roboto" w:cs="Roboto"/>
          <w:sz w:val="20"/>
          <w:szCs w:val="20"/>
        </w:rPr>
      </w:pPr>
      <w:r w:rsidRPr="001519C8">
        <w:rPr>
          <w:rFonts w:ascii="Roboto" w:eastAsia="Roboto" w:hAnsi="Roboto" w:cs="Roboto"/>
          <w:sz w:val="20"/>
          <w:szCs w:val="20"/>
        </w:rPr>
        <w:t xml:space="preserve">Pereira-Moliner, J., Font, X., Molina-Azorin, J. F., Tarí, J., López-Gamero, M. D., &amp; Pertusa-Ortega, E. M. (2015). The Holy Grail: Environmental management, competitive advantage and business performance in the Spanish </w:t>
      </w:r>
      <w:r w:rsidRPr="001519C8">
        <w:rPr>
          <w:rFonts w:ascii="Roboto" w:eastAsia="Roboto" w:hAnsi="Roboto" w:cs="Roboto"/>
          <w:sz w:val="20"/>
          <w:szCs w:val="20"/>
        </w:rPr>
        <w:t xml:space="preserve">hotel industry. . International Journal of Contemporary Hospitality Management, 27(5), 714–738. </w:t>
      </w:r>
      <w:hyperlink r:id="rId16" w:history="1">
        <w:r w:rsidRPr="001519C8">
          <w:rPr>
            <w:rFonts w:ascii="Roboto" w:eastAsia="Roboto" w:hAnsi="Roboto" w:cs="Roboto"/>
            <w:sz w:val="20"/>
            <w:szCs w:val="20"/>
          </w:rPr>
          <w:t>https://doi.org/10.1108/S1569-3732(2011)0000014001</w:t>
        </w:r>
      </w:hyperlink>
      <w:r w:rsidRPr="001519C8">
        <w:rPr>
          <w:rFonts w:ascii="Roboto" w:eastAsia="Roboto" w:hAnsi="Roboto" w:cs="Roboto"/>
          <w:sz w:val="20"/>
          <w:szCs w:val="20"/>
        </w:rPr>
        <w:t> </w:t>
      </w:r>
    </w:p>
    <w:p w14:paraId="5A859CF1" w14:textId="77777777" w:rsidR="002A32BA" w:rsidRDefault="002A32BA">
      <w:pPr>
        <w:jc w:val="both"/>
        <w:rPr>
          <w:rFonts w:ascii="Roboto" w:eastAsia="Roboto" w:hAnsi="Roboto" w:cs="Roboto"/>
          <w:sz w:val="20"/>
          <w:szCs w:val="20"/>
        </w:rPr>
      </w:pPr>
    </w:p>
    <w:p w14:paraId="52E2AC88" w14:textId="77777777" w:rsidR="002A32BA" w:rsidRDefault="002A32BA">
      <w:pPr>
        <w:jc w:val="both"/>
        <w:rPr>
          <w:rFonts w:ascii="Roboto" w:eastAsia="Roboto" w:hAnsi="Roboto" w:cs="Roboto"/>
          <w:sz w:val="20"/>
          <w:szCs w:val="20"/>
        </w:rPr>
      </w:pPr>
    </w:p>
    <w:p w14:paraId="5D01B539" w14:textId="77777777" w:rsidR="002A32BA" w:rsidRDefault="002A32BA">
      <w:pPr>
        <w:jc w:val="both"/>
        <w:rPr>
          <w:rFonts w:ascii="Roboto" w:eastAsia="Roboto" w:hAnsi="Roboto" w:cs="Roboto"/>
          <w:sz w:val="20"/>
          <w:szCs w:val="20"/>
        </w:rPr>
        <w:sectPr w:rsidR="002A32BA">
          <w:type w:val="continuous"/>
          <w:pgSz w:w="11906" w:h="16838"/>
          <w:pgMar w:top="1134" w:right="851" w:bottom="1134" w:left="851" w:header="357" w:footer="720" w:gutter="0"/>
          <w:cols w:num="2" w:space="720" w:equalWidth="0">
            <w:col w:w="4934" w:space="335"/>
            <w:col w:w="4934" w:space="0"/>
          </w:cols>
        </w:sectPr>
      </w:pPr>
    </w:p>
    <w:p w14:paraId="720AC54A" w14:textId="77777777" w:rsidR="002A32BA"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Declaración de originalidad y autorización de publicación</w:t>
      </w:r>
    </w:p>
    <w:p w14:paraId="223F925C" w14:textId="77777777" w:rsidR="002A32BA"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7BDE8B3D" w14:textId="77777777"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2390AFBA" w14:textId="77777777" w:rsidR="002A32B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00B2431F" w14:textId="77777777"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1C5B9DA" w14:textId="77777777" w:rsidR="002A32B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2977C5E0" w14:textId="77777777"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72EEF3F8" w14:textId="77777777" w:rsidR="002A32B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541269E1" w14:textId="77777777"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6174AF15" w14:textId="77777777" w:rsidR="002A32B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546DAA5E" w14:textId="77777777" w:rsidR="002A32B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0E2DCE04" w14:textId="77777777" w:rsidR="002A32B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0E451838" w14:textId="77777777" w:rsidR="002A32BA"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0BBEC8A1" w14:textId="77777777" w:rsidR="002A32B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31238961" w14:textId="77777777"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B5A0D41" w14:textId="77777777" w:rsidR="002A32B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08BB473D" w14:textId="77777777" w:rsidR="002A32B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3A8B3B9" w14:textId="77777777" w:rsidR="002A32BA"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A037B66" w14:textId="77777777" w:rsidR="002A32B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02A1E4EE" w14:textId="77777777"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7D82F04" w14:textId="77777777" w:rsidR="002A32B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5B907AE7" w14:textId="77777777"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0C7E794" w14:textId="1DE93C74" w:rsidR="002A32BA" w:rsidRDefault="00000000">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200BF5AE" w14:textId="78C9942D" w:rsidR="002A32BA" w:rsidRPr="00303474" w:rsidRDefault="00000000" w:rsidP="00187B84">
      <w:pPr>
        <w:pBdr>
          <w:top w:val="nil"/>
          <w:left w:val="nil"/>
          <w:bottom w:val="nil"/>
          <w:right w:val="nil"/>
          <w:between w:val="nil"/>
        </w:pBdr>
        <w:spacing w:before="120" w:after="120"/>
        <w:rPr>
          <w:rFonts w:ascii="Roboto" w:eastAsia="Roboto" w:hAnsi="Roboto" w:cs="Roboto"/>
          <w:b/>
          <w:bCs/>
          <w:color w:val="000000"/>
          <w:sz w:val="20"/>
          <w:szCs w:val="20"/>
        </w:rPr>
      </w:pPr>
      <w:r>
        <w:rPr>
          <w:rFonts w:ascii="Roboto" w:eastAsia="Roboto" w:hAnsi="Roboto" w:cs="Roboto"/>
          <w:b/>
          <w:bCs/>
          <w:sz w:val="20"/>
          <w:szCs w:val="20"/>
        </w:rPr>
        <w:t>Autor responsable:</w:t>
      </w:r>
      <w:r w:rsidR="00187B84">
        <w:rPr>
          <w:rFonts w:ascii="Roboto" w:eastAsia="Roboto" w:hAnsi="Roboto" w:cs="Roboto"/>
          <w:b/>
          <w:bCs/>
          <w:sz w:val="20"/>
          <w:szCs w:val="20"/>
        </w:rPr>
        <w:t xml:space="preserve"> Giselle Rodríguez Rudi </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187B84">
        <w:rPr>
          <w:rFonts w:ascii="Roboto" w:eastAsia="Roboto" w:hAnsi="Roboto" w:cs="Roboto"/>
          <w:b/>
          <w:bCs/>
          <w:sz w:val="20"/>
          <w:szCs w:val="20"/>
        </w:rPr>
        <w:t xml:space="preserve"> Universidad Anáhuac, Veracruz </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187B84">
        <w:rPr>
          <w:rFonts w:ascii="Roboto" w:eastAsia="Roboto" w:hAnsi="Roboto" w:cs="Roboto"/>
          <w:b/>
          <w:bCs/>
          <w:sz w:val="20"/>
          <w:szCs w:val="20"/>
        </w:rPr>
        <w:t xml:space="preserve"> </w:t>
      </w:r>
      <w:r w:rsidR="00187B84" w:rsidRPr="00187B84">
        <w:rPr>
          <w:rFonts w:ascii="Roboto" w:eastAsia="Roboto" w:hAnsi="Roboto" w:cs="Roboto"/>
          <w:b/>
          <w:bCs/>
          <w:sz w:val="20"/>
          <w:szCs w:val="20"/>
        </w:rPr>
        <w:t>Proactividad ambiental como determinante de ventajas competitivas en el sector hotelero de Veracruz</w:t>
      </w:r>
      <w:r w:rsidR="00187B84">
        <w:rPr>
          <w:rFonts w:ascii="Roboto" w:eastAsia="Roboto" w:hAnsi="Roboto" w:cs="Roboto"/>
          <w:b/>
          <w:bCs/>
          <w:sz w:val="20"/>
          <w:szCs w:val="20"/>
        </w:rPr>
        <w:t xml:space="preserve">. </w:t>
      </w:r>
      <w:r w:rsidR="00187B84">
        <w:rPr>
          <w:rFonts w:ascii="Roboto" w:eastAsia="Roboto" w:hAnsi="Roboto" w:cs="Roboto"/>
          <w:b/>
          <w:bCs/>
          <w:color w:val="000000"/>
          <w:sz w:val="20"/>
          <w:szCs w:val="20"/>
        </w:rPr>
        <w:t>Rodríguez-Rudi G.</w:t>
      </w:r>
      <w:r w:rsidR="00187B84" w:rsidRPr="0028462F">
        <w:rPr>
          <w:rFonts w:ascii="Roboto" w:eastAsia="Roboto" w:hAnsi="Roboto" w:cs="Roboto"/>
          <w:b/>
          <w:bCs/>
          <w:color w:val="000000"/>
          <w:sz w:val="20"/>
          <w:szCs w:val="20"/>
        </w:rPr>
        <w:t xml:space="preserve"> </w:t>
      </w:r>
      <w:r w:rsidR="00187B84">
        <w:rPr>
          <w:rFonts w:ascii="Roboto" w:eastAsia="Roboto" w:hAnsi="Roboto" w:cs="Roboto"/>
          <w:b/>
          <w:bCs/>
          <w:color w:val="000000"/>
          <w:sz w:val="20"/>
          <w:szCs w:val="20"/>
        </w:rPr>
        <w:t>Guevara-Otero N.</w:t>
      </w:r>
    </w:p>
    <w:sectPr w:rsidR="002A32BA" w:rsidRPr="00303474">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057518" w14:textId="77777777" w:rsidR="00D4792E" w:rsidRDefault="00D4792E">
      <w:r>
        <w:separator/>
      </w:r>
    </w:p>
  </w:endnote>
  <w:endnote w:type="continuationSeparator" w:id="0">
    <w:p w14:paraId="2E353E25" w14:textId="77777777" w:rsidR="00D4792E" w:rsidRDefault="00D47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BED388ED-64A3-A542-AFB4-F52C10B04657}"/>
    <w:embedBold r:id="rId2" w:fontKey="{6D95FD6A-F2C3-8D4D-84C1-678A5801469F}"/>
    <w:embedItalic r:id="rId3" w:fontKey="{6E2B299F-A25C-EA44-8041-EEBBC6C58AAC}"/>
  </w:font>
  <w:font w:name="Calibri">
    <w:panose1 w:val="020F0502020204030204"/>
    <w:charset w:val="00"/>
    <w:family w:val="swiss"/>
    <w:pitch w:val="variable"/>
    <w:sig w:usb0="E4002EFF" w:usb1="C000247B" w:usb2="00000009" w:usb3="00000000" w:csb0="000001FF" w:csb1="00000000"/>
    <w:embedRegular r:id="rId4" w:fontKey="{07086CCF-BC2D-284C-B518-FE1523ADB40D}"/>
  </w:font>
  <w:font w:name="Georgia">
    <w:panose1 w:val="02040502050405020303"/>
    <w:charset w:val="00"/>
    <w:family w:val="roman"/>
    <w:pitch w:val="variable"/>
    <w:sig w:usb0="00000287" w:usb1="00000000" w:usb2="00000000" w:usb3="00000000" w:csb0="0000009F" w:csb1="00000000"/>
    <w:embedItalic r:id="rId5" w:fontKey="{53DA2D33-3C79-234C-AB24-79BB6E2BF6C2}"/>
  </w:font>
  <w:font w:name="Roboto">
    <w:panose1 w:val="02000000000000000000"/>
    <w:charset w:val="00"/>
    <w:family w:val="auto"/>
    <w:pitch w:val="variable"/>
    <w:sig w:usb0="E0000AFF" w:usb1="5000217F" w:usb2="00000021" w:usb3="00000000" w:csb0="0000019F" w:csb1="00000000"/>
    <w:embedRegular r:id="rId6" w:fontKey="{332FFE14-2098-914A-9116-B220CFB837CF}"/>
    <w:embedBold r:id="rId7" w:fontKey="{375B63FD-8BBD-CE40-AA42-EAF935E8A28A}"/>
  </w:font>
  <w:font w:name="Calibri Light">
    <w:panose1 w:val="020F0302020204030204"/>
    <w:charset w:val="00"/>
    <w:family w:val="swiss"/>
    <w:pitch w:val="variable"/>
    <w:sig w:usb0="E4002EFF" w:usb1="C000247B" w:usb2="00000009" w:usb3="00000000" w:csb0="000001FF" w:csb1="00000000"/>
    <w:embedRegular r:id="rId8" w:fontKey="{5185D7DD-7621-034B-A082-838C16E5EA43}"/>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A818CD" w14:textId="77777777" w:rsidR="00D4792E" w:rsidRDefault="00D4792E">
      <w:r>
        <w:separator/>
      </w:r>
    </w:p>
  </w:footnote>
  <w:footnote w:type="continuationSeparator" w:id="0">
    <w:p w14:paraId="12941009" w14:textId="77777777" w:rsidR="00D4792E" w:rsidRDefault="00D479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C6C09" w14:textId="77777777" w:rsidR="002A32BA" w:rsidRDefault="002A32B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2A32BA" w14:paraId="4767FB92" w14:textId="77777777">
      <w:trPr>
        <w:trHeight w:val="345"/>
        <w:jc w:val="center"/>
      </w:trPr>
      <w:tc>
        <w:tcPr>
          <w:tcW w:w="6306" w:type="dxa"/>
          <w:vAlign w:val="center"/>
        </w:tcPr>
        <w:p w14:paraId="422959D4" w14:textId="77777777" w:rsidR="002A32BA" w:rsidRDefault="002A32BA">
          <w:pPr>
            <w:jc w:val="center"/>
            <w:rPr>
              <w:i/>
              <w:iCs/>
              <w:sz w:val="18"/>
              <w:szCs w:val="18"/>
            </w:rPr>
          </w:pPr>
        </w:p>
      </w:tc>
    </w:tr>
  </w:tbl>
  <w:p w14:paraId="7B2AFCE8" w14:textId="77777777" w:rsidR="002A32BA" w:rsidRDefault="002A32B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575FE"/>
    <w:multiLevelType w:val="multilevel"/>
    <w:tmpl w:val="C3843F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8151B0A"/>
    <w:multiLevelType w:val="multilevel"/>
    <w:tmpl w:val="EE4EC0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856505883">
    <w:abstractNumId w:val="0"/>
  </w:num>
  <w:num w:numId="2" w16cid:durableId="12520808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32BA"/>
    <w:rsid w:val="00061FC1"/>
    <w:rsid w:val="0009636D"/>
    <w:rsid w:val="0013172B"/>
    <w:rsid w:val="001519C8"/>
    <w:rsid w:val="00187B84"/>
    <w:rsid w:val="00187FB4"/>
    <w:rsid w:val="001B0BFA"/>
    <w:rsid w:val="00233888"/>
    <w:rsid w:val="00264731"/>
    <w:rsid w:val="0028462F"/>
    <w:rsid w:val="002A32BA"/>
    <w:rsid w:val="003003E7"/>
    <w:rsid w:val="00303474"/>
    <w:rsid w:val="00330500"/>
    <w:rsid w:val="003C382F"/>
    <w:rsid w:val="004725FE"/>
    <w:rsid w:val="005016FB"/>
    <w:rsid w:val="00661FD4"/>
    <w:rsid w:val="0074004B"/>
    <w:rsid w:val="00813E7C"/>
    <w:rsid w:val="00871256"/>
    <w:rsid w:val="008E78A1"/>
    <w:rsid w:val="009C7779"/>
    <w:rsid w:val="009E206B"/>
    <w:rsid w:val="00A96777"/>
    <w:rsid w:val="00AE6DF8"/>
    <w:rsid w:val="00AF2DC4"/>
    <w:rsid w:val="00CB0555"/>
    <w:rsid w:val="00CB77B5"/>
    <w:rsid w:val="00CB79E8"/>
    <w:rsid w:val="00D4792E"/>
    <w:rsid w:val="00D65AC1"/>
    <w:rsid w:val="00D87CAB"/>
    <w:rsid w:val="00DF1C47"/>
    <w:rsid w:val="00DF5CDF"/>
    <w:rsid w:val="00E2465E"/>
    <w:rsid w:val="00E44777"/>
    <w:rsid w:val="00E957A7"/>
    <w:rsid w:val="00F0561A"/>
    <w:rsid w:val="00F64AC2"/>
    <w:rsid w:val="00FA58E1"/>
    <w:rsid w:val="00FC40E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AC761D"/>
  <w15:docId w15:val="{C009C0D2-E4E2-3048-98DF-B37D6EE71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customStyle="1" w:styleId="apple-converted-space">
    <w:name w:val="apple-converted-space"/>
    <w:basedOn w:val="Fuentedeprrafopredeter"/>
    <w:rsid w:val="00E2465E"/>
  </w:style>
  <w:style w:type="character" w:styleId="Fuerte">
    <w:name w:val="Strong"/>
    <w:basedOn w:val="Fuentedeprrafopredeter"/>
    <w:uiPriority w:val="22"/>
    <w:qFormat/>
    <w:rsid w:val="00E2465E"/>
    <w:rPr>
      <w:b/>
      <w:bCs/>
    </w:rPr>
  </w:style>
  <w:style w:type="paragraph" w:styleId="NormalWeb">
    <w:name w:val="Normal (Web)"/>
    <w:basedOn w:val="Normal"/>
    <w:uiPriority w:val="99"/>
    <w:unhideWhenUsed/>
    <w:rsid w:val="0013172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2-0555-1376" TargetMode="External"/><Relationship Id="rId13" Type="http://schemas.openxmlformats.org/officeDocument/2006/relationships/hyperlink" Target="https://doi.org/10.1016/j.ecolecon.2017.06.02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ijhm.2022.103379"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108/S1569-3732(2011)00000140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08/IJCHM-11-2014-0564" TargetMode="External"/><Relationship Id="rId5" Type="http://schemas.openxmlformats.org/officeDocument/2006/relationships/webSettings" Target="webSettings.xml"/><Relationship Id="rId15" Type="http://schemas.openxmlformats.org/officeDocument/2006/relationships/hyperlink" Target="https://doi.org/https:/doi.org/10.1016/j.lrp.2015.12.002" TargetMode="Externa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1002/csr.2373"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3</Pages>
  <Words>1539</Words>
  <Characters>9297</Characters>
  <Application>Microsoft Office Word</Application>
  <DocSecurity>0</DocSecurity>
  <Lines>273</Lines>
  <Paragraphs>107</Paragraphs>
  <ScaleCrop>false</ScaleCrop>
  <Company/>
  <LinksUpToDate>false</LinksUpToDate>
  <CharactersWithSpaces>10729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Giselle Rodriguez Rudi</cp:lastModifiedBy>
  <cp:revision>41</cp:revision>
  <dcterms:created xsi:type="dcterms:W3CDTF">2025-09-09T17:06:00Z</dcterms:created>
  <dcterms:modified xsi:type="dcterms:W3CDTF">2026-03-29T20:52:00Z</dcterms:modified>
</cp:coreProperties>
</file>