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after="120" w:before="120" w:lineRule="auto"/>
        <w:jc w:val="center"/>
        <w:rPr>
          <w:rFonts w:ascii="Roboto" w:cs="Roboto" w:eastAsia="Roboto" w:hAnsi="Roboto"/>
          <w:b w:val="1"/>
          <w:bCs w:val="1"/>
        </w:rPr>
      </w:pPr>
      <w:r w:rsidDel="00000000" w:rsidR="00000000" w:rsidRPr="00000000">
        <w:rPr>
          <w:rFonts w:ascii="Roboto" w:cs="Roboto" w:eastAsia="Roboto" w:hAnsi="Roboto"/>
          <w:b w:val="1"/>
          <w:bCs w:val="1"/>
          <w:rtl w:val="0"/>
        </w:rPr>
        <w:t xml:space="preserve">Agentes Pedagógicos: Sistematización de experiencias con IA y retos en su implementación educativa</w:t>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after="120" w:before="120" w:lineRule="auto"/>
        <w:jc w:val="center"/>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Padilla</w:t>
      </w:r>
      <w:r w:rsidDel="00000000" w:rsidR="00000000" w:rsidRPr="00000000">
        <w:rPr>
          <w:rFonts w:ascii="Roboto" w:cs="Roboto" w:eastAsia="Roboto" w:hAnsi="Roboto"/>
          <w:b w:val="1"/>
          <w:bCs w:val="1"/>
          <w:color w:val="000000"/>
          <w:sz w:val="20"/>
          <w:szCs w:val="20"/>
          <w:rtl w:val="0"/>
        </w:rPr>
        <w:t xml:space="preserve"> </w:t>
      </w:r>
      <w:r w:rsidDel="00000000" w:rsidR="00000000" w:rsidRPr="00000000">
        <w:rPr>
          <w:rFonts w:ascii="Roboto" w:cs="Roboto" w:eastAsia="Roboto" w:hAnsi="Roboto"/>
          <w:b w:val="1"/>
          <w:bCs w:val="1"/>
          <w:sz w:val="20"/>
          <w:szCs w:val="20"/>
          <w:rtl w:val="0"/>
        </w:rPr>
        <w:t xml:space="preserve">E</w:t>
      </w:r>
      <w:r w:rsidDel="00000000" w:rsidR="00000000" w:rsidRPr="00000000">
        <w:rPr>
          <w:rFonts w:ascii="Roboto" w:cs="Roboto" w:eastAsia="Roboto" w:hAnsi="Roboto"/>
          <w:b w:val="1"/>
          <w:bCs w:val="1"/>
          <w:color w:val="000000"/>
          <w:sz w:val="20"/>
          <w:szCs w:val="20"/>
          <w:rtl w:val="0"/>
        </w:rPr>
        <w:t xml:space="preserve">.</w:t>
      </w:r>
      <w:r w:rsidDel="00000000" w:rsidR="00000000" w:rsidRPr="00000000">
        <w:rPr>
          <w:rFonts w:ascii="Roboto" w:cs="Roboto" w:eastAsia="Roboto" w:hAnsi="Roboto"/>
          <w:b w:val="1"/>
          <w:bCs w:val="1"/>
          <w:color w:val="000000"/>
          <w:sz w:val="20"/>
          <w:szCs w:val="20"/>
          <w:vertAlign w:val="superscript"/>
          <w:rtl w:val="0"/>
        </w:rPr>
        <w:t xml:space="preserve">1*</w:t>
      </w: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jc w:val="center"/>
        <w:rPr>
          <w:rFonts w:ascii="Roboto" w:cs="Roboto" w:eastAsia="Roboto" w:hAnsi="Roboto"/>
          <w:color w:val="000000"/>
          <w:sz w:val="18"/>
          <w:szCs w:val="18"/>
          <w:vertAlign w:val="superscript"/>
        </w:rPr>
      </w:pPr>
      <w:r w:rsidDel="00000000" w:rsidR="00000000" w:rsidRPr="00000000">
        <w:rPr>
          <w:rFonts w:ascii="Roboto" w:cs="Roboto" w:eastAsia="Roboto" w:hAnsi="Roboto"/>
          <w:color w:val="000000"/>
          <w:sz w:val="18"/>
          <w:szCs w:val="18"/>
          <w:vertAlign w:val="superscript"/>
          <w:rtl w:val="0"/>
        </w:rPr>
        <w:t xml:space="preserve">1</w:t>
      </w:r>
      <w:r w:rsidDel="00000000" w:rsidR="00000000" w:rsidRPr="00000000">
        <w:rPr>
          <w:rFonts w:ascii="Roboto" w:cs="Roboto" w:eastAsia="Roboto" w:hAnsi="Roboto"/>
          <w:sz w:val="18"/>
          <w:szCs w:val="18"/>
          <w:rtl w:val="0"/>
        </w:rPr>
        <w:t xml:space="preserve">Anahuac Online</w:t>
      </w:r>
      <w:r w:rsidDel="00000000" w:rsidR="00000000" w:rsidRPr="00000000">
        <w:rPr>
          <w:rFonts w:ascii="Roboto" w:cs="Roboto" w:eastAsia="Roboto" w:hAnsi="Roboto"/>
          <w:color w:val="000000"/>
          <w:sz w:val="18"/>
          <w:szCs w:val="18"/>
          <w:rtl w:val="0"/>
        </w:rPr>
        <w:t xml:space="preserve">, ORCID </w:t>
      </w:r>
      <w:r w:rsidDel="00000000" w:rsidR="00000000" w:rsidRPr="00000000">
        <w:rPr>
          <w:rFonts w:ascii="Roboto" w:cs="Roboto" w:eastAsia="Roboto" w:hAnsi="Roboto"/>
          <w:sz w:val="18"/>
          <w:szCs w:val="18"/>
          <w:rtl w:val="0"/>
        </w:rPr>
        <w:t xml:space="preserve">https://orcid.org/0009-0003-0747-4305</w:t>
      </w:r>
      <w:r w:rsidDel="00000000" w:rsidR="00000000" w:rsidRPr="00000000">
        <w:rPr>
          <w:rtl w:val="0"/>
        </w:rPr>
      </w:r>
    </w:p>
    <w:p w:rsidR="00000000" w:rsidDel="00000000" w:rsidP="00000000" w:rsidRDefault="00000000" w:rsidRPr="00000000" w14:paraId="00000004">
      <w:pPr>
        <w:jc w:val="center"/>
        <w:rPr>
          <w:rFonts w:ascii="Roboto" w:cs="Roboto" w:eastAsia="Roboto" w:hAnsi="Roboto"/>
          <w:sz w:val="18"/>
          <w:szCs w:val="18"/>
        </w:rPr>
      </w:pPr>
      <w:r w:rsidDel="00000000" w:rsidR="00000000" w:rsidRPr="00000000">
        <w:rPr>
          <w:rtl w:val="0"/>
        </w:rPr>
      </w:r>
    </w:p>
    <w:p w:rsidR="00000000" w:rsidDel="00000000" w:rsidP="00000000" w:rsidRDefault="00000000" w:rsidRPr="00000000" w14:paraId="00000005">
      <w:pPr>
        <w:jc w:val="center"/>
        <w:rPr>
          <w:rFonts w:ascii="Roboto" w:cs="Roboto" w:eastAsia="Roboto" w:hAnsi="Roboto"/>
          <w:sz w:val="18"/>
          <w:szCs w:val="18"/>
        </w:rPr>
      </w:pPr>
      <w:r w:rsidDel="00000000" w:rsidR="00000000" w:rsidRPr="00000000">
        <w:rPr>
          <w:rFonts w:ascii="Roboto" w:cs="Roboto" w:eastAsia="Roboto" w:hAnsi="Roboto"/>
          <w:sz w:val="18"/>
          <w:szCs w:val="18"/>
          <w:rtl w:val="0"/>
        </w:rPr>
        <w:t xml:space="preserve">*Autor de correspondencia (e-mail:</w:t>
      </w:r>
      <w:r w:rsidDel="00000000" w:rsidR="00000000" w:rsidRPr="00000000">
        <w:rPr>
          <w:rFonts w:ascii="Roboto" w:cs="Roboto" w:eastAsia="Roboto" w:hAnsi="Roboto"/>
          <w:sz w:val="18"/>
          <w:szCs w:val="18"/>
          <w:highlight w:val="white"/>
          <w:rtl w:val="0"/>
        </w:rPr>
        <w:t xml:space="preserve"> </w:t>
      </w:r>
      <w:r w:rsidDel="00000000" w:rsidR="00000000" w:rsidRPr="00000000">
        <w:rPr>
          <w:rFonts w:ascii="Roboto" w:cs="Roboto" w:eastAsia="Roboto" w:hAnsi="Roboto"/>
          <w:sz w:val="18"/>
          <w:szCs w:val="18"/>
          <w:rtl w:val="0"/>
        </w:rPr>
        <w:t xml:space="preserve">elia.padillaag@anahuac.mx)</w:t>
      </w:r>
    </w:p>
    <w:p w:rsidR="00000000" w:rsidDel="00000000" w:rsidP="00000000" w:rsidRDefault="00000000" w:rsidRPr="00000000" w14:paraId="00000006">
      <w:pPr>
        <w:spacing w:before="60" w:lineRule="auto"/>
        <w:jc w:val="center"/>
        <w:rPr>
          <w:rFonts w:ascii="Roboto" w:cs="Roboto" w:eastAsia="Roboto" w:hAnsi="Roboto"/>
          <w:sz w:val="18"/>
          <w:szCs w:val="18"/>
        </w:rPr>
        <w:sectPr>
          <w:headerReference r:id="rId7" w:type="default"/>
          <w:pgSz w:h="16838" w:w="11906" w:orient="portrait"/>
          <w:pgMar w:bottom="828" w:top="851" w:left="851" w:right="851" w:header="357" w:footer="720"/>
          <w:pgNumType w:start="1"/>
        </w:sect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INTRODUCCIÓN</w:t>
      </w:r>
    </w:p>
    <w:p w:rsidR="00000000" w:rsidDel="00000000" w:rsidP="00000000" w:rsidRDefault="00000000" w:rsidRPr="00000000" w14:paraId="00000008">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La irrupción de la Inteligencia Artificial Generativa en la educación superior ha planteado un problema pedagógico de gran escala. El uso de la IAG sin regulación aumenta los riesgos relacionados con la integridad académica y el pensamiento crítico, lo que exige un replanteamiento de las políticas educativas (Al-Zahrani &amp; Alasmari, 2024). Para minimizar riesgos sin prohibir estas tecnologías, es imperativo rediseñar la mediación instruccional (Chiu, 2023). En este escenario, los GPTs personalizados surgen como una oportunidad de mediación de bajo riesgo al estar entrenados en datos específicos y orientados a objetivos pedagógicos claros (Lo, 2023).</w:t>
      </w:r>
    </w:p>
    <w:p w:rsidR="00000000" w:rsidDel="00000000" w:rsidP="00000000" w:rsidRDefault="00000000" w:rsidRPr="00000000" w14:paraId="00000009">
      <w:pPr>
        <w:jc w:val="both"/>
        <w:rPr>
          <w:rFonts w:ascii="Roboto" w:cs="Roboto" w:eastAsia="Roboto" w:hAnsi="Roboto"/>
          <w:b w:val="1"/>
          <w:bCs w:val="1"/>
          <w:sz w:val="20"/>
          <w:szCs w:val="20"/>
        </w:rPr>
      </w:pPr>
      <w:r w:rsidDel="00000000" w:rsidR="00000000" w:rsidRPr="00000000">
        <w:rPr>
          <w:rtl w:val="0"/>
        </w:rPr>
      </w:r>
    </w:p>
    <w:p w:rsidR="00000000" w:rsidDel="00000000" w:rsidP="00000000" w:rsidRDefault="00000000" w:rsidRPr="00000000" w14:paraId="0000000A">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OBJETIVO</w:t>
      </w:r>
    </w:p>
    <w:p w:rsidR="00000000" w:rsidDel="00000000" w:rsidP="00000000" w:rsidRDefault="00000000" w:rsidRPr="00000000" w14:paraId="0000000B">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Sistematizar la implementación de seis agentes pedagógicos basados en IAG para identificar retos técnicos, pedagógicos y éticos en su integración instruccional.</w:t>
      </w:r>
    </w:p>
    <w:p w:rsidR="00000000" w:rsidDel="00000000" w:rsidP="00000000" w:rsidRDefault="00000000" w:rsidRPr="00000000" w14:paraId="0000000C">
      <w:pPr>
        <w:jc w:val="both"/>
        <w:rPr>
          <w:rFonts w:ascii="Roboto" w:cs="Roboto" w:eastAsia="Roboto" w:hAnsi="Roboto"/>
          <w:b w:val="1"/>
          <w:bCs w:val="1"/>
          <w:sz w:val="20"/>
          <w:szCs w:val="20"/>
        </w:rPr>
      </w:pPr>
      <w:r w:rsidDel="00000000" w:rsidR="00000000" w:rsidRPr="00000000">
        <w:rPr>
          <w:rtl w:val="0"/>
        </w:rPr>
      </w:r>
    </w:p>
    <w:p w:rsidR="00000000" w:rsidDel="00000000" w:rsidP="00000000" w:rsidRDefault="00000000" w:rsidRPr="00000000" w14:paraId="0000000D">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FUNDAMENTO TEÓRICO</w:t>
      </w:r>
    </w:p>
    <w:p w:rsidR="00000000" w:rsidDel="00000000" w:rsidP="00000000" w:rsidRDefault="00000000" w:rsidRPr="00000000" w14:paraId="0000000E">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Es importante distinguir entre el chatbot y un agente personalizado. A diferencia de un chat convencional, que ofrece respuestas a cualquier pregunta o productos a cualquier tarea, un agente de IA, como un GPT personalizado o </w:t>
      </w:r>
      <w:r w:rsidDel="00000000" w:rsidR="00000000" w:rsidRPr="00000000">
        <w:rPr>
          <w:rFonts w:ascii="Roboto" w:cs="Roboto" w:eastAsia="Roboto" w:hAnsi="Roboto"/>
          <w:i w:val="1"/>
          <w:iCs w:val="1"/>
          <w:sz w:val="20"/>
          <w:szCs w:val="20"/>
          <w:rtl w:val="0"/>
        </w:rPr>
        <w:t xml:space="preserve">custom GPT</w:t>
      </w:r>
      <w:r w:rsidDel="00000000" w:rsidR="00000000" w:rsidRPr="00000000">
        <w:rPr>
          <w:rFonts w:ascii="Roboto" w:cs="Roboto" w:eastAsia="Roboto" w:hAnsi="Roboto"/>
          <w:sz w:val="20"/>
          <w:szCs w:val="20"/>
          <w:rtl w:val="0"/>
        </w:rPr>
        <w:t xml:space="preserve">, está diseñado para operar como un entorno controlado, configurado para lograr fines particulares y ofrecer valor práctico (López-Galisteo &amp; Borrás-Gené, 2025) e incluso dotado de una identidad previamente definida. </w:t>
      </w:r>
    </w:p>
    <w:p w:rsidR="00000000" w:rsidDel="00000000" w:rsidP="00000000" w:rsidRDefault="00000000" w:rsidRPr="00000000" w14:paraId="0000000F">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agentes permiten integrar conocimiento externo e interno en los modelos de lenguaje, lo que asegura respuestas más precisas y contextualmente relevantes (Córdova-Esparza, 2025). Además, permiten establecer roles dinámicos que modelan el tono y enfoque según el propósito del agente (Gold &amp; Geng, 2024; Córdova-Esparza, 2025).</w:t>
      </w:r>
    </w:p>
    <w:p w:rsidR="00000000" w:rsidDel="00000000" w:rsidP="00000000" w:rsidRDefault="00000000" w:rsidRPr="00000000" w14:paraId="00000010">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1">
      <w:pP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METODOLOGÍA</w:t>
      </w:r>
      <w:r w:rsidDel="00000000" w:rsidR="00000000" w:rsidRPr="00000000">
        <w:rPr>
          <w:rtl w:val="0"/>
        </w:rPr>
      </w:r>
    </w:p>
    <w:p w:rsidR="00000000" w:rsidDel="00000000" w:rsidP="00000000" w:rsidRDefault="00000000" w:rsidRPr="00000000" w14:paraId="00000012">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La sistematización integró la exploración técnica y los objetivos curriculares en Anáhuac Online, institución de educación superior con programas en modalidad en línea. Los agentes fueron implementados en seis experiencias formativas, cada una en una asignatura distinta: Fundamentos de Programación, Retos Sociales del Desarrollo, Diseño Industrial, Administración de Proyectos, Ventas de Seguros y Argumentación. Tras pruebas internas para configurar el comportamiento y mitigar errores, los agentes se ajustaron, registrando cada aprendizaje de implementación.</w:t>
      </w:r>
    </w:p>
    <w:p w:rsidR="00000000" w:rsidDel="00000000" w:rsidP="00000000" w:rsidRDefault="00000000" w:rsidRPr="00000000" w14:paraId="00000013">
      <w:pPr>
        <w:pBdr>
          <w:top w:space="0" w:sz="0" w:val="nil"/>
          <w:left w:space="0" w:sz="0" w:val="nil"/>
          <w:bottom w:space="0" w:sz="0" w:val="nil"/>
          <w:right w:space="0" w:sz="0" w:val="nil"/>
          <w:between w:space="0" w:sz="0" w:val="nil"/>
        </w:pBd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APORTACIONES</w:t>
      </w:r>
    </w:p>
    <w:p w:rsidR="00000000" w:rsidDel="00000000" w:rsidP="00000000" w:rsidRDefault="00000000" w:rsidRPr="00000000" w14:paraId="00000014">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i w:val="1"/>
          <w:iCs w:val="1"/>
          <w:sz w:val="20"/>
          <w:szCs w:val="20"/>
          <w:rtl w:val="0"/>
        </w:rPr>
        <w:t xml:space="preserve">Agente pedagógico 1. Examen diagnóstico adaptativo</w:t>
      </w:r>
      <w:r w:rsidDel="00000000" w:rsidR="00000000" w:rsidRPr="00000000">
        <w:rPr>
          <w:rFonts w:ascii="Roboto" w:cs="Roboto" w:eastAsia="Roboto" w:hAnsi="Roboto"/>
          <w:b w:val="1"/>
          <w:bCs w:val="1"/>
          <w:sz w:val="20"/>
          <w:szCs w:val="20"/>
          <w:rtl w:val="0"/>
        </w:rPr>
        <w:br w:type="textWrapping"/>
      </w:r>
      <w:r w:rsidDel="00000000" w:rsidR="00000000" w:rsidRPr="00000000">
        <w:rPr>
          <w:rFonts w:ascii="Roboto" w:cs="Roboto" w:eastAsia="Roboto" w:hAnsi="Roboto"/>
          <w:sz w:val="20"/>
          <w:szCs w:val="20"/>
          <w:rtl w:val="0"/>
        </w:rPr>
        <w:t xml:space="preserve">El agente fue concebido como un sistema de evaluación adaptativa en programación, estructurado a partir de la Taxonomía de Bloom. No obstante, su implementación evidenció que la efectividad de la evaluación no depende exclusivamente de la lógica adaptativa, sino de la inteligibilidad de la experiencia para el estudiante. La ausencia inicial de un encuadre claro generaba errores derivados de la interacción —y no del dominio conceptual—, comprometiendo la interpretación de los resultados. La incorporación de un proceso de onboarding y la redefinición de niveles de dificultad y reactivos permitió reubicar la exigencia en el contenido y no en la interfaz. En este sentido, el diseño de evaluaciones adaptativas requiere ser comprendido como un guion pedagógico integral, donde el flujo, las instrucciones y la retroalimentación condicionan la calidad de la medición.</w:t>
      </w:r>
    </w:p>
    <w:p w:rsidR="00000000" w:rsidDel="00000000" w:rsidP="00000000" w:rsidRDefault="00000000" w:rsidRPr="00000000" w14:paraId="00000015">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i w:val="1"/>
          <w:iCs w:val="1"/>
          <w:sz w:val="20"/>
          <w:szCs w:val="20"/>
          <w:rtl w:val="0"/>
        </w:rPr>
        <w:t xml:space="preserve">Agente pedagógico 2. Mayito</w:t>
      </w:r>
      <w:r w:rsidDel="00000000" w:rsidR="00000000" w:rsidRPr="00000000">
        <w:rPr>
          <w:rFonts w:ascii="Roboto" w:cs="Roboto" w:eastAsia="Roboto" w:hAnsi="Roboto"/>
          <w:b w:val="1"/>
          <w:bCs w:val="1"/>
          <w:sz w:val="20"/>
          <w:szCs w:val="20"/>
          <w:rtl w:val="0"/>
        </w:rPr>
        <w:br w:type="textWrapping"/>
      </w:r>
      <w:r w:rsidDel="00000000" w:rsidR="00000000" w:rsidRPr="00000000">
        <w:rPr>
          <w:rFonts w:ascii="Roboto" w:cs="Roboto" w:eastAsia="Roboto" w:hAnsi="Roboto"/>
          <w:sz w:val="20"/>
          <w:szCs w:val="20"/>
          <w:rtl w:val="0"/>
        </w:rPr>
        <w:t xml:space="preserve">Mayito se diseñó como un agente dialógico orientado a la problematización de las creencias del usuario mediante una lógica mayéutica. Sin embargo, su desarrollo puso en evidencia una limitación relevante: la tendencia del modelo a operar dentro de los marcos de sentido propuestos por el usuario, sin cuestionar sus supuestos de base. Adicionalmente, su capacidad para reconocer dimensiones emocionales abría el riesgo de desbordar su función hacia un acompañamiento de tipo terapéutico. La definición de límites explícitos permitió reorientar su actuación hacia el cuestionamiento de premisas en un plano filosófico, evitando desplazamientos indebidos. Esta experiencia sugiere que el diseño de agentes orientados al pensamiento crítico no solo implica definir su estilo discursivo, sino delimitar con precisión el alcance y profundidad de su intervención.</w:t>
      </w:r>
    </w:p>
    <w:p w:rsidR="00000000" w:rsidDel="00000000" w:rsidP="00000000" w:rsidRDefault="00000000" w:rsidRPr="00000000" w14:paraId="00000016">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i w:val="1"/>
          <w:iCs w:val="1"/>
          <w:sz w:val="20"/>
          <w:szCs w:val="20"/>
          <w:rtl w:val="0"/>
        </w:rPr>
        <w:t xml:space="preserve">Agente pedagógico 3. Simulador de seguros</w:t>
      </w:r>
      <w:r w:rsidDel="00000000" w:rsidR="00000000" w:rsidRPr="00000000">
        <w:rPr>
          <w:rFonts w:ascii="Roboto" w:cs="Roboto" w:eastAsia="Roboto" w:hAnsi="Roboto"/>
          <w:sz w:val="20"/>
          <w:szCs w:val="20"/>
          <w:rtl w:val="0"/>
        </w:rPr>
        <w:br w:type="textWrapping"/>
        <w:t xml:space="preserve">El simulador fue diseñado como un entorno de práctica situada en el que el estudiante interactúa con un cliente simulado, mientras el sistema evalúa su desempeño de manera encubierta. Su implementación permitió identificar que la construcción de realismo no se agota en la verosimilitud de los escenarios, sino que requiere anticipar comportamientos no deseados por parte del estudiante, así como inconsistencias del propio sistema. La incorporación de restricciones éticas, el uso de datos reales y la validación del contenido disciplinar permitieron sostener la coherencia de la simulación. En consecuencia, el diseño de este tipo de agentes implica no solo modelar la experiencia ideal, sino integrar los posibles desvíos como parte del entorno formativo, resguardando tanto la validez pedagógica como la integridad ética de la interacción.</w:t>
      </w:r>
    </w:p>
    <w:p w:rsidR="00000000" w:rsidDel="00000000" w:rsidP="00000000" w:rsidRDefault="00000000" w:rsidRPr="00000000" w14:paraId="00000017">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i w:val="1"/>
          <w:iCs w:val="1"/>
          <w:sz w:val="20"/>
          <w:szCs w:val="20"/>
          <w:rtl w:val="0"/>
        </w:rPr>
        <w:t xml:space="preserve">Agente pedagógico 4. Arcana Cognitiva</w:t>
      </w:r>
      <w:r w:rsidDel="00000000" w:rsidR="00000000" w:rsidRPr="00000000">
        <w:rPr>
          <w:rFonts w:ascii="Roboto" w:cs="Roboto" w:eastAsia="Roboto" w:hAnsi="Roboto"/>
          <w:b w:val="1"/>
          <w:bCs w:val="1"/>
          <w:sz w:val="20"/>
          <w:szCs w:val="20"/>
          <w:rtl w:val="0"/>
        </w:rPr>
        <w:br w:type="textWrapping"/>
      </w:r>
      <w:r w:rsidDel="00000000" w:rsidR="00000000" w:rsidRPr="00000000">
        <w:rPr>
          <w:rFonts w:ascii="Roboto" w:cs="Roboto" w:eastAsia="Roboto" w:hAnsi="Roboto"/>
          <w:sz w:val="20"/>
          <w:szCs w:val="20"/>
          <w:rtl w:val="0"/>
        </w:rPr>
        <w:t xml:space="preserve">Este agente se configuró como una propuesta gamificada para el desarrollo de habilidades argumentativas, organizada en misiones vinculadas a distintos componentes del proceso argumentativo. Durante su implementación, se identificó que tanto la extensión de la retroalimentación como la dependencia entre escenarios generaban una sobrecarga cognitiva que dificultaba el procesamiento de la información. La simplificación del formato de retroalimentación y la independencia de las misiones permitieron focalizar la atención en cada habilidad específica. A partir de ello, se vuelve evidente que el diseño de agentes pedagógicos no solo involucra la definición de contenidos o tareas, sino también la regulación del formato, la extensión y el tono de las respuestas, en tanto elementos que inciden directamente en la experiencia de aprendizaje.</w:t>
      </w:r>
    </w:p>
    <w:p w:rsidR="00000000" w:rsidDel="00000000" w:rsidP="00000000" w:rsidRDefault="00000000" w:rsidRPr="00000000" w14:paraId="00000018">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i w:val="1"/>
          <w:iCs w:val="1"/>
          <w:sz w:val="20"/>
          <w:szCs w:val="20"/>
          <w:rtl w:val="0"/>
        </w:rPr>
        <w:t xml:space="preserve">Agente pedagógico 5. Consultor</w:t>
      </w:r>
      <w:r w:rsidDel="00000000" w:rsidR="00000000" w:rsidRPr="00000000">
        <w:rPr>
          <w:rFonts w:ascii="Roboto" w:cs="Roboto" w:eastAsia="Roboto" w:hAnsi="Roboto"/>
          <w:b w:val="1"/>
          <w:bCs w:val="1"/>
          <w:sz w:val="20"/>
          <w:szCs w:val="20"/>
          <w:rtl w:val="0"/>
        </w:rPr>
        <w:br w:type="textWrapping"/>
      </w:r>
      <w:r w:rsidDel="00000000" w:rsidR="00000000" w:rsidRPr="00000000">
        <w:rPr>
          <w:rFonts w:ascii="Roboto" w:cs="Roboto" w:eastAsia="Roboto" w:hAnsi="Roboto"/>
          <w:sz w:val="20"/>
          <w:szCs w:val="20"/>
          <w:rtl w:val="0"/>
        </w:rPr>
        <w:t xml:space="preserve">El agente consultor fue concebido como un dispositivo de acompañamiento continuo en proyectos de diseño industrial, trasladando al entorno virtual una lógica de seguimiento sostenido. Su desarrollo evidenció, por un lado, limitaciones en el procesamiento de grandes volúmenes de información y, por otro, dificultades en el involucramiento activo de los estudiantes. La reorganización de los contenidos en formatos más accesibles y la generación de checklists personalizados permitieron estructurar la interacción y hacer visible el avance del proyecto. De este modo, el agente trasciende una función meramente reactiva y se configura como un mediador organizativo del proceso, lo que sugiere que su efectividad depende de su integración en la secuencia didáctica y no únicamente de su capacidad de respuesta.</w:t>
      </w:r>
    </w:p>
    <w:p w:rsidR="00000000" w:rsidDel="00000000" w:rsidP="00000000" w:rsidRDefault="00000000" w:rsidRPr="00000000" w14:paraId="00000019">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i w:val="1"/>
          <w:iCs w:val="1"/>
          <w:sz w:val="20"/>
          <w:szCs w:val="20"/>
          <w:rtl w:val="0"/>
        </w:rPr>
        <w:t xml:space="preserve">Agente pedagógico 6. Reclutador PM</w:t>
      </w:r>
      <w:r w:rsidDel="00000000" w:rsidR="00000000" w:rsidRPr="00000000">
        <w:rPr>
          <w:rFonts w:ascii="Roboto" w:cs="Roboto" w:eastAsia="Roboto" w:hAnsi="Roboto"/>
          <w:b w:val="1"/>
          <w:bCs w:val="1"/>
          <w:sz w:val="20"/>
          <w:szCs w:val="20"/>
          <w:rtl w:val="0"/>
        </w:rPr>
        <w:br w:type="textWrapping"/>
      </w:r>
      <w:r w:rsidDel="00000000" w:rsidR="00000000" w:rsidRPr="00000000">
        <w:rPr>
          <w:rFonts w:ascii="Roboto" w:cs="Roboto" w:eastAsia="Roboto" w:hAnsi="Roboto"/>
          <w:sz w:val="20"/>
          <w:szCs w:val="20"/>
          <w:rtl w:val="0"/>
        </w:rPr>
        <w:t xml:space="preserve">El agente fue diseñado como una simulación de entrevista profesional en el ámbito de Project Management, orientada a la evaluación de competencias técnicas y habilidades comunicativas en contexto. Su implementación enfrentó tanto limitaciones técnicas para la interacción en tiempo real mediante voz, como la dificultad de operacionalizar dimensiones no estrictamente técnicas de la comunicación, tales como la seguridad discursiva, la coherencia narrativa y la modulación del discurso en situación. El desarrollo de una solución técnica específica permitió habilitar la interacción sincrónica, mientras que la ampliación de los criterios de evaluación hizo posible incorporar estas dimensiones en el análisis del desempeño. En este sentido, la experiencia evidencia que la simulación de contextos profesionales exige considerar no solo el contenido de las respuestas, sino la forma en que estas se configuran en la interacción.</w:t>
      </w:r>
    </w:p>
    <w:p w:rsidR="00000000" w:rsidDel="00000000" w:rsidP="00000000" w:rsidRDefault="00000000" w:rsidRPr="00000000" w14:paraId="0000001A">
      <w:pPr>
        <w:pBdr>
          <w:top w:space="0" w:sz="0" w:val="nil"/>
          <w:left w:space="0" w:sz="0" w:val="nil"/>
          <w:bottom w:space="0" w:sz="0" w:val="nil"/>
          <w:right w:space="0" w:sz="0" w:val="nil"/>
          <w:between w:space="0" w:sz="0" w:val="nil"/>
        </w:pBdr>
        <w:jc w:val="both"/>
        <w:rPr>
          <w:rFonts w:ascii="Roboto" w:cs="Roboto" w:eastAsia="Roboto" w:hAnsi="Roboto"/>
          <w:b w:val="1"/>
          <w:bCs w:val="1"/>
          <w:sz w:val="20"/>
          <w:szCs w:val="20"/>
        </w:rPr>
      </w:pPr>
      <w:r w:rsidDel="00000000" w:rsidR="00000000" w:rsidRPr="00000000">
        <w:rPr>
          <w:rtl w:val="0"/>
        </w:rPr>
      </w:r>
    </w:p>
    <w:p w:rsidR="00000000" w:rsidDel="00000000" w:rsidP="00000000" w:rsidRDefault="00000000" w:rsidRPr="00000000" w14:paraId="0000001B">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CONCLUSIONES</w:t>
      </w:r>
      <w:r w:rsidDel="00000000" w:rsidR="00000000" w:rsidRPr="00000000">
        <w:rPr>
          <w:rFonts w:ascii="Roboto" w:cs="Roboto" w:eastAsia="Roboto" w:hAnsi="Roboto"/>
          <w:sz w:val="20"/>
          <w:szCs w:val="20"/>
          <w:rtl w:val="0"/>
        </w:rPr>
        <w:br w:type="textWrapping"/>
        <w:t xml:space="preserve">La sistematización de estas experiencias plantea oportunidades no solo para mejorar la calidad pedagógica y técnica de estos agentes en particular, sino que también contribuye al estado del arte de los agentes con fines pedagógicos en instituciones de educación superior.</w:t>
      </w:r>
    </w:p>
    <w:p w:rsidR="00000000" w:rsidDel="00000000" w:rsidP="00000000" w:rsidRDefault="00000000" w:rsidRPr="00000000" w14:paraId="0000001C">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D">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REFERENCIAS (Formato APA)</w:t>
      </w:r>
    </w:p>
    <w:p w:rsidR="00000000" w:rsidDel="00000000" w:rsidP="00000000" w:rsidRDefault="00000000" w:rsidRPr="00000000" w14:paraId="0000001E">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Al-Zahrani, A. M., &amp; Alasmari, T. M. (2024). Exploring the impact of artificial intelligence on higher education: The dynamics of ethical, social, and educational implications. Humanities and Social Sciences Communications, 11(1), 1-12. </w:t>
      </w:r>
      <w:hyperlink r:id="rId8">
        <w:r w:rsidDel="00000000" w:rsidR="00000000" w:rsidRPr="00000000">
          <w:rPr>
            <w:rFonts w:ascii="Roboto" w:cs="Roboto" w:eastAsia="Roboto" w:hAnsi="Roboto"/>
            <w:color w:val="1155cc"/>
            <w:sz w:val="20"/>
            <w:szCs w:val="20"/>
            <w:u w:val="single"/>
            <w:rtl w:val="0"/>
          </w:rPr>
          <w:t xml:space="preserve">https://doi.org/10.1057/s41599-024-02602-w</w:t>
        </w:r>
      </w:hyperlink>
      <w:r w:rsidDel="00000000" w:rsidR="00000000" w:rsidRPr="00000000">
        <w:rPr>
          <w:rtl w:val="0"/>
        </w:rPr>
      </w:r>
    </w:p>
    <w:p w:rsidR="00000000" w:rsidDel="00000000" w:rsidP="00000000" w:rsidRDefault="00000000" w:rsidRPr="00000000" w14:paraId="0000001F">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Chiu, T. K. F. (2023). The impact of Generative AI (GenAI) on practices of higher education: Challenges and opportunities. Computers and Education: Artificial Intelligence, 5, 100150. </w:t>
      </w:r>
      <w:hyperlink r:id="rId9">
        <w:r w:rsidDel="00000000" w:rsidR="00000000" w:rsidRPr="00000000">
          <w:rPr>
            <w:rFonts w:ascii="Roboto" w:cs="Roboto" w:eastAsia="Roboto" w:hAnsi="Roboto"/>
            <w:color w:val="1155cc"/>
            <w:sz w:val="20"/>
            <w:szCs w:val="20"/>
            <w:u w:val="single"/>
            <w:rtl w:val="0"/>
          </w:rPr>
          <w:t xml:space="preserve">https://doi.org/10.1016/j.caeai.2023.100150</w:t>
        </w:r>
      </w:hyperlink>
      <w:r w:rsidDel="00000000" w:rsidR="00000000" w:rsidRPr="00000000">
        <w:rPr>
          <w:rtl w:val="0"/>
        </w:rPr>
      </w:r>
    </w:p>
    <w:p w:rsidR="00000000" w:rsidDel="00000000" w:rsidP="00000000" w:rsidRDefault="00000000" w:rsidRPr="00000000" w14:paraId="00000020">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Córdova-Esparza, D.-M. (2025). AI-Powered Educational Agents: Opportunities, Innovations, and Ethical Challenges. Information, 16(6), 469. </w:t>
      </w:r>
      <w:hyperlink r:id="rId10">
        <w:r w:rsidDel="00000000" w:rsidR="00000000" w:rsidRPr="00000000">
          <w:rPr>
            <w:rFonts w:ascii="Roboto" w:cs="Roboto" w:eastAsia="Roboto" w:hAnsi="Roboto"/>
            <w:color w:val="1155cc"/>
            <w:sz w:val="20"/>
            <w:szCs w:val="20"/>
            <w:u w:val="single"/>
            <w:rtl w:val="0"/>
          </w:rPr>
          <w:t xml:space="preserve">https://doi.org/10.3390/info16060469</w:t>
        </w:r>
      </w:hyperlink>
      <w:r w:rsidDel="00000000" w:rsidR="00000000" w:rsidRPr="00000000">
        <w:rPr>
          <w:rtl w:val="0"/>
        </w:rPr>
      </w:r>
    </w:p>
    <w:p w:rsidR="00000000" w:rsidDel="00000000" w:rsidP="00000000" w:rsidRDefault="00000000" w:rsidRPr="00000000" w14:paraId="00000021">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K. Gold, S. Geng. (2024). Tracking the Evolution of Student Interactions With an LLM-Powered Tutor. LAK '24: Proceedings of the 14th Learning Analytics and Knowledge Conference. </w:t>
      </w:r>
      <w:hyperlink r:id="rId11">
        <w:r w:rsidDel="00000000" w:rsidR="00000000" w:rsidRPr="00000000">
          <w:rPr>
            <w:rFonts w:ascii="Roboto" w:cs="Roboto" w:eastAsia="Roboto" w:hAnsi="Roboto"/>
            <w:color w:val="1155cc"/>
            <w:sz w:val="20"/>
            <w:szCs w:val="20"/>
            <w:u w:val="single"/>
            <w:rtl w:val="0"/>
          </w:rPr>
          <w:t xml:space="preserve">https://hdl.handle.net/2144/49844</w:t>
        </w:r>
      </w:hyperlink>
      <w:r w:rsidDel="00000000" w:rsidR="00000000" w:rsidRPr="00000000">
        <w:rPr>
          <w:rtl w:val="0"/>
        </w:rPr>
      </w:r>
    </w:p>
    <w:p w:rsidR="00000000" w:rsidDel="00000000" w:rsidP="00000000" w:rsidRDefault="00000000" w:rsidRPr="00000000" w14:paraId="00000022">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 C. K. (2023). What is the role of ChatGPT in education? A systematic review of promising applications and fatal harms. Computers and Education: Artificial Intelligence, 4, 100133. </w:t>
      </w:r>
      <w:hyperlink r:id="rId12">
        <w:r w:rsidDel="00000000" w:rsidR="00000000" w:rsidRPr="00000000">
          <w:rPr>
            <w:rFonts w:ascii="Roboto" w:cs="Roboto" w:eastAsia="Roboto" w:hAnsi="Roboto"/>
            <w:color w:val="1155cc"/>
            <w:sz w:val="20"/>
            <w:szCs w:val="20"/>
            <w:u w:val="single"/>
            <w:rtl w:val="0"/>
          </w:rPr>
          <w:t xml:space="preserve">https://doi.org/10.1016/j.caeai.2023.100133</w:t>
        </w:r>
      </w:hyperlink>
      <w:r w:rsidDel="00000000" w:rsidR="00000000" w:rsidRPr="00000000">
        <w:rPr>
          <w:rtl w:val="0"/>
        </w:rPr>
      </w:r>
    </w:p>
    <w:p w:rsidR="00000000" w:rsidDel="00000000" w:rsidP="00000000" w:rsidRDefault="00000000" w:rsidRPr="00000000" w14:paraId="00000023">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López-Galisteo, A. J., &amp; Borrás-Gené, O. (2025). The Creation and Evaluation of an AI Assistant (GPT) for Educational Experience Design. Information, 16(2), 117. </w:t>
      </w:r>
      <w:hyperlink r:id="rId13">
        <w:r w:rsidDel="00000000" w:rsidR="00000000" w:rsidRPr="00000000">
          <w:rPr>
            <w:rFonts w:ascii="Roboto" w:cs="Roboto" w:eastAsia="Roboto" w:hAnsi="Roboto"/>
            <w:color w:val="1155cc"/>
            <w:sz w:val="20"/>
            <w:szCs w:val="20"/>
            <w:u w:val="single"/>
            <w:rtl w:val="0"/>
          </w:rPr>
          <w:t xml:space="preserve">https://doi.org/10.3390/info16020117</w:t>
        </w:r>
      </w:hyperlink>
      <w:r w:rsidDel="00000000" w:rsidR="00000000" w:rsidRPr="00000000">
        <w:rPr>
          <w:rtl w:val="0"/>
        </w:rPr>
      </w:r>
    </w:p>
    <w:p w:rsidR="00000000" w:rsidDel="00000000" w:rsidP="00000000" w:rsidRDefault="00000000" w:rsidRPr="00000000" w14:paraId="00000024">
      <w:pPr>
        <w:spacing w:after="240" w:before="240" w:lineRule="auto"/>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25">
      <w:pPr>
        <w:spacing w:after="240" w:before="240" w:lineRule="auto"/>
        <w:jc w:val="both"/>
        <w:rPr>
          <w:rFonts w:ascii="Roboto" w:cs="Roboto" w:eastAsia="Roboto" w:hAnsi="Roboto"/>
          <w:sz w:val="20"/>
          <w:szCs w:val="20"/>
        </w:rPr>
        <w:sectPr>
          <w:type w:val="continuous"/>
          <w:pgSz w:h="16838" w:w="11906" w:orient="portrait"/>
          <w:pgMar w:bottom="1134" w:top="1134" w:left="851" w:right="851" w:header="357" w:footer="720"/>
          <w:cols w:equalWidth="0" w:num="2">
            <w:col w:space="335" w:w="4934.5"/>
            <w:col w:space="0" w:w="4934.5"/>
          </w:cols>
        </w:sectPr>
      </w:pPr>
      <w:r w:rsidDel="00000000" w:rsidR="00000000" w:rsidRPr="00000000">
        <w:rPr>
          <w:rtl w:val="0"/>
        </w:rPr>
      </w:r>
    </w:p>
    <w:p w:rsidR="00000000" w:rsidDel="00000000" w:rsidP="00000000" w:rsidRDefault="00000000" w:rsidRPr="00000000" w14:paraId="00000026">
      <w:pPr>
        <w:spacing w:after="0" w:before="240" w:lineRule="auto"/>
        <w:jc w:val="center"/>
        <w:rPr>
          <w:rFonts w:ascii="Roboto" w:cs="Roboto" w:eastAsia="Roboto" w:hAnsi="Roboto"/>
          <w:b w:val="1"/>
          <w:bCs w:val="1"/>
          <w:color w:val="ff0000"/>
          <w:sz w:val="20"/>
          <w:szCs w:val="20"/>
        </w:rPr>
      </w:pPr>
      <w:r w:rsidDel="00000000" w:rsidR="00000000" w:rsidRPr="00000000">
        <w:rPr>
          <w:rFonts w:ascii="Roboto" w:cs="Roboto" w:eastAsia="Roboto" w:hAnsi="Roboto"/>
          <w:b w:val="1"/>
          <w:bCs w:val="1"/>
          <w:color w:val="ff0000"/>
          <w:sz w:val="20"/>
          <w:szCs w:val="20"/>
          <w:rtl w:val="0"/>
        </w:rPr>
        <w:t xml:space="preserve">NO ELIMINAR ESTA HOJA DEL ARCHIVO. ENVÍE EL ARCHIVO COMPLETO</w:t>
      </w:r>
    </w:p>
    <w:p w:rsidR="00000000" w:rsidDel="00000000" w:rsidP="00000000" w:rsidRDefault="00000000" w:rsidRPr="00000000" w14:paraId="00000027">
      <w:pPr>
        <w:spacing w:after="0" w:before="240" w:lineRule="auto"/>
        <w:jc w:val="center"/>
        <w:rPr>
          <w:rFonts w:ascii="Roboto" w:cs="Roboto" w:eastAsia="Roboto" w:hAnsi="Roboto"/>
          <w:b w:val="1"/>
          <w:bCs w:val="1"/>
          <w:color w:val="ff0000"/>
          <w:sz w:val="20"/>
          <w:szCs w:val="20"/>
        </w:rPr>
      </w:pPr>
      <w:r w:rsidDel="00000000" w:rsidR="00000000" w:rsidRPr="00000000">
        <w:rPr>
          <w:rFonts w:ascii="Roboto" w:cs="Roboto" w:eastAsia="Roboto" w:hAnsi="Roboto"/>
          <w:b w:val="1"/>
          <w:bCs w:val="1"/>
          <w:color w:val="ff0000"/>
          <w:sz w:val="20"/>
          <w:szCs w:val="20"/>
          <w:rtl w:val="0"/>
        </w:rPr>
        <w:t xml:space="preserve">Declaración de originalidad y autorización de publicación</w:t>
      </w:r>
    </w:p>
    <w:p w:rsidR="00000000" w:rsidDel="00000000" w:rsidP="00000000" w:rsidRDefault="00000000" w:rsidRPr="00000000" w14:paraId="00000028">
      <w:pPr>
        <w:spacing w:after="0" w:before="240" w:lineRule="auto"/>
        <w:jc w:val="center"/>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III Encuentro de Investigadores de la Red Internacional de Universidades Regnum Christi (RIU)</w:t>
      </w:r>
    </w:p>
    <w:p w:rsidR="00000000" w:rsidDel="00000000" w:rsidP="00000000" w:rsidRDefault="00000000" w:rsidRPr="00000000" w14:paraId="00000029">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Al enviar el presente resumen para su inclusión en las </w:t>
      </w:r>
      <w:r w:rsidDel="00000000" w:rsidR="00000000" w:rsidRPr="00000000">
        <w:rPr>
          <w:rFonts w:ascii="Roboto" w:cs="Roboto" w:eastAsia="Roboto" w:hAnsi="Roboto"/>
          <w:b w:val="1"/>
          <w:bCs w:val="1"/>
          <w:sz w:val="20"/>
          <w:szCs w:val="20"/>
          <w:rtl w:val="0"/>
        </w:rPr>
        <w:t xml:space="preserve">Memorias del III Encuentro de Investigadores de la Red Internacional de Universidades Regnum Christi (RIU)</w:t>
      </w:r>
      <w:r w:rsidDel="00000000" w:rsidR="00000000" w:rsidRPr="00000000">
        <w:rPr>
          <w:rFonts w:ascii="Roboto" w:cs="Roboto" w:eastAsia="Roboto" w:hAnsi="Roboto"/>
          <w:sz w:val="20"/>
          <w:szCs w:val="20"/>
          <w:rtl w:val="0"/>
        </w:rPr>
        <w:t xml:space="preserve">, los autores declaran y aceptan lo siguiente:</w:t>
      </w:r>
    </w:p>
    <w:p w:rsidR="00000000" w:rsidDel="00000000" w:rsidP="00000000" w:rsidRDefault="00000000" w:rsidRPr="00000000" w14:paraId="0000002A">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1. Declaración de originalidad</w:t>
      </w:r>
    </w:p>
    <w:p w:rsidR="00000000" w:rsidDel="00000000" w:rsidP="00000000" w:rsidRDefault="00000000" w:rsidRPr="00000000" w14:paraId="0000002B">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autores declaran que el trabajo presentado es </w:t>
      </w:r>
      <w:r w:rsidDel="00000000" w:rsidR="00000000" w:rsidRPr="00000000">
        <w:rPr>
          <w:rFonts w:ascii="Roboto" w:cs="Roboto" w:eastAsia="Roboto" w:hAnsi="Roboto"/>
          <w:b w:val="1"/>
          <w:bCs w:val="1"/>
          <w:sz w:val="20"/>
          <w:szCs w:val="20"/>
          <w:rtl w:val="0"/>
        </w:rPr>
        <w:t xml:space="preserve">original</w:t>
      </w:r>
      <w:r w:rsidDel="00000000" w:rsidR="00000000" w:rsidRPr="00000000">
        <w:rPr>
          <w:rFonts w:ascii="Roboto" w:cs="Roboto" w:eastAsia="Roboto" w:hAnsi="Roboto"/>
          <w:sz w:val="20"/>
          <w:szCs w:val="20"/>
          <w:rtl w:val="0"/>
        </w:rPr>
        <w:t xml:space="preserve">,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rsidR="00000000" w:rsidDel="00000000" w:rsidP="00000000" w:rsidRDefault="00000000" w:rsidRPr="00000000" w14:paraId="0000002C">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2. Titularidad de los derechos</w:t>
      </w:r>
    </w:p>
    <w:p w:rsidR="00000000" w:rsidDel="00000000" w:rsidP="00000000" w:rsidRDefault="00000000" w:rsidRPr="00000000" w14:paraId="0000002D">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autores </w:t>
      </w:r>
      <w:r w:rsidDel="00000000" w:rsidR="00000000" w:rsidRPr="00000000">
        <w:rPr>
          <w:rFonts w:ascii="Roboto" w:cs="Roboto" w:eastAsia="Roboto" w:hAnsi="Roboto"/>
          <w:b w:val="1"/>
          <w:bCs w:val="1"/>
          <w:sz w:val="20"/>
          <w:szCs w:val="20"/>
          <w:rtl w:val="0"/>
        </w:rPr>
        <w:t xml:space="preserve">conservan la titularidad de los derechos de autor y de propiedad intelectual</w:t>
      </w:r>
      <w:r w:rsidDel="00000000" w:rsidR="00000000" w:rsidRPr="00000000">
        <w:rPr>
          <w:rFonts w:ascii="Roboto" w:cs="Roboto" w:eastAsia="Roboto" w:hAnsi="Roboto"/>
          <w:sz w:val="20"/>
          <w:szCs w:val="20"/>
          <w:rtl w:val="0"/>
        </w:rPr>
        <w:t xml:space="preserve"> sobre el contenido del resumen y sobre la investigación descrita en el mismo. La aceptación de esta declaración </w:t>
      </w:r>
      <w:r w:rsidDel="00000000" w:rsidR="00000000" w:rsidRPr="00000000">
        <w:rPr>
          <w:rFonts w:ascii="Roboto" w:cs="Roboto" w:eastAsia="Roboto" w:hAnsi="Roboto"/>
          <w:b w:val="1"/>
          <w:bCs w:val="1"/>
          <w:sz w:val="20"/>
          <w:szCs w:val="20"/>
          <w:rtl w:val="0"/>
        </w:rPr>
        <w:t xml:space="preserve">no implica transferencia de derechos patrimoniales</w:t>
      </w:r>
      <w:r w:rsidDel="00000000" w:rsidR="00000000" w:rsidRPr="00000000">
        <w:rPr>
          <w:rFonts w:ascii="Roboto" w:cs="Roboto" w:eastAsia="Roboto" w:hAnsi="Roboto"/>
          <w:sz w:val="20"/>
          <w:szCs w:val="20"/>
          <w:rtl w:val="0"/>
        </w:rPr>
        <w:t xml:space="preserve"> al organizador del congreso ni al sello editorial responsable de la publicación.</w:t>
      </w:r>
    </w:p>
    <w:p w:rsidR="00000000" w:rsidDel="00000000" w:rsidP="00000000" w:rsidRDefault="00000000" w:rsidRPr="00000000" w14:paraId="0000002E">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3. Licencia de publicación</w:t>
      </w:r>
    </w:p>
    <w:p w:rsidR="00000000" w:rsidDel="00000000" w:rsidP="00000000" w:rsidRDefault="00000000" w:rsidRPr="00000000" w14:paraId="0000002F">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autores conceden al </w:t>
      </w:r>
      <w:r w:rsidDel="00000000" w:rsidR="00000000" w:rsidRPr="00000000">
        <w:rPr>
          <w:rFonts w:ascii="Roboto" w:cs="Roboto" w:eastAsia="Roboto" w:hAnsi="Roboto"/>
          <w:b w:val="1"/>
          <w:bCs w:val="1"/>
          <w:sz w:val="20"/>
          <w:szCs w:val="20"/>
          <w:rtl w:val="0"/>
        </w:rPr>
        <w:t xml:space="preserve">Sello Editorial de la Universidad Anáhuac Mayab</w:t>
      </w:r>
      <w:r w:rsidDel="00000000" w:rsidR="00000000" w:rsidRPr="00000000">
        <w:rPr>
          <w:rFonts w:ascii="Roboto" w:cs="Roboto" w:eastAsia="Roboto" w:hAnsi="Roboto"/>
          <w:sz w:val="20"/>
          <w:szCs w:val="20"/>
          <w:rtl w:val="0"/>
        </w:rPr>
        <w:t xml:space="preserve">, en su carácter de responsable de la edición de las memorias del evento, una </w:t>
      </w:r>
      <w:r w:rsidDel="00000000" w:rsidR="00000000" w:rsidRPr="00000000">
        <w:rPr>
          <w:rFonts w:ascii="Roboto" w:cs="Roboto" w:eastAsia="Roboto" w:hAnsi="Roboto"/>
          <w:b w:val="1"/>
          <w:bCs w:val="1"/>
          <w:sz w:val="20"/>
          <w:szCs w:val="20"/>
          <w:rtl w:val="0"/>
        </w:rPr>
        <w:t xml:space="preserve">licencia no exclusiva, gratuita y por tiempo indefinido</w:t>
      </w:r>
      <w:r w:rsidDel="00000000" w:rsidR="00000000" w:rsidRPr="00000000">
        <w:rPr>
          <w:rFonts w:ascii="Roboto" w:cs="Roboto" w:eastAsia="Roboto" w:hAnsi="Roboto"/>
          <w:sz w:val="20"/>
          <w:szCs w:val="20"/>
          <w:rtl w:val="0"/>
        </w:rPr>
        <w:t xml:space="preserve"> para:</w:t>
      </w:r>
    </w:p>
    <w:p w:rsidR="00000000" w:rsidDel="00000000" w:rsidP="00000000" w:rsidRDefault="00000000" w:rsidRPr="00000000" w14:paraId="00000030">
      <w:pPr>
        <w:numPr>
          <w:ilvl w:val="0"/>
          <w:numId w:val="1"/>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Publicar el resumen como parte de las </w:t>
      </w:r>
      <w:r w:rsidDel="00000000" w:rsidR="00000000" w:rsidRPr="00000000">
        <w:rPr>
          <w:rFonts w:ascii="Roboto" w:cs="Roboto" w:eastAsia="Roboto" w:hAnsi="Roboto"/>
          <w:b w:val="1"/>
          <w:bCs w:val="1"/>
          <w:sz w:val="20"/>
          <w:szCs w:val="20"/>
          <w:rtl w:val="0"/>
        </w:rPr>
        <w:t xml:space="preserve">Memorias del III Encuentro de Investigadores de la RIU</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1">
      <w:pPr>
        <w:numPr>
          <w:ilvl w:val="0"/>
          <w:numId w:val="1"/>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Realizar las adaptaciones editoriales necesarias para su </w:t>
      </w:r>
      <w:r w:rsidDel="00000000" w:rsidR="00000000" w:rsidRPr="00000000">
        <w:rPr>
          <w:rFonts w:ascii="Roboto" w:cs="Roboto" w:eastAsia="Roboto" w:hAnsi="Roboto"/>
          <w:b w:val="1"/>
          <w:bCs w:val="1"/>
          <w:sz w:val="20"/>
          <w:szCs w:val="20"/>
          <w:rtl w:val="0"/>
        </w:rPr>
        <w:t xml:space="preserve">corrección de estilo, maquetación y edición</w:t>
      </w:r>
      <w:r w:rsidDel="00000000" w:rsidR="00000000" w:rsidRPr="00000000">
        <w:rPr>
          <w:rFonts w:ascii="Roboto" w:cs="Roboto" w:eastAsia="Roboto" w:hAnsi="Roboto"/>
          <w:sz w:val="20"/>
          <w:szCs w:val="20"/>
          <w:rtl w:val="0"/>
        </w:rPr>
        <w:t xml:space="preserve"> dentro del volumen de memorias.</w:t>
      </w:r>
    </w:p>
    <w:p w:rsidR="00000000" w:rsidDel="00000000" w:rsidP="00000000" w:rsidRDefault="00000000" w:rsidRPr="00000000" w14:paraId="00000032">
      <w:pPr>
        <w:numPr>
          <w:ilvl w:val="0"/>
          <w:numId w:val="1"/>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Reproducir, distribuir y comunicar públicamente el contenido en </w:t>
      </w:r>
      <w:r w:rsidDel="00000000" w:rsidR="00000000" w:rsidRPr="00000000">
        <w:rPr>
          <w:rFonts w:ascii="Roboto" w:cs="Roboto" w:eastAsia="Roboto" w:hAnsi="Roboto"/>
          <w:b w:val="1"/>
          <w:bCs w:val="1"/>
          <w:sz w:val="20"/>
          <w:szCs w:val="20"/>
          <w:rtl w:val="0"/>
        </w:rPr>
        <w:t xml:space="preserve">formatos impresos y digitales</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3">
      <w:pPr>
        <w:numPr>
          <w:ilvl w:val="0"/>
          <w:numId w:val="1"/>
        </w:numPr>
        <w:spacing w:after="24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Difundir la obra a través de </w:t>
      </w:r>
      <w:r w:rsidDel="00000000" w:rsidR="00000000" w:rsidRPr="00000000">
        <w:rPr>
          <w:rFonts w:ascii="Roboto" w:cs="Roboto" w:eastAsia="Roboto" w:hAnsi="Roboto"/>
          <w:b w:val="1"/>
          <w:bCs w:val="1"/>
          <w:sz w:val="20"/>
          <w:szCs w:val="20"/>
          <w:rtl w:val="0"/>
        </w:rPr>
        <w:t xml:space="preserve">repositorios institucionales, bibliotecas digitales, plataformas académicas, bases de datos, sitios web institucionales y otros medios de difusión científica</w:t>
      </w:r>
      <w:r w:rsidDel="00000000" w:rsidR="00000000" w:rsidRPr="00000000">
        <w:rPr>
          <w:rFonts w:ascii="Roboto" w:cs="Roboto" w:eastAsia="Roboto" w:hAnsi="Roboto"/>
          <w:sz w:val="20"/>
          <w:szCs w:val="20"/>
          <w:rtl w:val="0"/>
        </w:rPr>
        <w:t xml:space="preserve"> vinculados al congreso, a la Universidad Anáhuac Mayab o a la Red Internacional de Universidades Regnum Christi.</w:t>
      </w:r>
    </w:p>
    <w:p w:rsidR="00000000" w:rsidDel="00000000" w:rsidP="00000000" w:rsidRDefault="00000000" w:rsidRPr="00000000" w14:paraId="00000034">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4. Alcance de la autorización</w:t>
      </w:r>
    </w:p>
    <w:p w:rsidR="00000000" w:rsidDel="00000000" w:rsidP="00000000" w:rsidRDefault="00000000" w:rsidRPr="00000000" w14:paraId="00000035">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La presente autorización se limita exclusivamente a la </w:t>
      </w:r>
      <w:r w:rsidDel="00000000" w:rsidR="00000000" w:rsidRPr="00000000">
        <w:rPr>
          <w:rFonts w:ascii="Roboto" w:cs="Roboto" w:eastAsia="Roboto" w:hAnsi="Roboto"/>
          <w:b w:val="1"/>
          <w:bCs w:val="1"/>
          <w:sz w:val="20"/>
          <w:szCs w:val="20"/>
          <w:rtl w:val="0"/>
        </w:rPr>
        <w:t xml:space="preserve">publicación del resumen dentro de las memorias del congreso</w:t>
      </w:r>
      <w:r w:rsidDel="00000000" w:rsidR="00000000" w:rsidRPr="00000000">
        <w:rPr>
          <w:rFonts w:ascii="Roboto" w:cs="Roboto" w:eastAsia="Roboto" w:hAnsi="Roboto"/>
          <w:sz w:val="20"/>
          <w:szCs w:val="20"/>
          <w:rtl w:val="0"/>
        </w:rPr>
        <w:t xml:space="preserve"> y no restringe el derecho de los autores a:</w:t>
      </w:r>
    </w:p>
    <w:p w:rsidR="00000000" w:rsidDel="00000000" w:rsidP="00000000" w:rsidRDefault="00000000" w:rsidRPr="00000000" w14:paraId="00000036">
      <w:pPr>
        <w:numPr>
          <w:ilvl w:val="0"/>
          <w:numId w:val="2"/>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Publicar versiones ampliadas del trabajo en </w:t>
      </w:r>
      <w:r w:rsidDel="00000000" w:rsidR="00000000" w:rsidRPr="00000000">
        <w:rPr>
          <w:rFonts w:ascii="Roboto" w:cs="Roboto" w:eastAsia="Roboto" w:hAnsi="Roboto"/>
          <w:b w:val="1"/>
          <w:bCs w:val="1"/>
          <w:sz w:val="20"/>
          <w:szCs w:val="20"/>
          <w:rtl w:val="0"/>
        </w:rPr>
        <w:t xml:space="preserve">revistas científicas, libros u otros medios académicos</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7">
      <w:pPr>
        <w:numPr>
          <w:ilvl w:val="0"/>
          <w:numId w:val="2"/>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Utilizar el contenido en </w:t>
      </w:r>
      <w:r w:rsidDel="00000000" w:rsidR="00000000" w:rsidRPr="00000000">
        <w:rPr>
          <w:rFonts w:ascii="Roboto" w:cs="Roboto" w:eastAsia="Roboto" w:hAnsi="Roboto"/>
          <w:b w:val="1"/>
          <w:bCs w:val="1"/>
          <w:sz w:val="20"/>
          <w:szCs w:val="20"/>
          <w:rtl w:val="0"/>
        </w:rPr>
        <w:t xml:space="preserve">tesis, proyectos de investigación, reportes técnicos u otras publicaciones académicas</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8">
      <w:pPr>
        <w:numPr>
          <w:ilvl w:val="0"/>
          <w:numId w:val="2"/>
        </w:numPr>
        <w:spacing w:after="24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Difundir su investigación en otros espacios científicos o de divulgación.</w:t>
      </w:r>
    </w:p>
    <w:p w:rsidR="00000000" w:rsidDel="00000000" w:rsidP="00000000" w:rsidRDefault="00000000" w:rsidRPr="00000000" w14:paraId="00000039">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5. Responsabilidad del contenido</w:t>
      </w:r>
    </w:p>
    <w:p w:rsidR="00000000" w:rsidDel="00000000" w:rsidP="00000000" w:rsidRDefault="00000000" w:rsidRPr="00000000" w14:paraId="0000003A">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autores asumen plena responsabilidad por el contenido del resumen, incluyendo la </w:t>
      </w:r>
      <w:r w:rsidDel="00000000" w:rsidR="00000000" w:rsidRPr="00000000">
        <w:rPr>
          <w:rFonts w:ascii="Roboto" w:cs="Roboto" w:eastAsia="Roboto" w:hAnsi="Roboto"/>
          <w:b w:val="1"/>
          <w:bCs w:val="1"/>
          <w:sz w:val="20"/>
          <w:szCs w:val="20"/>
          <w:rtl w:val="0"/>
        </w:rPr>
        <w:t xml:space="preserve">veracidad de la información presentada, el cumplimiento de normas éticas de investigación y el respeto a derechos de terceros</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B">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6. Aceptación de la declaración</w:t>
      </w:r>
    </w:p>
    <w:p w:rsidR="00000000" w:rsidDel="00000000" w:rsidP="00000000" w:rsidRDefault="00000000" w:rsidRPr="00000000" w14:paraId="0000003C">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El envío del resumen mediante el sistema o formato oficial del congreso </w:t>
      </w:r>
      <w:r w:rsidDel="00000000" w:rsidR="00000000" w:rsidRPr="00000000">
        <w:rPr>
          <w:rFonts w:ascii="Roboto" w:cs="Roboto" w:eastAsia="Roboto" w:hAnsi="Roboto"/>
          <w:b w:val="1"/>
          <w:bCs w:val="1"/>
          <w:sz w:val="20"/>
          <w:szCs w:val="20"/>
          <w:rtl w:val="0"/>
        </w:rPr>
        <w:t xml:space="preserve">constituye evidencia de que todos los autores conocen y aceptan los términos de la presente declaración y autorización de publicación</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D">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   X  )  Declaro que he leído y acepto los términos de esta declaración y autorización de publicación.</w:t>
      </w:r>
    </w:p>
    <w:p w:rsidR="00000000" w:rsidDel="00000000" w:rsidP="00000000" w:rsidRDefault="00000000" w:rsidRPr="00000000" w14:paraId="0000003E">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Autor responsable: ELIA PADILLA AGUILLON</w:t>
        <w:br w:type="textWrapping"/>
      </w:r>
      <w:r w:rsidDel="00000000" w:rsidR="00000000" w:rsidRPr="00000000">
        <w:rPr>
          <w:rFonts w:ascii="Roboto" w:cs="Roboto" w:eastAsia="Roboto" w:hAnsi="Roboto"/>
          <w:sz w:val="20"/>
          <w:szCs w:val="20"/>
          <w:rtl w:val="0"/>
        </w:rPr>
        <w:t xml:space="preserve"> </w:t>
      </w:r>
      <w:r w:rsidDel="00000000" w:rsidR="00000000" w:rsidRPr="00000000">
        <w:rPr>
          <w:rFonts w:ascii="Roboto" w:cs="Roboto" w:eastAsia="Roboto" w:hAnsi="Roboto"/>
          <w:b w:val="1"/>
          <w:bCs w:val="1"/>
          <w:sz w:val="20"/>
          <w:szCs w:val="20"/>
          <w:rtl w:val="0"/>
        </w:rPr>
        <w:t xml:space="preserve">Institución: ANAHUAC ONLINE</w:t>
        <w:br w:type="textWrapping"/>
      </w:r>
      <w:r w:rsidDel="00000000" w:rsidR="00000000" w:rsidRPr="00000000">
        <w:rPr>
          <w:rFonts w:ascii="Roboto" w:cs="Roboto" w:eastAsia="Roboto" w:hAnsi="Roboto"/>
          <w:sz w:val="20"/>
          <w:szCs w:val="20"/>
          <w:rtl w:val="0"/>
        </w:rPr>
        <w:t xml:space="preserve"> </w:t>
      </w:r>
      <w:r w:rsidDel="00000000" w:rsidR="00000000" w:rsidRPr="00000000">
        <w:rPr>
          <w:rFonts w:ascii="Roboto" w:cs="Roboto" w:eastAsia="Roboto" w:hAnsi="Roboto"/>
          <w:b w:val="1"/>
          <w:bCs w:val="1"/>
          <w:sz w:val="20"/>
          <w:szCs w:val="20"/>
          <w:rtl w:val="0"/>
        </w:rPr>
        <w:t xml:space="preserve">Título del trabajo con autores: Agentes Pedagógicos: Sistematización de experiencias con IA y retos en su implementación educativa, por Elia Padilla</w:t>
      </w:r>
    </w:p>
    <w:p w:rsidR="00000000" w:rsidDel="00000000" w:rsidP="00000000" w:rsidRDefault="00000000" w:rsidRPr="00000000" w14:paraId="0000003F">
      <w:pPr>
        <w:spacing w:after="240" w:before="240" w:lineRule="auto"/>
        <w:jc w:val="both"/>
        <w:rPr>
          <w:rFonts w:ascii="Roboto" w:cs="Roboto" w:eastAsia="Roboto" w:hAnsi="Roboto"/>
          <w:b w:val="1"/>
          <w:bCs w:val="1"/>
          <w:sz w:val="20"/>
          <w:szCs w:val="20"/>
        </w:rPr>
      </w:pPr>
      <w:r w:rsidDel="00000000" w:rsidR="00000000" w:rsidRPr="00000000">
        <w:rPr>
          <w:rtl w:val="0"/>
        </w:rPr>
      </w:r>
    </w:p>
    <w:sectPr>
      <w:type w:val="nextPage"/>
      <w:pgSz w:h="16838" w:w="11906" w:orient="portrait"/>
      <w:pgMar w:bottom="1134" w:top="1134" w:left="851" w:right="851" w:header="357"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libri"/>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0">
    <w:pPr>
      <w:widowControl w:val="0"/>
      <w:pBdr>
        <w:top w:space="0" w:sz="0" w:val="nil"/>
        <w:left w:space="0" w:sz="0" w:val="nil"/>
        <w:bottom w:space="0" w:sz="0" w:val="nil"/>
        <w:right w:space="0" w:sz="0" w:val="nil"/>
        <w:between w:space="0" w:sz="0" w:val="nil"/>
      </w:pBdr>
      <w:spacing w:line="276" w:lineRule="auto"/>
      <w:rPr>
        <w:rFonts w:ascii="Roboto" w:cs="Roboto" w:eastAsia="Roboto" w:hAnsi="Roboto"/>
      </w:rPr>
    </w:pPr>
    <w:r w:rsidDel="00000000" w:rsidR="00000000" w:rsidRPr="00000000">
      <w:rPr>
        <w:rtl w:val="0"/>
      </w:rPr>
    </w:r>
  </w:p>
  <w:tbl>
    <w:tblPr>
      <w:tblStyle w:val="Table1"/>
      <w:tblW w:w="6306.0" w:type="dxa"/>
      <w:jc w:val="center"/>
      <w:tblLayout w:type="fixed"/>
      <w:tblLook w:val="0400"/>
    </w:tblPr>
    <w:tblGrid>
      <w:gridCol w:w="6306"/>
      <w:tblGridChange w:id="0">
        <w:tblGrid>
          <w:gridCol w:w="6306"/>
        </w:tblGrid>
      </w:tblGridChange>
    </w:tblGrid>
    <w:tr>
      <w:trPr>
        <w:cantSplit w:val="0"/>
        <w:trHeight w:val="345" w:hRule="atLeast"/>
        <w:tblHeader w:val="0"/>
      </w:trPr>
      <w:tc>
        <w:tcPr>
          <w:vAlign w:val="center"/>
        </w:tcPr>
        <w:p w:rsidR="00000000" w:rsidDel="00000000" w:rsidP="00000000" w:rsidRDefault="00000000" w:rsidRPr="00000000" w14:paraId="00000041">
          <w:pPr>
            <w:jc w:val="center"/>
            <w:rPr>
              <w:i w:val="1"/>
              <w:iCs w:val="1"/>
              <w:sz w:val="18"/>
              <w:szCs w:val="18"/>
            </w:rPr>
          </w:pPr>
          <w:r w:rsidDel="00000000" w:rsidR="00000000" w:rsidRPr="00000000">
            <w:rPr>
              <w:rtl w:val="0"/>
            </w:rPr>
          </w:r>
        </w:p>
      </w:tc>
    </w:tr>
  </w:tbl>
  <w:p w:rsidR="00000000" w:rsidDel="00000000" w:rsidP="00000000" w:rsidRDefault="00000000" w:rsidRPr="00000000" w14:paraId="00000042">
    <w:pPr>
      <w:pBdr>
        <w:top w:space="0" w:sz="0" w:val="nil"/>
        <w:left w:space="0" w:sz="0" w:val="nil"/>
        <w:bottom w:space="0" w:sz="0" w:val="nil"/>
        <w:right w:space="0" w:sz="0" w:val="nil"/>
        <w:between w:space="0" w:sz="0" w:val="nil"/>
      </w:pBdr>
      <w:tabs>
        <w:tab w:val="center" w:leader="none" w:pos="4320"/>
        <w:tab w:val="right" w:leader="none" w:pos="8640"/>
      </w:tabs>
      <w:rPr>
        <w:rFonts w:ascii="Calibri" w:cs="Calibri" w:eastAsia="Calibri" w:hAnsi="Calibri"/>
        <w:color w:val="000000"/>
        <w:sz w:val="22"/>
        <w:szCs w:val="22"/>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MX"/>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80" w:lineRule="auto"/>
    </w:pPr>
    <w:rPr>
      <w:b w:val="1"/>
      <w:bCs w:val="1"/>
      <w:sz w:val="48"/>
      <w:szCs w:val="48"/>
    </w:rPr>
  </w:style>
  <w:style w:type="paragraph" w:styleId="Heading2">
    <w:name w:val="heading 2"/>
    <w:basedOn w:val="Normal"/>
    <w:next w:val="Normal"/>
    <w:pPr>
      <w:keepNext w:val="1"/>
      <w:keepLines w:val="1"/>
      <w:spacing w:after="80" w:before="360" w:lineRule="auto"/>
    </w:pPr>
    <w:rPr>
      <w:b w:val="1"/>
      <w:bCs w:val="1"/>
      <w:sz w:val="36"/>
      <w:szCs w:val="3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Normal"/>
    <w:tblPr>
      <w:tblCellMar>
        <w:top w:w="100.0" w:type="dxa"/>
        <w:left w:w="100.0" w:type="dxa"/>
        <w:bottom w:w="100.0" w:type="dxa"/>
        <w:right w:w="100.0" w:type="dxa"/>
      </w:tblCellMar>
    </w:tblPr>
  </w:style>
  <w:style w:type="paragraph" w:styleId="Encabezado">
    <w:name w:val="header"/>
    <w:basedOn w:val="Normal"/>
    <w:link w:val="EncabezadoCar"/>
    <w:uiPriority w:val="99"/>
    <w:unhideWhenUsed w:val="1"/>
    <w:rsid w:val="005625FC"/>
    <w:pPr>
      <w:tabs>
        <w:tab w:val="center" w:pos="4320"/>
        <w:tab w:val="right" w:pos="8640"/>
      </w:tabs>
    </w:pPr>
    <w:rPr>
      <w:rFonts w:asciiTheme="minorHAnsi" w:cstheme="minorBidi" w:eastAsiaTheme="minorHAnsi" w:hAnsiTheme="minorHAnsi"/>
      <w:sz w:val="22"/>
      <w:szCs w:val="22"/>
      <w:lang w:val="en-US"/>
    </w:rPr>
  </w:style>
  <w:style w:type="character" w:styleId="EncabezadoCar" w:customStyle="1">
    <w:name w:val="Encabezado Car"/>
    <w:basedOn w:val="Fuentedeprrafopredeter"/>
    <w:link w:val="Encabezado"/>
    <w:uiPriority w:val="99"/>
    <w:rsid w:val="005625FC"/>
    <w:rPr>
      <w:lang w:val="en-US"/>
    </w:rPr>
  </w:style>
  <w:style w:type="paragraph" w:styleId="AUTHORSNAMES" w:customStyle="1">
    <w:name w:val="AUTHORS NAMES"/>
    <w:basedOn w:val="Normal"/>
    <w:qFormat w:val="1"/>
    <w:rsid w:val="005625FC"/>
    <w:pPr>
      <w:spacing w:after="120" w:before="120" w:line="240" w:lineRule="atLeast"/>
    </w:pPr>
    <w:rPr>
      <w:b w:val="1"/>
      <w:sz w:val="22"/>
      <w:szCs w:val="20"/>
    </w:rPr>
  </w:style>
  <w:style w:type="paragraph" w:styleId="AFFILIATIONS" w:customStyle="1">
    <w:name w:val="AFFILIATIONS"/>
    <w:basedOn w:val="Normal"/>
    <w:qFormat w:val="1"/>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styleId="TextocomentarioCar" w:customStyle="1">
    <w:name w:val="Texto comentario Car"/>
    <w:basedOn w:val="Fuentedeprrafopredeter"/>
    <w:link w:val="Textocomentario"/>
    <w:rsid w:val="005625FC"/>
    <w:rPr>
      <w:rFonts w:ascii="Times New Roman" w:cs="Times New Roman" w:eastAsia="Times New Roman" w:hAnsi="Times New Roman"/>
      <w:sz w:val="20"/>
      <w:szCs w:val="20"/>
      <w:lang w:eastAsia="tr-TR" w:val="tr-TR"/>
    </w:rPr>
  </w:style>
  <w:style w:type="character" w:styleId="Hipervnculo">
    <w:name w:val="Hyperlink"/>
    <w:basedOn w:val="Fuentedeprrafopredeter"/>
    <w:uiPriority w:val="99"/>
    <w:unhideWhenUsed w:val="1"/>
    <w:rsid w:val="005625FC"/>
    <w:rPr>
      <w:color w:val="0563c1" w:themeColor="hyperlink"/>
      <w:u w:val="single"/>
    </w:rPr>
  </w:style>
  <w:style w:type="paragraph" w:styleId="Piedepgina">
    <w:name w:val="footer"/>
    <w:basedOn w:val="Normal"/>
    <w:link w:val="PiedepginaCar"/>
    <w:uiPriority w:val="99"/>
    <w:unhideWhenUsed w:val="1"/>
    <w:rsid w:val="00B12BB3"/>
    <w:pPr>
      <w:tabs>
        <w:tab w:val="center" w:pos="4419"/>
        <w:tab w:val="right" w:pos="8838"/>
      </w:tabs>
    </w:pPr>
  </w:style>
  <w:style w:type="character" w:styleId="PiedepginaCar" w:customStyle="1">
    <w:name w:val="Pie de página Car"/>
    <w:basedOn w:val="Fuentedeprrafopredeter"/>
    <w:link w:val="Piedepgina"/>
    <w:uiPriority w:val="99"/>
    <w:rsid w:val="00B12BB3"/>
    <w:rPr>
      <w:rFonts w:ascii="Times New Roman" w:cs="Times New Roman" w:eastAsia="Times New Roman" w:hAnsi="Times New Roman"/>
      <w:sz w:val="24"/>
      <w:szCs w:val="24"/>
      <w:lang w:eastAsia="tr-TR" w:val="tr-TR"/>
    </w:rPr>
  </w:style>
  <w:style w:type="character" w:styleId="Mencinsinresolver">
    <w:name w:val="Unresolved Mention"/>
    <w:basedOn w:val="Fuentedeprrafopredeter"/>
    <w:uiPriority w:val="99"/>
    <w:semiHidden w:val="1"/>
    <w:unhideWhenUsed w:val="1"/>
    <w:rsid w:val="00AC5917"/>
    <w:rPr>
      <w:color w:val="605e5c"/>
      <w:shd w:color="auto" w:fill="e1dfdd" w:val="clear"/>
    </w:rPr>
  </w:style>
  <w:style w:type="table" w:styleId="a" w:customStyle="1">
    <w:basedOn w:val="TableNormal"/>
    <w:tblPr>
      <w:tblStyleRowBandSize w:val="1"/>
      <w:tblStyleColBandSize w:val="1"/>
      <w:tblCellMar>
        <w:top w:w="0.0" w:type="dxa"/>
        <w:left w:w="115.0" w:type="dxa"/>
        <w:bottom w:w="0.0" w:type="dxa"/>
        <w:right w:w="115.0" w:type="dxa"/>
      </w:tblCellMar>
    </w:tblPr>
  </w:style>
  <w:style w:type="table" w:styleId="a0" w:customStyle="1">
    <w:basedOn w:val="TableNormal"/>
    <w:tblPr>
      <w:tblStyleRowBandSize w:val="1"/>
      <w:tblStyleColBandSize w:val="1"/>
      <w:tblCellMar>
        <w:top w:w="0.0" w:type="dxa"/>
        <w:left w:w="115.0" w:type="dxa"/>
        <w:bottom w:w="0.0" w:type="dxa"/>
        <w:right w:w="115.0" w:type="dxa"/>
      </w:tblCellMar>
    </w:tbl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1">
    <w:basedOn w:val="TableNormal"/>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hdl.handle.net/2144/49844" TargetMode="External"/><Relationship Id="rId10" Type="http://schemas.openxmlformats.org/officeDocument/2006/relationships/hyperlink" Target="https://doi.org/10.3390/info16060469" TargetMode="External"/><Relationship Id="rId13" Type="http://schemas.openxmlformats.org/officeDocument/2006/relationships/hyperlink" Target="https://doi.org/10.3390/info16020117" TargetMode="External"/><Relationship Id="rId12" Type="http://schemas.openxmlformats.org/officeDocument/2006/relationships/hyperlink" Target="https://doi.org/10.1016/j.caeai.2023.100133"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org/10.1016/j.caeai.2023.100150"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yperlink" Target="https://doi.org/10.1057/s41599-024-02602-w"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2NKL2mWExHRXvMZ1PLfHAGlwNLQ==">CgMxLjA4AHIhMUtzOGx2WDJNU3BZRjJTVTdlVC1pdk5jbXVMOTVHZ0dM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2025-09-09T17:06:00Z</dcterms:created>
  <dc:creator>Mariana Berenice González Leija</dc:creator>
</cp:coreProperties>
</file>