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26CF84" w14:textId="3B0409C9" w:rsidR="002E1643" w:rsidRDefault="00B922FE">
      <w:pPr>
        <w:pBdr>
          <w:top w:val="nil"/>
          <w:left w:val="nil"/>
          <w:bottom w:val="nil"/>
          <w:right w:val="nil"/>
          <w:between w:val="nil"/>
        </w:pBdr>
        <w:spacing w:before="120" w:after="120"/>
        <w:jc w:val="center"/>
        <w:rPr>
          <w:b/>
          <w:color w:val="000000"/>
          <w:sz w:val="18"/>
          <w:lang w:val="en-US"/>
        </w:rPr>
      </w:pPr>
      <w:r w:rsidRPr="00B922FE">
        <w:rPr>
          <w:b/>
          <w:color w:val="000000"/>
          <w:sz w:val="18"/>
          <w:lang w:val="en-US"/>
        </w:rPr>
        <w:t xml:space="preserve">Estimation of the Discharge of Sunscreens in Aquatic </w:t>
      </w:r>
      <w:r w:rsidR="002E1643" w:rsidRPr="00B922FE">
        <w:rPr>
          <w:b/>
          <w:color w:val="000000"/>
          <w:sz w:val="18"/>
          <w:lang w:val="en-US"/>
        </w:rPr>
        <w:t>Environments in</w:t>
      </w:r>
      <w:r w:rsidRPr="00B922FE">
        <w:rPr>
          <w:b/>
          <w:color w:val="000000"/>
          <w:sz w:val="18"/>
          <w:lang w:val="en-US"/>
        </w:rPr>
        <w:t xml:space="preserve"> tourist sites: Case </w:t>
      </w:r>
      <w:proofErr w:type="spellStart"/>
      <w:r w:rsidRPr="00B922FE">
        <w:rPr>
          <w:b/>
          <w:color w:val="000000"/>
          <w:sz w:val="18"/>
          <w:lang w:val="en-US"/>
        </w:rPr>
        <w:t>Holbox</w:t>
      </w:r>
      <w:proofErr w:type="spellEnd"/>
      <w:r w:rsidRPr="00B922FE">
        <w:rPr>
          <w:b/>
          <w:color w:val="000000"/>
          <w:sz w:val="18"/>
          <w:lang w:val="en-US"/>
        </w:rPr>
        <w:t xml:space="preserve"> Island, </w:t>
      </w:r>
      <w:proofErr w:type="spellStart"/>
      <w:r w:rsidRPr="00B922FE">
        <w:rPr>
          <w:b/>
          <w:color w:val="000000"/>
          <w:sz w:val="18"/>
          <w:lang w:val="en-US"/>
        </w:rPr>
        <w:t>Quintana</w:t>
      </w:r>
      <w:proofErr w:type="spellEnd"/>
      <w:r w:rsidRPr="00B922FE">
        <w:rPr>
          <w:b/>
          <w:color w:val="000000"/>
          <w:sz w:val="18"/>
          <w:lang w:val="en-US"/>
        </w:rPr>
        <w:t xml:space="preserve"> Roo, México</w:t>
      </w:r>
    </w:p>
    <w:p w14:paraId="6E626DEA" w14:textId="09F695E7" w:rsidR="00A81250" w:rsidRPr="00A01EA5" w:rsidRDefault="00A81250">
      <w:pPr>
        <w:pBdr>
          <w:top w:val="nil"/>
          <w:left w:val="nil"/>
          <w:bottom w:val="nil"/>
          <w:right w:val="nil"/>
          <w:between w:val="nil"/>
        </w:pBdr>
        <w:spacing w:before="120" w:after="120"/>
        <w:jc w:val="center"/>
        <w:rPr>
          <w:b/>
          <w:color w:val="000000"/>
          <w:sz w:val="18"/>
        </w:rPr>
      </w:pPr>
      <w:r w:rsidRPr="00A01EA5">
        <w:rPr>
          <w:b/>
          <w:color w:val="000000"/>
          <w:sz w:val="18"/>
        </w:rPr>
        <w:t>Casas-Beltrán, Diego Armando</w:t>
      </w:r>
      <w:r w:rsidRPr="00A01EA5">
        <w:rPr>
          <w:b/>
          <w:color w:val="000000"/>
          <w:sz w:val="14"/>
          <w:vertAlign w:val="superscript"/>
        </w:rPr>
        <w:t>1*</w:t>
      </w:r>
    </w:p>
    <w:p w14:paraId="04ABC737" w14:textId="69507F9C" w:rsidR="001C5C5A" w:rsidRDefault="00A81250">
      <w:pPr>
        <w:pBdr>
          <w:top w:val="nil"/>
          <w:left w:val="nil"/>
          <w:bottom w:val="nil"/>
          <w:right w:val="nil"/>
          <w:between w:val="nil"/>
        </w:pBdr>
        <w:spacing w:before="120" w:after="120"/>
        <w:jc w:val="center"/>
        <w:rPr>
          <w:rFonts w:ascii="Roboto" w:eastAsia="Roboto" w:hAnsi="Roboto" w:cs="Roboto"/>
          <w:b/>
          <w:bCs/>
          <w:color w:val="000000"/>
          <w:sz w:val="20"/>
          <w:szCs w:val="20"/>
        </w:rPr>
      </w:pPr>
      <w:r>
        <w:rPr>
          <w:b/>
          <w:color w:val="000000"/>
          <w:sz w:val="18"/>
        </w:rPr>
        <w:t>García-Gual, Blanca Azucena</w:t>
      </w:r>
      <w:r>
        <w:rPr>
          <w:b/>
          <w:color w:val="000000"/>
          <w:sz w:val="14"/>
          <w:vertAlign w:val="superscript"/>
        </w:rPr>
        <w:t>1</w:t>
      </w:r>
    </w:p>
    <w:p w14:paraId="4D0643E0" w14:textId="3C401002" w:rsidR="001C5C5A" w:rsidRDefault="008E4310">
      <w:pPr>
        <w:pBdr>
          <w:top w:val="nil"/>
          <w:left w:val="nil"/>
          <w:bottom w:val="nil"/>
          <w:right w:val="nil"/>
          <w:between w:val="nil"/>
        </w:pBdr>
        <w:jc w:val="center"/>
        <w:rPr>
          <w:rFonts w:ascii="Roboto" w:eastAsia="Roboto" w:hAnsi="Roboto" w:cs="Roboto"/>
          <w:color w:val="000000"/>
          <w:sz w:val="18"/>
          <w:szCs w:val="18"/>
          <w:vertAlign w:val="superscript"/>
        </w:rPr>
      </w:pPr>
      <w:r>
        <w:rPr>
          <w:color w:val="000000"/>
          <w:sz w:val="14"/>
          <w:vertAlign w:val="superscript"/>
        </w:rPr>
        <w:t>1</w:t>
      </w:r>
      <w:r>
        <w:rPr>
          <w:color w:val="000000"/>
          <w:sz w:val="18"/>
        </w:rPr>
        <w:t xml:space="preserve">Universidad </w:t>
      </w:r>
      <w:r w:rsidR="00A81250">
        <w:rPr>
          <w:color w:val="000000"/>
          <w:sz w:val="18"/>
        </w:rPr>
        <w:t>Anáhuac</w:t>
      </w:r>
      <w:r w:rsidR="00372859">
        <w:rPr>
          <w:color w:val="000000"/>
          <w:sz w:val="18"/>
        </w:rPr>
        <w:t xml:space="preserve"> </w:t>
      </w:r>
      <w:r w:rsidR="00A81250">
        <w:rPr>
          <w:color w:val="000000"/>
          <w:sz w:val="18"/>
        </w:rPr>
        <w:t xml:space="preserve">Cancún, </w:t>
      </w:r>
      <w:r w:rsidR="00372859">
        <w:rPr>
          <w:color w:val="000000"/>
          <w:sz w:val="18"/>
        </w:rPr>
        <w:t xml:space="preserve">ORCID </w:t>
      </w:r>
      <w:r w:rsidR="00372859" w:rsidRPr="00372859">
        <w:rPr>
          <w:color w:val="000000"/>
          <w:sz w:val="18"/>
        </w:rPr>
        <w:t>0000-0002-5329-7261</w:t>
      </w:r>
      <w:r w:rsidR="00372859">
        <w:rPr>
          <w:color w:val="000000"/>
          <w:sz w:val="18"/>
        </w:rPr>
        <w:t xml:space="preserve"> y </w:t>
      </w:r>
      <w:r w:rsidR="00372859" w:rsidRPr="00372859">
        <w:rPr>
          <w:color w:val="000000"/>
          <w:sz w:val="18"/>
        </w:rPr>
        <w:t>0009-0004-1555-1136</w:t>
      </w:r>
    </w:p>
    <w:p w14:paraId="0466B960" w14:textId="1C807637" w:rsidR="001C5C5A" w:rsidRDefault="001C5C5A">
      <w:pPr>
        <w:jc w:val="center"/>
        <w:rPr>
          <w:rFonts w:ascii="Roboto" w:eastAsia="Roboto" w:hAnsi="Roboto" w:cs="Roboto"/>
          <w:sz w:val="18"/>
          <w:szCs w:val="18"/>
        </w:rPr>
      </w:pPr>
    </w:p>
    <w:p w14:paraId="73E258E9" w14:textId="7AD97BD3" w:rsidR="001C5C5A" w:rsidRDefault="008E4310">
      <w:pPr>
        <w:jc w:val="center"/>
        <w:rPr>
          <w:rFonts w:ascii="Roboto" w:eastAsia="Roboto" w:hAnsi="Roboto" w:cs="Roboto"/>
          <w:sz w:val="18"/>
          <w:szCs w:val="18"/>
        </w:rPr>
      </w:pPr>
      <w:r>
        <w:rPr>
          <w:i/>
          <w:color w:val="000000"/>
          <w:sz w:val="18"/>
        </w:rPr>
        <w:t xml:space="preserve">*Autor de correspondencia </w:t>
      </w:r>
      <w:hyperlink r:id="rId8" w:history="1">
        <w:r w:rsidR="00A81250" w:rsidRPr="00752347">
          <w:rPr>
            <w:rStyle w:val="Hipervnculo"/>
            <w:i/>
            <w:sz w:val="18"/>
          </w:rPr>
          <w:t>dcasas@anahuac.mx</w:t>
        </w:r>
      </w:hyperlink>
      <w:r w:rsidR="00A81250">
        <w:rPr>
          <w:i/>
          <w:color w:val="000000"/>
          <w:sz w:val="18"/>
        </w:rPr>
        <w:t xml:space="preserve"> </w:t>
      </w:r>
    </w:p>
    <w:p w14:paraId="4D79D5F5" w14:textId="51B9576E" w:rsidR="001C5C5A" w:rsidRDefault="00000000">
      <w:pPr>
        <w:spacing w:before="60"/>
        <w:jc w:val="center"/>
        <w:rPr>
          <w:rFonts w:ascii="Roboto" w:eastAsia="Roboto" w:hAnsi="Roboto" w:cs="Roboto"/>
          <w:sz w:val="18"/>
          <w:szCs w:val="18"/>
        </w:rPr>
        <w:sectPr w:rsidR="001C5C5A">
          <w:headerReference w:type="default" r:id="rId9"/>
          <w:pgSz w:w="11906" w:h="16838"/>
          <w:pgMar w:top="851" w:right="851" w:bottom="828" w:left="851" w:header="357" w:footer="720" w:gutter="0"/>
          <w:pgNumType w:start="1"/>
          <w:cols w:space="720"/>
        </w:sectPr>
      </w:pPr>
      <w:r>
        <w:pict w14:anchorId="6C00BB0F">
          <v:rect id="_x0000_i1025" style="width:0;height:1.5pt" o:hralign="center" o:hrstd="t" o:hr="t" fillcolor="#a0a0a0" stroked="f"/>
        </w:pict>
      </w:r>
    </w:p>
    <w:p w14:paraId="19F76D99" w14:textId="77777777" w:rsidR="001C5C5A" w:rsidRDefault="008E4310">
      <w:pPr>
        <w:pBdr>
          <w:top w:val="nil"/>
          <w:left w:val="nil"/>
          <w:bottom w:val="nil"/>
          <w:right w:val="nil"/>
          <w:between w:val="nil"/>
        </w:pBdr>
        <w:jc w:val="both"/>
        <w:rPr>
          <w:rFonts w:ascii="Roboto" w:eastAsia="Roboto" w:hAnsi="Roboto" w:cs="Roboto"/>
          <w:b/>
          <w:bCs/>
          <w:color w:val="000000"/>
          <w:sz w:val="20"/>
          <w:szCs w:val="20"/>
        </w:rPr>
      </w:pPr>
      <w:r>
        <w:rPr>
          <w:b/>
          <w:color w:val="000000"/>
          <w:sz w:val="18"/>
        </w:rPr>
        <w:t>INTRODUCCIÓN</w:t>
      </w:r>
    </w:p>
    <w:p w14:paraId="4434375C" w14:textId="4048BBC7" w:rsidR="001C5C5A" w:rsidRDefault="008E4310">
      <w:pPr>
        <w:pBdr>
          <w:top w:val="nil"/>
          <w:left w:val="nil"/>
          <w:bottom w:val="nil"/>
          <w:right w:val="nil"/>
          <w:between w:val="nil"/>
        </w:pBdr>
        <w:jc w:val="both"/>
        <w:rPr>
          <w:rFonts w:ascii="Roboto" w:eastAsia="Roboto" w:hAnsi="Roboto" w:cs="Roboto"/>
          <w:b/>
          <w:bCs/>
          <w:color w:val="000000"/>
          <w:sz w:val="20"/>
          <w:szCs w:val="20"/>
        </w:rPr>
      </w:pPr>
      <w:r>
        <w:rPr>
          <w:color w:val="000000"/>
          <w:sz w:val="18"/>
        </w:rPr>
        <w:t>El turismo costero e interior genera una contaminación creciente de ecosistemas acuáticos por el uso masivo de bloqueadores solares. Los componentes químicos de estos productos —benzofenona, óxido de zinc, dióxido de titanio, entre otros— representan un riesgo documentado para la biota acuática y la salud humana [1,2]. Isla Holbox, ubicada en el Área Natural Protegida (ANP) Yum Balam, Quintana Roo, México, recibió más de 477,000 visitantes en 2024 según datos oficiales de SEDETUR, con una proyección de 493,000–525,000 para 2025. A pesar de que la regulación del ANP Yum Balam prohíbe el uso de bloqueadores no biodegradables, no existen estimaciones cuantitativas publicadas de la descarga de estas sustancias en sus ecosistemas acuáticos. El presente trabajo aplica la metodología de estimación de descarga total de bloqueadores solares (TDS) propuesta por Casas-Beltrán et al. [1,2</w:t>
      </w:r>
      <w:r w:rsidR="00CF6CB1">
        <w:rPr>
          <w:color w:val="000000"/>
          <w:sz w:val="18"/>
        </w:rPr>
        <w:t>]</w:t>
      </w:r>
      <w:r w:rsidR="00CF6CB1" w:rsidRPr="00027B7C">
        <w:t>,</w:t>
      </w:r>
      <w:r w:rsidR="00027B7C" w:rsidRPr="00027B7C">
        <w:rPr>
          <w:color w:val="000000"/>
          <w:sz w:val="18"/>
        </w:rPr>
        <w:t xml:space="preserve"> utilizando parámetros derivados de una encuesta aplicada en Isla Holbox como parte del proyecto final de una asignatura. Este ejercicio se desarrolló en el marco del Proyecto Integrador en Holbox de la Academia de Ingeniería Ambiental de la Universidad Anáhuac Cancún, cuyo objetivo general es evaluar la calidad ambiental de las playas prioritarias para la conservación de la isla con base en los criterios establecidos en la NMX-AA-120-SCFI-2016 y la NMX-AA-110-1995-SCFI. La información obtenida permitió estimar la magnitud de la descarga de bloqueadores solares y </w:t>
      </w:r>
      <w:r w:rsidR="00A01EA5" w:rsidRPr="00027B7C">
        <w:rPr>
          <w:color w:val="000000"/>
          <w:sz w:val="18"/>
        </w:rPr>
        <w:t>compararla.</w:t>
      </w:r>
    </w:p>
    <w:p w14:paraId="223CA7C7" w14:textId="77777777" w:rsidR="001C5C5A" w:rsidRDefault="001C5C5A">
      <w:pPr>
        <w:pBdr>
          <w:top w:val="nil"/>
          <w:left w:val="nil"/>
          <w:bottom w:val="nil"/>
          <w:right w:val="nil"/>
          <w:between w:val="nil"/>
        </w:pBdr>
        <w:jc w:val="both"/>
        <w:rPr>
          <w:rFonts w:ascii="Roboto" w:eastAsia="Roboto" w:hAnsi="Roboto" w:cs="Roboto"/>
          <w:b/>
          <w:bCs/>
          <w:color w:val="000000"/>
          <w:sz w:val="20"/>
          <w:szCs w:val="20"/>
        </w:rPr>
      </w:pPr>
    </w:p>
    <w:p w14:paraId="0BFD5197" w14:textId="77777777" w:rsidR="001C5C5A" w:rsidRDefault="008E4310">
      <w:pPr>
        <w:pBdr>
          <w:top w:val="nil"/>
          <w:left w:val="nil"/>
          <w:bottom w:val="nil"/>
          <w:right w:val="nil"/>
          <w:between w:val="nil"/>
        </w:pBdr>
        <w:jc w:val="both"/>
        <w:rPr>
          <w:rFonts w:ascii="Roboto" w:eastAsia="Roboto" w:hAnsi="Roboto" w:cs="Roboto"/>
          <w:b/>
          <w:bCs/>
          <w:color w:val="000000"/>
          <w:sz w:val="20"/>
          <w:szCs w:val="20"/>
        </w:rPr>
      </w:pPr>
      <w:r>
        <w:rPr>
          <w:b/>
          <w:color w:val="000000"/>
          <w:sz w:val="18"/>
        </w:rPr>
        <w:t>MÉTODOS</w:t>
      </w:r>
    </w:p>
    <w:p w14:paraId="102FCE99" w14:textId="23D2AA20" w:rsidR="001C5C5A" w:rsidRDefault="008E4310">
      <w:pPr>
        <w:pBdr>
          <w:top w:val="nil"/>
          <w:left w:val="nil"/>
          <w:bottom w:val="nil"/>
          <w:right w:val="nil"/>
          <w:between w:val="nil"/>
        </w:pBdr>
        <w:jc w:val="both"/>
        <w:rPr>
          <w:rFonts w:ascii="Roboto" w:eastAsia="Roboto" w:hAnsi="Roboto" w:cs="Roboto"/>
          <w:color w:val="000000"/>
          <w:sz w:val="20"/>
          <w:szCs w:val="20"/>
        </w:rPr>
      </w:pPr>
      <w:r>
        <w:rPr>
          <w:color w:val="000000"/>
          <w:sz w:val="18"/>
        </w:rPr>
        <w:t>Se aplicó una encuesta estructurada a 155 turistas en Isla Holbox durante septiembre de 2025</w:t>
      </w:r>
      <w:r w:rsidR="00646AE7">
        <w:rPr>
          <w:color w:val="000000"/>
          <w:sz w:val="18"/>
        </w:rPr>
        <w:t>.</w:t>
      </w:r>
      <w:r>
        <w:rPr>
          <w:color w:val="000000"/>
          <w:sz w:val="18"/>
        </w:rPr>
        <w:t xml:space="preserve"> Las variables registradas incluyeron: porcentaje de turistas que realizan actividades acuáticas (TAQ), porcentaje que aplica bloqueador antes de actividad acuática (TBS), frecuencia de aplicación diaria (TVEC), días de estancia (TDIA) y tipo de bloqueador (biodegradable/no biodegradable). Para la estimación de la descarga total de bloqueadores (TDS) se empleó la fórmula:</w:t>
      </w:r>
      <w:r>
        <w:rPr>
          <w:color w:val="000000"/>
          <w:sz w:val="18"/>
        </w:rPr>
        <w:br/>
      </w:r>
    </w:p>
    <w:p w14:paraId="151574AA" w14:textId="77777777" w:rsidR="001C5C5A" w:rsidRPr="00A81250" w:rsidRDefault="008E4310">
      <w:pPr>
        <w:pBdr>
          <w:top w:val="nil"/>
          <w:left w:val="nil"/>
          <w:bottom w:val="nil"/>
          <w:right w:val="nil"/>
          <w:between w:val="nil"/>
        </w:pBdr>
        <w:jc w:val="center"/>
        <w:rPr>
          <w:rFonts w:ascii="Roboto" w:eastAsia="Roboto" w:hAnsi="Roboto" w:cs="Roboto"/>
          <w:color w:val="000000"/>
          <w:sz w:val="16"/>
          <w:szCs w:val="16"/>
        </w:rPr>
      </w:pPr>
      <w:r w:rsidRPr="00A81250">
        <w:rPr>
          <w:i/>
          <w:color w:val="000000"/>
          <w:sz w:val="16"/>
          <w:szCs w:val="16"/>
        </w:rPr>
        <w:t>TDS = {[(TTAÑO × TAQ) × TBS] × [TGDIA × TVEC] × TDIA} × 0.25</w:t>
      </w:r>
    </w:p>
    <w:p w14:paraId="73295042" w14:textId="77777777" w:rsidR="001C5C5A" w:rsidRDefault="001C5C5A">
      <w:pPr>
        <w:pBdr>
          <w:top w:val="nil"/>
          <w:left w:val="nil"/>
          <w:bottom w:val="nil"/>
          <w:right w:val="nil"/>
          <w:between w:val="nil"/>
        </w:pBdr>
        <w:jc w:val="both"/>
        <w:rPr>
          <w:rFonts w:ascii="Roboto" w:eastAsia="Roboto" w:hAnsi="Roboto" w:cs="Roboto"/>
          <w:color w:val="000000"/>
          <w:sz w:val="20"/>
          <w:szCs w:val="20"/>
        </w:rPr>
      </w:pPr>
    </w:p>
    <w:p w14:paraId="12F8DE27" w14:textId="77777777" w:rsidR="001C5C5A" w:rsidRDefault="008E4310">
      <w:pPr>
        <w:pBdr>
          <w:top w:val="nil"/>
          <w:left w:val="nil"/>
          <w:bottom w:val="nil"/>
          <w:right w:val="nil"/>
          <w:between w:val="nil"/>
        </w:pBdr>
        <w:jc w:val="both"/>
        <w:rPr>
          <w:rFonts w:ascii="Roboto" w:eastAsia="Roboto" w:hAnsi="Roboto" w:cs="Roboto"/>
          <w:b/>
          <w:bCs/>
          <w:color w:val="000000"/>
          <w:sz w:val="20"/>
          <w:szCs w:val="20"/>
        </w:rPr>
      </w:pPr>
      <w:r>
        <w:rPr>
          <w:b/>
          <w:color w:val="000000"/>
          <w:sz w:val="18"/>
        </w:rPr>
        <w:t>RESULTADOS Y DISCUSIÓN</w:t>
      </w:r>
    </w:p>
    <w:p w14:paraId="425A3EC7" w14:textId="35E8005D" w:rsidR="001C5C5A" w:rsidRDefault="008E4310" w:rsidP="00B922FE">
      <w:pPr>
        <w:pBdr>
          <w:top w:val="nil"/>
          <w:left w:val="nil"/>
          <w:bottom w:val="nil"/>
          <w:right w:val="nil"/>
          <w:between w:val="nil"/>
        </w:pBdr>
        <w:jc w:val="both"/>
        <w:rPr>
          <w:color w:val="000000"/>
          <w:sz w:val="18"/>
        </w:rPr>
      </w:pPr>
      <w:r>
        <w:rPr>
          <w:color w:val="000000"/>
          <w:sz w:val="18"/>
        </w:rPr>
        <w:t>Los parámetros obtenidos en Holbox difieren significativamente de los reportados para Quintana Roo [1]: TAQ = 97.4% (vs. 86.0%), TBS = 77.4% (vs. 83.7%), TVEC = 2.40 veces/día (vs. 3.0) y TDIA = 5.55 días (vs. 3.45). La descarga directa estimada para 2025 (escenario medio: 493,138 turistas) es de 2.64 ton/año, equivalente a 7.2 kg/día. Considerando contaminación indirecta y residentes, mediante el factor de escala reportado en [1], la TDS total asciende a 8.90 ton/año. Por turista, Holbox descarga 5.35 g, un 34.8% más que el promedio de Quintana Roo (3.97 g/turista), explicado principalmente por la mayor TAQ y la estadía más prolongada. El 66.5% de los encuestados utiliza bloqueador no biodegradable, lo que representa un incumplimiento directo de la normativa del ANP Yum Balam y constituye la fracción más contaminante: 1.75 ton/año en descarga directa. En contraste, Holbox muestra un mayor uso de biodegradables (32.9%) respecto al promedio de Quintana Roo reportado en la literatura (10–13%) [1,2], aunque ambos tipos han demostrado toxicidad sobre la biota acuática local [3]. La Tabla 1 resume la comparación entre parámetros clave.</w:t>
      </w:r>
    </w:p>
    <w:p w14:paraId="3D2EB45D" w14:textId="1BA9183F" w:rsidR="00B922FE" w:rsidRDefault="00B922FE" w:rsidP="00B922FE">
      <w:pPr>
        <w:keepNext/>
        <w:jc w:val="both"/>
        <w:rPr>
          <w:b/>
          <w:color w:val="000000"/>
          <w:sz w:val="18"/>
        </w:rPr>
      </w:pPr>
    </w:p>
    <w:p w14:paraId="6C117D50" w14:textId="23E05B59" w:rsidR="00B922FE" w:rsidRDefault="00B922FE" w:rsidP="00B922FE">
      <w:pPr>
        <w:keepNext/>
        <w:jc w:val="both"/>
        <w:rPr>
          <w:rFonts w:ascii="Roboto" w:eastAsia="Roboto" w:hAnsi="Roboto" w:cs="Roboto"/>
          <w:b/>
          <w:bCs/>
          <w:sz w:val="20"/>
          <w:szCs w:val="20"/>
        </w:rPr>
      </w:pPr>
      <w:r>
        <w:rPr>
          <w:b/>
          <w:color w:val="000000"/>
          <w:sz w:val="18"/>
        </w:rPr>
        <w:t xml:space="preserve">Tabla 1. </w:t>
      </w:r>
      <w:r>
        <w:rPr>
          <w:color w:val="000000"/>
          <w:sz w:val="18"/>
        </w:rPr>
        <w:t>Comparación de parámetros de comportamiento turístico y estimaciones TDS entre Quintana Roo (literatura) e Isla Holbox (este estudio).</w:t>
      </w:r>
    </w:p>
    <w:p w14:paraId="21C62FF6" w14:textId="7752E532" w:rsidR="00B922FE" w:rsidRDefault="00B922FE" w:rsidP="00B922FE">
      <w:pPr>
        <w:keepNext/>
        <w:jc w:val="both"/>
        <w:rPr>
          <w:color w:val="000000"/>
          <w:sz w:val="18"/>
        </w:rPr>
      </w:pPr>
    </w:p>
    <w:p w14:paraId="508B80DA" w14:textId="40031596" w:rsidR="00B922FE" w:rsidRDefault="00B922FE" w:rsidP="00B922FE">
      <w:pPr>
        <w:keepNext/>
        <w:jc w:val="both"/>
        <w:rPr>
          <w:color w:val="000000"/>
          <w:sz w:val="18"/>
        </w:rPr>
      </w:pPr>
      <w:r>
        <w:rPr>
          <w:b/>
          <w:noProof/>
          <w:color w:val="000000"/>
          <w:sz w:val="18"/>
        </w:rPr>
        <w:drawing>
          <wp:anchor distT="0" distB="0" distL="114300" distR="114300" simplePos="0" relativeHeight="251658240" behindDoc="1" locked="0" layoutInCell="1" allowOverlap="1" wp14:anchorId="7FCD4889" wp14:editId="66CFAC85">
            <wp:simplePos x="0" y="0"/>
            <wp:positionH relativeFrom="column">
              <wp:posOffset>69850</wp:posOffset>
            </wp:positionH>
            <wp:positionV relativeFrom="paragraph">
              <wp:posOffset>3810</wp:posOffset>
            </wp:positionV>
            <wp:extent cx="3008344" cy="1085850"/>
            <wp:effectExtent l="0" t="0" r="1905" b="0"/>
            <wp:wrapNone/>
            <wp:docPr id="851072881"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12858" cy="1087479"/>
                    </a:xfrm>
                    <a:prstGeom prst="rect">
                      <a:avLst/>
                    </a:prstGeom>
                    <a:noFill/>
                  </pic:spPr>
                </pic:pic>
              </a:graphicData>
            </a:graphic>
            <wp14:sizeRelH relativeFrom="margin">
              <wp14:pctWidth>0</wp14:pctWidth>
            </wp14:sizeRelH>
            <wp14:sizeRelV relativeFrom="margin">
              <wp14:pctHeight>0</wp14:pctHeight>
            </wp14:sizeRelV>
          </wp:anchor>
        </w:drawing>
      </w:r>
    </w:p>
    <w:p w14:paraId="660BB634" w14:textId="22377B53" w:rsidR="00B922FE" w:rsidRDefault="00B922FE" w:rsidP="00B922FE">
      <w:pPr>
        <w:keepNext/>
        <w:jc w:val="both"/>
        <w:rPr>
          <w:b/>
          <w:color w:val="000000"/>
          <w:sz w:val="18"/>
        </w:rPr>
      </w:pPr>
    </w:p>
    <w:p w14:paraId="10D54E81" w14:textId="77777777" w:rsidR="00B922FE" w:rsidRDefault="00B922FE" w:rsidP="00B922FE">
      <w:pPr>
        <w:keepNext/>
        <w:jc w:val="both"/>
        <w:rPr>
          <w:b/>
          <w:color w:val="000000"/>
          <w:sz w:val="18"/>
        </w:rPr>
      </w:pPr>
    </w:p>
    <w:p w14:paraId="1D58A61F" w14:textId="77777777" w:rsidR="00B922FE" w:rsidRDefault="00B922FE" w:rsidP="00B922FE">
      <w:pPr>
        <w:keepNext/>
        <w:jc w:val="both"/>
        <w:rPr>
          <w:b/>
          <w:color w:val="000000"/>
          <w:sz w:val="18"/>
        </w:rPr>
      </w:pPr>
    </w:p>
    <w:p w14:paraId="3565B16C" w14:textId="1487EAF3" w:rsidR="00B922FE" w:rsidRDefault="00B922FE" w:rsidP="00B922FE">
      <w:pPr>
        <w:keepNext/>
        <w:jc w:val="both"/>
        <w:rPr>
          <w:b/>
          <w:color w:val="000000"/>
          <w:sz w:val="18"/>
        </w:rPr>
      </w:pPr>
    </w:p>
    <w:p w14:paraId="5D26D5E1" w14:textId="77777777" w:rsidR="00B922FE" w:rsidRDefault="00B922FE" w:rsidP="00B922FE">
      <w:pPr>
        <w:keepNext/>
        <w:jc w:val="both"/>
        <w:rPr>
          <w:b/>
          <w:color w:val="000000"/>
          <w:sz w:val="18"/>
        </w:rPr>
      </w:pPr>
    </w:p>
    <w:p w14:paraId="1DFF3EDB" w14:textId="69152159" w:rsidR="00B922FE" w:rsidRDefault="00B922FE">
      <w:pPr>
        <w:keepNext/>
        <w:jc w:val="both"/>
        <w:rPr>
          <w:rFonts w:ascii="Roboto" w:eastAsia="Roboto" w:hAnsi="Roboto" w:cs="Roboto"/>
          <w:b/>
          <w:bCs/>
          <w:sz w:val="20"/>
          <w:szCs w:val="20"/>
        </w:rPr>
      </w:pPr>
    </w:p>
    <w:p w14:paraId="06BA6A7D" w14:textId="3DED665B" w:rsidR="00B922FE" w:rsidRDefault="00B922FE">
      <w:pPr>
        <w:keepNext/>
        <w:jc w:val="both"/>
        <w:rPr>
          <w:rFonts w:ascii="Roboto" w:eastAsia="Roboto" w:hAnsi="Roboto" w:cs="Roboto"/>
          <w:b/>
          <w:bCs/>
          <w:sz w:val="20"/>
          <w:szCs w:val="20"/>
        </w:rPr>
      </w:pPr>
    </w:p>
    <w:p w14:paraId="24C00478" w14:textId="711D37E6" w:rsidR="00372859" w:rsidRDefault="00CF6CB1">
      <w:pPr>
        <w:jc w:val="both"/>
        <w:rPr>
          <w:b/>
          <w:color w:val="000000"/>
          <w:sz w:val="18"/>
        </w:rPr>
      </w:pPr>
      <w:r>
        <w:rPr>
          <w:noProof/>
        </w:rPr>
        <w:drawing>
          <wp:anchor distT="0" distB="0" distL="114300" distR="114300" simplePos="0" relativeHeight="251659264" behindDoc="1" locked="0" layoutInCell="1" allowOverlap="1" wp14:anchorId="6FB54163" wp14:editId="2034CB70">
            <wp:simplePos x="0" y="0"/>
            <wp:positionH relativeFrom="page">
              <wp:posOffset>3920067</wp:posOffset>
            </wp:positionH>
            <wp:positionV relativeFrom="paragraph">
              <wp:posOffset>4657</wp:posOffset>
            </wp:positionV>
            <wp:extent cx="3030775" cy="2273305"/>
            <wp:effectExtent l="0" t="0" r="0" b="0"/>
            <wp:wrapNone/>
            <wp:docPr id="829367733"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BEBA8EAE-BF5A-486C-A8C5-ECC9F3942E4B}">
                          <a14:imgProps xmlns:a14="http://schemas.microsoft.com/office/drawing/2010/main">
                            <a14:imgLayer r:embed="rId12">
                              <a14:imgEffect>
                                <a14:brightnessContrast bright="20000"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037787" cy="2278565"/>
                    </a:xfrm>
                    <a:prstGeom prst="rect">
                      <a:avLst/>
                    </a:prstGeom>
                    <a:noFill/>
                  </pic:spPr>
                </pic:pic>
              </a:graphicData>
            </a:graphic>
            <wp14:sizeRelH relativeFrom="margin">
              <wp14:pctWidth>0</wp14:pctWidth>
            </wp14:sizeRelH>
            <wp14:sizeRelV relativeFrom="margin">
              <wp14:pctHeight>0</wp14:pctHeight>
            </wp14:sizeRelV>
          </wp:anchor>
        </w:drawing>
      </w:r>
    </w:p>
    <w:p w14:paraId="21DC7A9A" w14:textId="2382003F" w:rsidR="00CF6CB1" w:rsidRDefault="00CF6CB1">
      <w:pPr>
        <w:jc w:val="both"/>
        <w:rPr>
          <w:b/>
          <w:color w:val="000000"/>
          <w:sz w:val="18"/>
        </w:rPr>
      </w:pPr>
    </w:p>
    <w:p w14:paraId="5E4A2E29" w14:textId="4655FD29" w:rsidR="00CF6CB1" w:rsidRDefault="00CF6CB1">
      <w:pPr>
        <w:jc w:val="both"/>
        <w:rPr>
          <w:b/>
          <w:color w:val="000000"/>
          <w:sz w:val="18"/>
        </w:rPr>
      </w:pPr>
    </w:p>
    <w:p w14:paraId="6313C9A7" w14:textId="77777777" w:rsidR="00CF6CB1" w:rsidRDefault="00CF6CB1">
      <w:pPr>
        <w:jc w:val="both"/>
        <w:rPr>
          <w:b/>
          <w:color w:val="000000"/>
          <w:sz w:val="18"/>
        </w:rPr>
      </w:pPr>
    </w:p>
    <w:p w14:paraId="789F8964" w14:textId="77777777" w:rsidR="00CF6CB1" w:rsidRDefault="00CF6CB1">
      <w:pPr>
        <w:jc w:val="both"/>
        <w:rPr>
          <w:b/>
          <w:color w:val="000000"/>
          <w:sz w:val="18"/>
        </w:rPr>
      </w:pPr>
    </w:p>
    <w:p w14:paraId="4C837989" w14:textId="77777777" w:rsidR="00CF6CB1" w:rsidRDefault="00CF6CB1">
      <w:pPr>
        <w:jc w:val="both"/>
        <w:rPr>
          <w:b/>
          <w:color w:val="000000"/>
          <w:sz w:val="18"/>
        </w:rPr>
      </w:pPr>
    </w:p>
    <w:p w14:paraId="585B6C43" w14:textId="77777777" w:rsidR="00CF6CB1" w:rsidRDefault="00CF6CB1">
      <w:pPr>
        <w:jc w:val="both"/>
        <w:rPr>
          <w:b/>
          <w:color w:val="000000"/>
          <w:sz w:val="18"/>
        </w:rPr>
      </w:pPr>
    </w:p>
    <w:p w14:paraId="4ADD1517" w14:textId="77777777" w:rsidR="00CF6CB1" w:rsidRDefault="00CF6CB1">
      <w:pPr>
        <w:jc w:val="both"/>
        <w:rPr>
          <w:b/>
          <w:color w:val="000000"/>
          <w:sz w:val="18"/>
        </w:rPr>
      </w:pPr>
    </w:p>
    <w:p w14:paraId="21AEC41F" w14:textId="70FD2C0C" w:rsidR="00372859" w:rsidRDefault="00CF6CB1">
      <w:pPr>
        <w:jc w:val="both"/>
        <w:rPr>
          <w:b/>
          <w:color w:val="000000"/>
          <w:sz w:val="18"/>
        </w:rPr>
      </w:pPr>
      <w:r>
        <w:rPr>
          <w:noProof/>
        </w:rPr>
        <mc:AlternateContent>
          <mc:Choice Requires="wps">
            <w:drawing>
              <wp:inline distT="0" distB="0" distL="0" distR="0" wp14:anchorId="01290968" wp14:editId="2E3CF705">
                <wp:extent cx="304800" cy="304800"/>
                <wp:effectExtent l="0" t="0" r="0" b="0"/>
                <wp:docPr id="130089143" name="Rectángulo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EA8B508" id="Rectángulo 2" o:spid="_x0000_s102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Pr="00CF6CB1">
        <w:t xml:space="preserve"> </w:t>
      </w:r>
    </w:p>
    <w:p w14:paraId="39BF7155" w14:textId="77777777" w:rsidR="00372859" w:rsidRDefault="00372859">
      <w:pPr>
        <w:jc w:val="both"/>
        <w:rPr>
          <w:b/>
          <w:color w:val="000000"/>
          <w:sz w:val="18"/>
        </w:rPr>
      </w:pPr>
    </w:p>
    <w:p w14:paraId="0C56F474" w14:textId="77777777" w:rsidR="00CF6CB1" w:rsidRDefault="00CF6CB1">
      <w:pPr>
        <w:jc w:val="both"/>
        <w:rPr>
          <w:b/>
          <w:color w:val="000000"/>
          <w:sz w:val="18"/>
        </w:rPr>
      </w:pPr>
    </w:p>
    <w:p w14:paraId="5A8594F9" w14:textId="77777777" w:rsidR="00CF6CB1" w:rsidRDefault="00CF6CB1">
      <w:pPr>
        <w:jc w:val="both"/>
        <w:rPr>
          <w:b/>
          <w:color w:val="000000"/>
          <w:sz w:val="18"/>
        </w:rPr>
      </w:pPr>
    </w:p>
    <w:p w14:paraId="0FF6FA24" w14:textId="77777777" w:rsidR="00CF6CB1" w:rsidRDefault="00CF6CB1">
      <w:pPr>
        <w:jc w:val="both"/>
        <w:rPr>
          <w:b/>
          <w:color w:val="000000"/>
          <w:sz w:val="18"/>
        </w:rPr>
      </w:pPr>
    </w:p>
    <w:p w14:paraId="06B85024" w14:textId="77777777" w:rsidR="00CF6CB1" w:rsidRDefault="00CF6CB1">
      <w:pPr>
        <w:jc w:val="both"/>
        <w:rPr>
          <w:b/>
          <w:color w:val="000000"/>
          <w:sz w:val="18"/>
        </w:rPr>
      </w:pPr>
    </w:p>
    <w:p w14:paraId="289BB1D0" w14:textId="77777777" w:rsidR="00CF6CB1" w:rsidRDefault="00CF6CB1">
      <w:pPr>
        <w:jc w:val="both"/>
        <w:rPr>
          <w:b/>
          <w:color w:val="000000"/>
          <w:sz w:val="18"/>
        </w:rPr>
      </w:pPr>
    </w:p>
    <w:p w14:paraId="6441DC6B" w14:textId="77777777" w:rsidR="00CF6CB1" w:rsidRDefault="00CF6CB1">
      <w:pPr>
        <w:jc w:val="both"/>
        <w:rPr>
          <w:b/>
          <w:color w:val="000000"/>
          <w:sz w:val="18"/>
        </w:rPr>
      </w:pPr>
    </w:p>
    <w:p w14:paraId="406CF20C" w14:textId="5E153F90" w:rsidR="00372859" w:rsidRDefault="00372859">
      <w:pPr>
        <w:jc w:val="both"/>
        <w:rPr>
          <w:b/>
          <w:color w:val="000000"/>
          <w:sz w:val="18"/>
        </w:rPr>
      </w:pPr>
      <w:r>
        <w:rPr>
          <w:b/>
          <w:color w:val="000000"/>
          <w:sz w:val="18"/>
        </w:rPr>
        <w:t xml:space="preserve">Figura 1. </w:t>
      </w:r>
      <w:r w:rsidR="00CF6CB1">
        <w:rPr>
          <w:b/>
          <w:color w:val="000000"/>
          <w:sz w:val="18"/>
        </w:rPr>
        <w:t>Estudiantes y docentes de Ingeniería Ambiental de la Universidad Anáhuac Cancún durante la visita de campo</w:t>
      </w:r>
      <w:r>
        <w:rPr>
          <w:b/>
          <w:color w:val="000000"/>
          <w:sz w:val="18"/>
        </w:rPr>
        <w:t xml:space="preserve"> en Isla Hol</w:t>
      </w:r>
      <w:r w:rsidR="00CF6CB1">
        <w:rPr>
          <w:b/>
          <w:color w:val="000000"/>
          <w:sz w:val="18"/>
        </w:rPr>
        <w:t>b</w:t>
      </w:r>
      <w:r>
        <w:rPr>
          <w:b/>
          <w:color w:val="000000"/>
          <w:sz w:val="18"/>
        </w:rPr>
        <w:t>ox</w:t>
      </w:r>
      <w:r w:rsidR="00CF6CB1">
        <w:rPr>
          <w:b/>
          <w:color w:val="000000"/>
          <w:sz w:val="18"/>
        </w:rPr>
        <w:t>.</w:t>
      </w:r>
    </w:p>
    <w:p w14:paraId="2F8C3733" w14:textId="5792DFA9" w:rsidR="00372859" w:rsidRDefault="00372859">
      <w:pPr>
        <w:jc w:val="both"/>
        <w:rPr>
          <w:b/>
          <w:color w:val="000000"/>
          <w:sz w:val="18"/>
        </w:rPr>
      </w:pPr>
    </w:p>
    <w:p w14:paraId="0F38DE0F" w14:textId="2A98D2A6" w:rsidR="001C5C5A" w:rsidRDefault="008E4310">
      <w:pPr>
        <w:jc w:val="both"/>
        <w:rPr>
          <w:rFonts w:ascii="Roboto" w:eastAsia="Roboto" w:hAnsi="Roboto" w:cs="Roboto"/>
          <w:sz w:val="20"/>
          <w:szCs w:val="20"/>
        </w:rPr>
      </w:pPr>
      <w:r>
        <w:rPr>
          <w:b/>
          <w:color w:val="000000"/>
          <w:sz w:val="18"/>
        </w:rPr>
        <w:t>CONCLUSIONES</w:t>
      </w:r>
    </w:p>
    <w:p w14:paraId="13AB98B4" w14:textId="6F7D5A7D" w:rsidR="001C5C5A" w:rsidRDefault="001C5C5A">
      <w:pPr>
        <w:pBdr>
          <w:top w:val="nil"/>
          <w:left w:val="nil"/>
          <w:bottom w:val="nil"/>
          <w:right w:val="nil"/>
          <w:between w:val="nil"/>
        </w:pBdr>
        <w:jc w:val="both"/>
        <w:rPr>
          <w:rFonts w:ascii="Roboto" w:eastAsia="Roboto" w:hAnsi="Roboto" w:cs="Roboto"/>
          <w:color w:val="000000"/>
          <w:sz w:val="20"/>
          <w:szCs w:val="20"/>
        </w:rPr>
      </w:pPr>
    </w:p>
    <w:p w14:paraId="390DEE29" w14:textId="2FED0DB2" w:rsidR="001C5C5A" w:rsidRDefault="008E4310">
      <w:pPr>
        <w:jc w:val="both"/>
        <w:rPr>
          <w:rFonts w:ascii="Roboto" w:eastAsia="Roboto" w:hAnsi="Roboto" w:cs="Roboto"/>
          <w:b/>
          <w:bCs/>
          <w:sz w:val="20"/>
          <w:szCs w:val="20"/>
        </w:rPr>
      </w:pPr>
      <w:r>
        <w:rPr>
          <w:color w:val="000000"/>
          <w:sz w:val="18"/>
        </w:rPr>
        <w:t>Isla Holbox presenta una descarga estimada de 2.64–2.81 ton/año de bloqueadores solares directamente a sus ecosistemas acuáticos, con una descarga total (directa + indirecta + residentes) de 8.90–9.47 ton/año para 2025. Aunque esta cifra representa el 0.84% de la descarga total de Quintana Roo, se concentra en un ecosistema frágil de alta biodiversidad. La mayor TAQ y TDIA respecto al promedio estatal incrementan la descarga por turista en un 34.8%. El incumplimiento de la normativa del ANP Yum Balam —donde el 66.5% de turistas usa bloqueador convencional prohibido— evidencia una brecha crítica entre regulación y práctica. Se recomienda fortalecer la educación ambiental en punto de entrada, implementar verificación activa del tipo de bloqueador y realizar monitoreo fisicoquímico en cenotes y playa para validar los estimados con mediciones reales.</w:t>
      </w:r>
    </w:p>
    <w:p w14:paraId="65726F9E" w14:textId="700A1FE7" w:rsidR="001C5C5A" w:rsidRDefault="001C5C5A">
      <w:pPr>
        <w:jc w:val="both"/>
        <w:rPr>
          <w:rFonts w:ascii="Roboto" w:eastAsia="Roboto" w:hAnsi="Roboto" w:cs="Roboto"/>
          <w:sz w:val="20"/>
          <w:szCs w:val="20"/>
        </w:rPr>
      </w:pPr>
    </w:p>
    <w:p w14:paraId="7230FD14" w14:textId="51954999" w:rsidR="001C5C5A" w:rsidRDefault="008E4310">
      <w:pPr>
        <w:jc w:val="both"/>
        <w:rPr>
          <w:rFonts w:ascii="Roboto" w:eastAsia="Roboto" w:hAnsi="Roboto" w:cs="Roboto"/>
          <w:b/>
          <w:bCs/>
          <w:sz w:val="20"/>
          <w:szCs w:val="20"/>
        </w:rPr>
      </w:pPr>
      <w:r>
        <w:rPr>
          <w:b/>
          <w:color w:val="000000"/>
          <w:sz w:val="18"/>
        </w:rPr>
        <w:t>AGRADECIMIENTOS</w:t>
      </w:r>
    </w:p>
    <w:p w14:paraId="5C69CBB2" w14:textId="5FC8DEC2" w:rsidR="001C5C5A" w:rsidRDefault="008E4310">
      <w:pPr>
        <w:jc w:val="both"/>
        <w:rPr>
          <w:rFonts w:ascii="Roboto" w:eastAsia="Roboto" w:hAnsi="Roboto" w:cs="Roboto"/>
          <w:sz w:val="20"/>
          <w:szCs w:val="20"/>
        </w:rPr>
      </w:pPr>
      <w:r>
        <w:rPr>
          <w:color w:val="000000"/>
          <w:sz w:val="18"/>
        </w:rPr>
        <w:t xml:space="preserve">Los autores agradecen a </w:t>
      </w:r>
      <w:r w:rsidR="00A81250">
        <w:rPr>
          <w:color w:val="000000"/>
          <w:sz w:val="18"/>
        </w:rPr>
        <w:t xml:space="preserve">la Escuela Internacional de </w:t>
      </w:r>
      <w:r w:rsidR="00B922FE">
        <w:rPr>
          <w:color w:val="000000"/>
          <w:sz w:val="18"/>
        </w:rPr>
        <w:t>Ingeniería</w:t>
      </w:r>
      <w:r w:rsidR="00A81250">
        <w:rPr>
          <w:color w:val="000000"/>
          <w:sz w:val="18"/>
        </w:rPr>
        <w:t xml:space="preserve"> por el apoyo logístico y financiero brindado</w:t>
      </w:r>
      <w:r>
        <w:rPr>
          <w:color w:val="000000"/>
          <w:sz w:val="18"/>
        </w:rPr>
        <w:t>.</w:t>
      </w:r>
    </w:p>
    <w:p w14:paraId="61B84700" w14:textId="77777777" w:rsidR="001C5C5A" w:rsidRDefault="001C5C5A">
      <w:pPr>
        <w:jc w:val="both"/>
        <w:rPr>
          <w:rFonts w:ascii="Roboto" w:eastAsia="Roboto" w:hAnsi="Roboto" w:cs="Roboto"/>
          <w:sz w:val="20"/>
          <w:szCs w:val="20"/>
        </w:rPr>
      </w:pPr>
    </w:p>
    <w:p w14:paraId="7588B4F2" w14:textId="778F3901" w:rsidR="001C5C5A" w:rsidRPr="00A01EA5" w:rsidRDefault="008E4310">
      <w:pPr>
        <w:jc w:val="both"/>
        <w:rPr>
          <w:rFonts w:ascii="Roboto" w:eastAsia="Roboto" w:hAnsi="Roboto" w:cs="Roboto"/>
          <w:b/>
          <w:bCs/>
          <w:sz w:val="20"/>
          <w:szCs w:val="20"/>
        </w:rPr>
      </w:pPr>
      <w:r w:rsidRPr="00A01EA5">
        <w:rPr>
          <w:b/>
          <w:color w:val="000000"/>
          <w:sz w:val="18"/>
        </w:rPr>
        <w:t xml:space="preserve">REFERENCIAS </w:t>
      </w:r>
    </w:p>
    <w:p w14:paraId="1892A1FA" w14:textId="3251D0F3" w:rsidR="001C5C5A" w:rsidRPr="00CF6CB1" w:rsidRDefault="008E4310">
      <w:pPr>
        <w:jc w:val="both"/>
        <w:rPr>
          <w:rFonts w:ascii="Roboto" w:eastAsia="Roboto" w:hAnsi="Roboto" w:cs="Roboto"/>
          <w:sz w:val="20"/>
          <w:szCs w:val="20"/>
        </w:rPr>
      </w:pPr>
      <w:r w:rsidRPr="00A01EA5">
        <w:rPr>
          <w:color w:val="000000"/>
          <w:sz w:val="18"/>
        </w:rPr>
        <w:t xml:space="preserve">[1] Casas-Beltrán, D. A., Hernández-Pedraza, M., &amp; Alvarado-Flores, J. (2020). </w:t>
      </w:r>
      <w:r w:rsidRPr="00A81250">
        <w:rPr>
          <w:color w:val="000000"/>
          <w:sz w:val="18"/>
          <w:lang w:val="en-US"/>
        </w:rPr>
        <w:t xml:space="preserve">Estimation of the discharge of sunscreens in aquatic </w:t>
      </w:r>
      <w:r w:rsidRPr="00A81250">
        <w:rPr>
          <w:color w:val="000000"/>
          <w:sz w:val="18"/>
          <w:lang w:val="en-US"/>
        </w:rPr>
        <w:lastRenderedPageBreak/>
        <w:t xml:space="preserve">environments of the Mexican Caribbean. </w:t>
      </w:r>
      <w:r w:rsidRPr="00A01EA5">
        <w:rPr>
          <w:color w:val="000000"/>
          <w:sz w:val="18"/>
          <w:lang w:val="en-US"/>
        </w:rPr>
        <w:t xml:space="preserve">Environments, 7(2), 15. </w:t>
      </w:r>
      <w:hyperlink r:id="rId13" w:history="1">
        <w:r w:rsidR="00A81250" w:rsidRPr="00CF6CB1">
          <w:rPr>
            <w:rStyle w:val="Hipervnculo"/>
            <w:sz w:val="18"/>
          </w:rPr>
          <w:t>https://doi.org/10.3390/environments7020015</w:t>
        </w:r>
      </w:hyperlink>
      <w:r w:rsidR="00A81250" w:rsidRPr="00CF6CB1">
        <w:rPr>
          <w:color w:val="000000"/>
          <w:sz w:val="18"/>
        </w:rPr>
        <w:t xml:space="preserve"> </w:t>
      </w:r>
    </w:p>
    <w:p w14:paraId="4C5CA340" w14:textId="2105D930" w:rsidR="001C5C5A" w:rsidRDefault="008E4310">
      <w:pPr>
        <w:jc w:val="both"/>
        <w:rPr>
          <w:rFonts w:ascii="Roboto" w:eastAsia="Roboto" w:hAnsi="Roboto" w:cs="Roboto"/>
          <w:sz w:val="20"/>
          <w:szCs w:val="20"/>
        </w:rPr>
      </w:pPr>
      <w:r w:rsidRPr="00A01EA5">
        <w:rPr>
          <w:color w:val="000000"/>
          <w:sz w:val="18"/>
        </w:rPr>
        <w:t xml:space="preserve">[2] Casas-Beltrán, D. A., Febles-Moreno, K., </w:t>
      </w:r>
      <w:proofErr w:type="spellStart"/>
      <w:r w:rsidRPr="00A01EA5">
        <w:rPr>
          <w:color w:val="000000"/>
          <w:sz w:val="18"/>
        </w:rPr>
        <w:t>Hernandez</w:t>
      </w:r>
      <w:proofErr w:type="spellEnd"/>
      <w:r w:rsidRPr="00A01EA5">
        <w:rPr>
          <w:color w:val="000000"/>
          <w:sz w:val="18"/>
        </w:rPr>
        <w:t xml:space="preserve">-Yac, E., Gallaher, C. M., Alvarado-Flores, J., Leal-Bautista, R. M., &amp; Lenczewski, M. (2021). </w:t>
      </w:r>
      <w:r w:rsidRPr="00A81250">
        <w:rPr>
          <w:color w:val="000000"/>
          <w:sz w:val="18"/>
          <w:lang w:val="en-US"/>
        </w:rPr>
        <w:t xml:space="preserve">Impact of tourist behavior on the discharge of sunscreen contamination in aquatic parks, sinkholes, and beaches of the Mexican Caribbean. </w:t>
      </w:r>
      <w:proofErr w:type="spellStart"/>
      <w:r>
        <w:rPr>
          <w:color w:val="000000"/>
          <w:sz w:val="18"/>
        </w:rPr>
        <w:t>Applied</w:t>
      </w:r>
      <w:proofErr w:type="spellEnd"/>
      <w:r>
        <w:rPr>
          <w:color w:val="000000"/>
          <w:sz w:val="18"/>
        </w:rPr>
        <w:t xml:space="preserve"> </w:t>
      </w:r>
      <w:proofErr w:type="spellStart"/>
      <w:r>
        <w:rPr>
          <w:color w:val="000000"/>
          <w:sz w:val="18"/>
        </w:rPr>
        <w:t>Sciences</w:t>
      </w:r>
      <w:proofErr w:type="spellEnd"/>
      <w:r>
        <w:rPr>
          <w:color w:val="000000"/>
          <w:sz w:val="18"/>
        </w:rPr>
        <w:t xml:space="preserve">, 11(15), 6882. </w:t>
      </w:r>
      <w:hyperlink r:id="rId14" w:history="1">
        <w:r w:rsidR="00A81250" w:rsidRPr="00752347">
          <w:rPr>
            <w:rStyle w:val="Hipervnculo"/>
            <w:sz w:val="18"/>
          </w:rPr>
          <w:t>https://doi.org/10.3390/app11156882</w:t>
        </w:r>
      </w:hyperlink>
      <w:r w:rsidR="00A81250">
        <w:rPr>
          <w:color w:val="000000"/>
          <w:sz w:val="18"/>
        </w:rPr>
        <w:t xml:space="preserve"> </w:t>
      </w:r>
    </w:p>
    <w:p w14:paraId="18EFA744" w14:textId="3540BFA2" w:rsidR="001C5C5A" w:rsidRPr="00A01EA5" w:rsidRDefault="008E4310">
      <w:pPr>
        <w:jc w:val="both"/>
        <w:rPr>
          <w:rFonts w:ascii="Roboto" w:eastAsia="Roboto" w:hAnsi="Roboto" w:cs="Roboto"/>
          <w:sz w:val="20"/>
          <w:szCs w:val="20"/>
        </w:rPr>
      </w:pPr>
      <w:r>
        <w:rPr>
          <w:color w:val="000000"/>
          <w:sz w:val="18"/>
        </w:rPr>
        <w:t>[3] Hernández Pedraza, M., Caballero-</w:t>
      </w:r>
      <w:proofErr w:type="spellStart"/>
      <w:r>
        <w:rPr>
          <w:color w:val="000000"/>
          <w:sz w:val="18"/>
        </w:rPr>
        <w:t>Vazquez</w:t>
      </w:r>
      <w:proofErr w:type="spellEnd"/>
      <w:r>
        <w:rPr>
          <w:color w:val="000000"/>
          <w:sz w:val="18"/>
        </w:rPr>
        <w:t xml:space="preserve">, J., Peniche-Pérez, J. C., Pérez-Legaspi, I. G., Casas-Beltran, D. A., &amp; Alvarado-Flores, J. (2020). </w:t>
      </w:r>
      <w:r w:rsidRPr="00A81250">
        <w:rPr>
          <w:color w:val="000000"/>
          <w:sz w:val="18"/>
          <w:lang w:val="en-US"/>
        </w:rPr>
        <w:t xml:space="preserve">Toxicity and hazards of biodegradable and non-biodegradable sunscreens to aquatic life of </w:t>
      </w:r>
      <w:proofErr w:type="spellStart"/>
      <w:r w:rsidRPr="00A81250">
        <w:rPr>
          <w:color w:val="000000"/>
          <w:sz w:val="18"/>
          <w:lang w:val="en-US"/>
        </w:rPr>
        <w:t>Quintana</w:t>
      </w:r>
      <w:proofErr w:type="spellEnd"/>
      <w:r w:rsidRPr="00A81250">
        <w:rPr>
          <w:color w:val="000000"/>
          <w:sz w:val="18"/>
          <w:lang w:val="en-US"/>
        </w:rPr>
        <w:t xml:space="preserve"> Roo, Mexico. </w:t>
      </w:r>
      <w:proofErr w:type="spellStart"/>
      <w:r w:rsidRPr="00A01EA5">
        <w:rPr>
          <w:color w:val="000000"/>
          <w:sz w:val="18"/>
        </w:rPr>
        <w:t>Sustainability</w:t>
      </w:r>
      <w:proofErr w:type="spellEnd"/>
      <w:r w:rsidRPr="00A01EA5">
        <w:rPr>
          <w:color w:val="000000"/>
          <w:sz w:val="18"/>
        </w:rPr>
        <w:t>, 12(8), 3270.</w:t>
      </w:r>
    </w:p>
    <w:p w14:paraId="3CF0AD73" w14:textId="77777777" w:rsidR="001C5C5A" w:rsidRPr="00A01EA5" w:rsidRDefault="008E4310">
      <w:pPr>
        <w:jc w:val="both"/>
        <w:rPr>
          <w:rFonts w:ascii="Roboto" w:eastAsia="Roboto" w:hAnsi="Roboto" w:cs="Roboto"/>
          <w:sz w:val="20"/>
          <w:szCs w:val="20"/>
        </w:rPr>
      </w:pPr>
      <w:r w:rsidRPr="00A01EA5">
        <w:rPr>
          <w:color w:val="000000"/>
          <w:sz w:val="18"/>
        </w:rPr>
        <w:t>[4] SEDETUR Quintana Roo. (2026). Reporte de afluencia turística Isla Holbox 2024–2025. Secretaría de Turismo del Estado de Quintana Roo.</w:t>
      </w:r>
    </w:p>
    <w:p w14:paraId="783AF522" w14:textId="77777777" w:rsidR="001C5C5A" w:rsidRPr="00A01EA5" w:rsidRDefault="008E4310">
      <w:pPr>
        <w:jc w:val="both"/>
        <w:rPr>
          <w:lang w:val="en-US"/>
        </w:rPr>
      </w:pPr>
      <w:r w:rsidRPr="00A01EA5">
        <w:rPr>
          <w:color w:val="000000"/>
          <w:sz w:val="18"/>
        </w:rPr>
        <w:t xml:space="preserve">[5] </w:t>
      </w:r>
      <w:proofErr w:type="spellStart"/>
      <w:r w:rsidRPr="00A01EA5">
        <w:rPr>
          <w:color w:val="000000"/>
          <w:sz w:val="18"/>
        </w:rPr>
        <w:t>Danovaro</w:t>
      </w:r>
      <w:proofErr w:type="spellEnd"/>
      <w:r w:rsidRPr="00A01EA5">
        <w:rPr>
          <w:color w:val="000000"/>
          <w:sz w:val="18"/>
        </w:rPr>
        <w:t xml:space="preserve">, R., Bongiorni, L., </w:t>
      </w:r>
      <w:proofErr w:type="spellStart"/>
      <w:r w:rsidRPr="00A01EA5">
        <w:rPr>
          <w:color w:val="000000"/>
          <w:sz w:val="18"/>
        </w:rPr>
        <w:t>Corinaldesi</w:t>
      </w:r>
      <w:proofErr w:type="spellEnd"/>
      <w:r w:rsidRPr="00A01EA5">
        <w:rPr>
          <w:color w:val="000000"/>
          <w:sz w:val="18"/>
        </w:rPr>
        <w:t xml:space="preserve">, C., Giovannelli, D., Damiani, E., Astolfi, P., ... </w:t>
      </w:r>
      <w:r w:rsidRPr="00A01EA5">
        <w:rPr>
          <w:color w:val="000000"/>
          <w:sz w:val="18"/>
          <w:lang w:val="en-US"/>
        </w:rPr>
        <w:t xml:space="preserve">&amp; Pusceddu, A. (2008). </w:t>
      </w:r>
      <w:r w:rsidRPr="00A81250">
        <w:rPr>
          <w:color w:val="000000"/>
          <w:sz w:val="18"/>
          <w:lang w:val="en-US"/>
        </w:rPr>
        <w:t xml:space="preserve">Sunscreens cause coral bleaching by promoting viral infections. </w:t>
      </w:r>
      <w:r w:rsidRPr="00A01EA5">
        <w:rPr>
          <w:color w:val="000000"/>
          <w:sz w:val="18"/>
          <w:lang w:val="en-US"/>
        </w:rPr>
        <w:t>Environmental Health Perspectives, 116(4), 441–447.</w:t>
      </w:r>
    </w:p>
    <w:p w14:paraId="5614897D" w14:textId="77777777" w:rsidR="001C5C5A" w:rsidRPr="00A01EA5" w:rsidRDefault="001C5C5A">
      <w:pPr>
        <w:jc w:val="both"/>
        <w:rPr>
          <w:rFonts w:ascii="Roboto" w:eastAsia="Roboto" w:hAnsi="Roboto" w:cs="Roboto"/>
          <w:sz w:val="20"/>
          <w:szCs w:val="20"/>
          <w:lang w:val="en-US"/>
        </w:rPr>
      </w:pPr>
    </w:p>
    <w:p w14:paraId="6CEB7632" w14:textId="77777777" w:rsidR="001C5C5A" w:rsidRPr="00A01EA5" w:rsidRDefault="001C5C5A">
      <w:pPr>
        <w:jc w:val="both"/>
        <w:rPr>
          <w:rFonts w:ascii="Roboto" w:eastAsia="Roboto" w:hAnsi="Roboto" w:cs="Roboto"/>
          <w:sz w:val="20"/>
          <w:szCs w:val="20"/>
          <w:lang w:val="en-US"/>
        </w:rPr>
        <w:sectPr w:rsidR="001C5C5A" w:rsidRPr="00A01EA5">
          <w:type w:val="continuous"/>
          <w:pgSz w:w="11906" w:h="16838"/>
          <w:pgMar w:top="1134" w:right="851" w:bottom="1134" w:left="851" w:header="357" w:footer="720" w:gutter="0"/>
          <w:cols w:num="2" w:space="720" w:equalWidth="0">
            <w:col w:w="4934" w:space="335"/>
            <w:col w:w="4934" w:space="0"/>
          </w:cols>
        </w:sectPr>
      </w:pPr>
    </w:p>
    <w:p w14:paraId="20224AB0" w14:textId="77777777" w:rsidR="001C5C5A" w:rsidRDefault="008E431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lastRenderedPageBreak/>
        <w:t>NO ELIMINAR ESTA HOJA DEL ARCHIVO. ENVÍE EL ARCHIVO COMPLETO</w:t>
      </w:r>
    </w:p>
    <w:p w14:paraId="5E97F26A" w14:textId="77777777" w:rsidR="001C5C5A" w:rsidRDefault="008E431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063BBA5B" w14:textId="77777777" w:rsidR="001C5C5A" w:rsidRDefault="008E431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3C68F379"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21514E90"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473FA97A"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70558BE1"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1CE4196C"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75B00040"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7C06840B"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2104904F" w14:textId="77777777" w:rsidR="001C5C5A" w:rsidRDefault="008E431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4720F958" w14:textId="77777777" w:rsidR="001C5C5A" w:rsidRDefault="008E431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70A8C38" w14:textId="77777777" w:rsidR="001C5C5A" w:rsidRDefault="008E431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4AB225B9" w14:textId="77777777" w:rsidR="001C5C5A" w:rsidRDefault="008E431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2F5DFAD5"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436C81F0"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34C1B5BF" w14:textId="77777777" w:rsidR="001C5C5A" w:rsidRDefault="008E431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66626E6" w14:textId="77777777" w:rsidR="001C5C5A" w:rsidRDefault="008E431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17EEF61C" w14:textId="77777777" w:rsidR="001C5C5A" w:rsidRDefault="008E431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5645E9F"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368EDA6C"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215E20DA" w14:textId="77777777" w:rsidR="001C5C5A" w:rsidRDefault="008E431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31F06D7" w14:textId="77777777" w:rsidR="001C5C5A" w:rsidRDefault="008E4310">
      <w:pPr>
        <w:spacing w:before="240" w:after="240"/>
        <w:jc w:val="both"/>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4856300F" w14:textId="6E5A7B30" w:rsidR="001C5C5A" w:rsidRDefault="00CF6CB1">
      <w:pPr>
        <w:spacing w:before="240" w:after="240"/>
        <w:jc w:val="both"/>
        <w:rPr>
          <w:rFonts w:ascii="Roboto" w:eastAsia="Roboto" w:hAnsi="Roboto" w:cs="Roboto"/>
          <w:sz w:val="20"/>
          <w:szCs w:val="20"/>
        </w:rPr>
      </w:pPr>
      <w:r>
        <w:rPr>
          <w:rFonts w:ascii="Roboto" w:eastAsia="Roboto" w:hAnsi="Roboto" w:cs="Roboto"/>
          <w:sz w:val="20"/>
          <w:szCs w:val="20"/>
        </w:rPr>
        <w:t>(X</w:t>
      </w:r>
      <w:r w:rsidR="008E4310">
        <w:rPr>
          <w:rFonts w:ascii="Roboto" w:eastAsia="Roboto" w:hAnsi="Roboto" w:cs="Roboto"/>
          <w:sz w:val="20"/>
          <w:szCs w:val="20"/>
        </w:rPr>
        <w:t>)  Declaro que he leído y acepto los términos de esta declaración y autorización de publicación.</w:t>
      </w:r>
    </w:p>
    <w:p w14:paraId="6FD9DC26" w14:textId="17759126" w:rsidR="002E1643" w:rsidRPr="002E1643" w:rsidRDefault="008E4310" w:rsidP="002E1643">
      <w:pPr>
        <w:pBdr>
          <w:top w:val="nil"/>
          <w:left w:val="nil"/>
          <w:bottom w:val="nil"/>
          <w:right w:val="nil"/>
          <w:between w:val="nil"/>
        </w:pBdr>
        <w:spacing w:before="120" w:after="120"/>
        <w:rPr>
          <w:rFonts w:ascii="Roboto" w:eastAsia="Roboto" w:hAnsi="Roboto" w:cs="Roboto"/>
          <w:b/>
          <w:bCs/>
          <w:sz w:val="20"/>
          <w:szCs w:val="20"/>
        </w:rPr>
      </w:pPr>
      <w:r>
        <w:rPr>
          <w:rFonts w:ascii="Roboto" w:eastAsia="Roboto" w:hAnsi="Roboto" w:cs="Roboto"/>
          <w:b/>
          <w:bCs/>
          <w:sz w:val="20"/>
          <w:szCs w:val="20"/>
        </w:rPr>
        <w:t>Autor responsable:</w:t>
      </w:r>
      <w:r w:rsidR="002E1643">
        <w:rPr>
          <w:rFonts w:ascii="Roboto" w:eastAsia="Roboto" w:hAnsi="Roboto" w:cs="Roboto"/>
          <w:b/>
          <w:bCs/>
          <w:sz w:val="20"/>
          <w:szCs w:val="20"/>
        </w:rPr>
        <w:t xml:space="preserve"> Diego Armando Casas Beltrán</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2E1643">
        <w:rPr>
          <w:rFonts w:ascii="Roboto" w:eastAsia="Roboto" w:hAnsi="Roboto" w:cs="Roboto"/>
          <w:b/>
          <w:bCs/>
          <w:sz w:val="20"/>
          <w:szCs w:val="20"/>
        </w:rPr>
        <w:t xml:space="preserve"> Universidad Anáhuac Cancún</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 con autores:</w:t>
      </w:r>
      <w:r w:rsidR="002E1643" w:rsidRPr="002E1643">
        <w:rPr>
          <w:b/>
          <w:color w:val="000000"/>
          <w:sz w:val="18"/>
        </w:rPr>
        <w:t xml:space="preserve"> </w:t>
      </w:r>
      <w:proofErr w:type="spellStart"/>
      <w:r w:rsidR="002E1643" w:rsidRPr="002E1643">
        <w:rPr>
          <w:rFonts w:ascii="Roboto" w:eastAsia="Roboto" w:hAnsi="Roboto" w:cs="Roboto"/>
          <w:b/>
          <w:bCs/>
          <w:sz w:val="20"/>
          <w:szCs w:val="20"/>
        </w:rPr>
        <w:t>Estimation</w:t>
      </w:r>
      <w:proofErr w:type="spell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of</w:t>
      </w:r>
      <w:proofErr w:type="spell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the</w:t>
      </w:r>
      <w:proofErr w:type="spell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Discharge</w:t>
      </w:r>
      <w:proofErr w:type="spell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of</w:t>
      </w:r>
      <w:proofErr w:type="spell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Sunscreens</w:t>
      </w:r>
      <w:proofErr w:type="spellEnd"/>
      <w:r w:rsidR="002E1643" w:rsidRPr="002E1643">
        <w:rPr>
          <w:rFonts w:ascii="Roboto" w:eastAsia="Roboto" w:hAnsi="Roboto" w:cs="Roboto"/>
          <w:b/>
          <w:bCs/>
          <w:sz w:val="20"/>
          <w:szCs w:val="20"/>
        </w:rPr>
        <w:t xml:space="preserve"> in </w:t>
      </w:r>
      <w:proofErr w:type="spellStart"/>
      <w:r w:rsidR="002E1643" w:rsidRPr="002E1643">
        <w:rPr>
          <w:rFonts w:ascii="Roboto" w:eastAsia="Roboto" w:hAnsi="Roboto" w:cs="Roboto"/>
          <w:b/>
          <w:bCs/>
          <w:sz w:val="20"/>
          <w:szCs w:val="20"/>
        </w:rPr>
        <w:t>Aquatic</w:t>
      </w:r>
      <w:proofErr w:type="spellEnd"/>
      <w:r w:rsidR="002E1643" w:rsidRPr="002E1643">
        <w:rPr>
          <w:rFonts w:ascii="Roboto" w:eastAsia="Roboto" w:hAnsi="Roboto" w:cs="Roboto"/>
          <w:b/>
          <w:bCs/>
          <w:sz w:val="20"/>
          <w:szCs w:val="20"/>
        </w:rPr>
        <w:t xml:space="preserve"> </w:t>
      </w:r>
      <w:proofErr w:type="spellStart"/>
      <w:proofErr w:type="gramStart"/>
      <w:r w:rsidR="002E1643" w:rsidRPr="002E1643">
        <w:rPr>
          <w:rFonts w:ascii="Roboto" w:eastAsia="Roboto" w:hAnsi="Roboto" w:cs="Roboto"/>
          <w:b/>
          <w:bCs/>
          <w:sz w:val="20"/>
          <w:szCs w:val="20"/>
        </w:rPr>
        <w:t>Environments</w:t>
      </w:r>
      <w:proofErr w:type="spellEnd"/>
      <w:r w:rsidR="002E1643" w:rsidRPr="002E1643">
        <w:rPr>
          <w:rFonts w:ascii="Roboto" w:eastAsia="Roboto" w:hAnsi="Roboto" w:cs="Roboto"/>
          <w:b/>
          <w:bCs/>
          <w:sz w:val="20"/>
          <w:szCs w:val="20"/>
        </w:rPr>
        <w:t xml:space="preserve">  in</w:t>
      </w:r>
      <w:proofErr w:type="gramEnd"/>
      <w:r w:rsidR="002E1643" w:rsidRPr="002E1643">
        <w:rPr>
          <w:rFonts w:ascii="Roboto" w:eastAsia="Roboto" w:hAnsi="Roboto" w:cs="Roboto"/>
          <w:b/>
          <w:bCs/>
          <w:sz w:val="20"/>
          <w:szCs w:val="20"/>
        </w:rPr>
        <w:t xml:space="preserve"> </w:t>
      </w:r>
      <w:proofErr w:type="spellStart"/>
      <w:r w:rsidR="002E1643" w:rsidRPr="002E1643">
        <w:rPr>
          <w:rFonts w:ascii="Roboto" w:eastAsia="Roboto" w:hAnsi="Roboto" w:cs="Roboto"/>
          <w:b/>
          <w:bCs/>
          <w:sz w:val="20"/>
          <w:szCs w:val="20"/>
        </w:rPr>
        <w:t>tourist</w:t>
      </w:r>
      <w:proofErr w:type="spellEnd"/>
      <w:r w:rsidR="002E1643" w:rsidRPr="002E1643">
        <w:rPr>
          <w:rFonts w:ascii="Roboto" w:eastAsia="Roboto" w:hAnsi="Roboto" w:cs="Roboto"/>
          <w:b/>
          <w:bCs/>
          <w:sz w:val="20"/>
          <w:szCs w:val="20"/>
        </w:rPr>
        <w:t xml:space="preserve"> sites: Case Holbox Island, Quintana Roo, México</w:t>
      </w:r>
      <w:r w:rsidR="002E1643">
        <w:rPr>
          <w:rFonts w:ascii="Roboto" w:eastAsia="Roboto" w:hAnsi="Roboto" w:cs="Roboto"/>
          <w:b/>
          <w:bCs/>
          <w:sz w:val="20"/>
          <w:szCs w:val="20"/>
        </w:rPr>
        <w:t xml:space="preserve">. </w:t>
      </w:r>
      <w:r w:rsidR="002E1643" w:rsidRPr="002E1643">
        <w:rPr>
          <w:rFonts w:ascii="Roboto" w:eastAsia="Roboto" w:hAnsi="Roboto" w:cs="Roboto"/>
          <w:b/>
          <w:bCs/>
          <w:sz w:val="20"/>
          <w:szCs w:val="20"/>
        </w:rPr>
        <w:t>Casas-Beltrán, Diego Armando</w:t>
      </w:r>
      <w:r w:rsidR="002E1643">
        <w:rPr>
          <w:rFonts w:ascii="Roboto" w:eastAsia="Roboto" w:hAnsi="Roboto" w:cs="Roboto"/>
          <w:b/>
          <w:bCs/>
          <w:sz w:val="20"/>
          <w:szCs w:val="20"/>
        </w:rPr>
        <w:t xml:space="preserve"> y </w:t>
      </w:r>
      <w:r w:rsidR="002E1643" w:rsidRPr="002E1643">
        <w:rPr>
          <w:rFonts w:ascii="Roboto" w:eastAsia="Roboto" w:hAnsi="Roboto" w:cs="Roboto"/>
          <w:b/>
          <w:bCs/>
          <w:sz w:val="20"/>
          <w:szCs w:val="20"/>
        </w:rPr>
        <w:t>García-Gual, Blanca Azucena</w:t>
      </w:r>
      <w:r w:rsidR="002E1643">
        <w:rPr>
          <w:rFonts w:ascii="Roboto" w:eastAsia="Roboto" w:hAnsi="Roboto" w:cs="Roboto"/>
          <w:b/>
          <w:bCs/>
          <w:sz w:val="20"/>
          <w:szCs w:val="20"/>
        </w:rPr>
        <w:t>.</w:t>
      </w:r>
    </w:p>
    <w:p w14:paraId="2D7E9401" w14:textId="13DF97A4" w:rsidR="001C5C5A" w:rsidRDefault="001C5C5A" w:rsidP="002E1643">
      <w:pPr>
        <w:spacing w:before="240" w:after="240"/>
        <w:rPr>
          <w:rFonts w:ascii="Roboto" w:eastAsia="Roboto" w:hAnsi="Roboto" w:cs="Roboto"/>
          <w:sz w:val="20"/>
          <w:szCs w:val="20"/>
        </w:rPr>
      </w:pPr>
    </w:p>
    <w:sectPr w:rsidR="001C5C5A">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2F09E2" w14:textId="77777777" w:rsidR="008B247A" w:rsidRDefault="008B247A">
      <w:r>
        <w:separator/>
      </w:r>
    </w:p>
  </w:endnote>
  <w:endnote w:type="continuationSeparator" w:id="0">
    <w:p w14:paraId="7801339B" w14:textId="77777777" w:rsidR="008B247A" w:rsidRDefault="008B24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9521B85A-77C7-40F4-9F59-0C662B4BBF63}"/>
  </w:font>
  <w:font w:name="Georgia">
    <w:panose1 w:val="02040502050405020303"/>
    <w:charset w:val="00"/>
    <w:family w:val="roman"/>
    <w:pitch w:val="variable"/>
    <w:sig w:usb0="00000287" w:usb1="00000000" w:usb2="00000000" w:usb3="00000000" w:csb0="0000009F" w:csb1="00000000"/>
    <w:embedItalic r:id="rId2" w:fontKey="{D6B7C301-078F-47A2-A575-BE0426BDD4CC}"/>
  </w:font>
  <w:font w:name="Roboto">
    <w:charset w:val="00"/>
    <w:family w:val="auto"/>
    <w:pitch w:val="variable"/>
    <w:sig w:usb0="E0000AFF" w:usb1="5000217F" w:usb2="00000021" w:usb3="00000000" w:csb0="0000019F" w:csb1="00000000"/>
    <w:embedRegular r:id="rId3" w:fontKey="{04078658-FFFA-4D5B-ABE3-1655A97ECF3A}"/>
    <w:embedBold r:id="rId4" w:fontKey="{FF8839CF-860A-43D8-B9B5-E98CCFC213D8}"/>
  </w:font>
  <w:font w:name="Calibri Light">
    <w:panose1 w:val="020F0302020204030204"/>
    <w:charset w:val="00"/>
    <w:family w:val="swiss"/>
    <w:pitch w:val="variable"/>
    <w:sig w:usb0="E4002EFF" w:usb1="C200247B" w:usb2="00000009" w:usb3="00000000" w:csb0="000001FF" w:csb1="00000000"/>
    <w:embedRegular r:id="rId5" w:fontKey="{292B8C37-5A8B-44D1-A25F-0DC9D7111AD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A592B2" w14:textId="77777777" w:rsidR="008B247A" w:rsidRDefault="008B247A">
      <w:r>
        <w:separator/>
      </w:r>
    </w:p>
  </w:footnote>
  <w:footnote w:type="continuationSeparator" w:id="0">
    <w:p w14:paraId="57F0A729" w14:textId="77777777" w:rsidR="008B247A" w:rsidRDefault="008B24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D88764" w14:textId="77777777" w:rsidR="001C5C5A" w:rsidRDefault="001C5C5A">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1C5C5A" w14:paraId="033C9055" w14:textId="77777777">
      <w:trPr>
        <w:trHeight w:val="345"/>
        <w:jc w:val="center"/>
      </w:trPr>
      <w:tc>
        <w:tcPr>
          <w:tcW w:w="6306" w:type="dxa"/>
          <w:vAlign w:val="center"/>
        </w:tcPr>
        <w:p w14:paraId="7DCED7DF" w14:textId="77777777" w:rsidR="001C5C5A" w:rsidRDefault="001C5C5A">
          <w:pPr>
            <w:jc w:val="center"/>
            <w:rPr>
              <w:i/>
              <w:iCs/>
              <w:sz w:val="18"/>
              <w:szCs w:val="18"/>
            </w:rPr>
          </w:pPr>
        </w:p>
      </w:tc>
    </w:tr>
  </w:tbl>
  <w:p w14:paraId="4579CC58" w14:textId="77777777" w:rsidR="001C5C5A" w:rsidRDefault="001C5C5A">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445EF9"/>
    <w:multiLevelType w:val="multilevel"/>
    <w:tmpl w:val="ADF63CE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B202644"/>
    <w:multiLevelType w:val="multilevel"/>
    <w:tmpl w:val="6C7EB79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711466537">
    <w:abstractNumId w:val="0"/>
  </w:num>
  <w:num w:numId="2" w16cid:durableId="1131835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5C5A"/>
    <w:rsid w:val="00021163"/>
    <w:rsid w:val="00027B7C"/>
    <w:rsid w:val="00102815"/>
    <w:rsid w:val="00103A01"/>
    <w:rsid w:val="001C5C5A"/>
    <w:rsid w:val="002B5B20"/>
    <w:rsid w:val="002E1643"/>
    <w:rsid w:val="00372859"/>
    <w:rsid w:val="00512094"/>
    <w:rsid w:val="00525922"/>
    <w:rsid w:val="0054205C"/>
    <w:rsid w:val="00610A7C"/>
    <w:rsid w:val="00645F6F"/>
    <w:rsid w:val="00646AE7"/>
    <w:rsid w:val="00710726"/>
    <w:rsid w:val="008B247A"/>
    <w:rsid w:val="008E4310"/>
    <w:rsid w:val="00A01EA5"/>
    <w:rsid w:val="00A81250"/>
    <w:rsid w:val="00B922FE"/>
    <w:rsid w:val="00CF6CB1"/>
    <w:rsid w:val="00D71A6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F68D89"/>
  <w15:docId w15:val="{E1C8E004-052D-4211-850D-2BBEA40ED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 w:type="paragraph" w:styleId="Revisin">
    <w:name w:val="Revision"/>
    <w:hidden/>
    <w:uiPriority w:val="99"/>
    <w:semiHidden/>
    <w:rsid w:val="007107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dcasas@anahuac.mx" TargetMode="External"/><Relationship Id="rId13" Type="http://schemas.openxmlformats.org/officeDocument/2006/relationships/hyperlink" Target="https://doi.org/10.3390/environments7020015"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hdphoto" Target="media/hdphoto1.wdp"/><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3390/app11156882"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1376</Words>
  <Characters>8134</Characters>
  <Application>Microsoft Office Word</Application>
  <DocSecurity>0</DocSecurity>
  <Lines>185</Lines>
  <Paragraphs>49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diego casas</cp:lastModifiedBy>
  <cp:revision>3</cp:revision>
  <cp:lastPrinted>2026-03-25T02:04:00Z</cp:lastPrinted>
  <dcterms:created xsi:type="dcterms:W3CDTF">2026-03-27T02:45:00Z</dcterms:created>
  <dcterms:modified xsi:type="dcterms:W3CDTF">2026-03-27T02:52:00Z</dcterms:modified>
</cp:coreProperties>
</file>