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6EDEB8" w14:textId="0D3EB90C" w:rsidR="00E80894" w:rsidRDefault="00E80894">
      <w:pPr>
        <w:pBdr>
          <w:top w:val="nil"/>
          <w:left w:val="nil"/>
          <w:bottom w:val="nil"/>
          <w:right w:val="nil"/>
          <w:between w:val="nil"/>
        </w:pBdr>
        <w:spacing w:before="120" w:after="120"/>
        <w:jc w:val="center"/>
        <w:rPr>
          <w:rFonts w:ascii="Roboto" w:eastAsia="Roboto" w:hAnsi="Roboto" w:cs="Roboto"/>
          <w:b/>
          <w:bCs/>
          <w:color w:val="000000"/>
        </w:rPr>
      </w:pPr>
      <w:r w:rsidRPr="00E80894">
        <w:rPr>
          <w:rFonts w:ascii="Roboto" w:eastAsia="Roboto" w:hAnsi="Roboto" w:cs="Roboto"/>
          <w:b/>
          <w:bCs/>
          <w:color w:val="000000"/>
        </w:rPr>
        <w:t xml:space="preserve">Inflación turística y turismo internacional: </w:t>
      </w:r>
      <w:r w:rsidR="005D2632">
        <w:rPr>
          <w:rFonts w:ascii="Roboto" w:eastAsia="Roboto" w:hAnsi="Roboto" w:cs="Roboto"/>
          <w:b/>
          <w:bCs/>
          <w:color w:val="000000"/>
        </w:rPr>
        <w:t>un análisis de efectos bidireccionales</w:t>
      </w:r>
    </w:p>
    <w:p w14:paraId="300B8978" w14:textId="6BAF7CF9" w:rsidR="00840355" w:rsidRDefault="00E80894">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Cerón-Monroy H</w:t>
      </w:r>
      <w:r w:rsidR="0064583A">
        <w:rPr>
          <w:rFonts w:ascii="Roboto" w:eastAsia="Roboto" w:hAnsi="Roboto" w:cs="Roboto"/>
          <w:b/>
          <w:bCs/>
          <w:color w:val="000000"/>
          <w:sz w:val="20"/>
          <w:szCs w:val="20"/>
        </w:rPr>
        <w:t>.</w:t>
      </w:r>
      <w:r w:rsidR="0064583A">
        <w:rPr>
          <w:rFonts w:ascii="Roboto" w:eastAsia="Roboto" w:hAnsi="Roboto" w:cs="Roboto"/>
          <w:b/>
          <w:bCs/>
          <w:color w:val="000000"/>
          <w:sz w:val="20"/>
          <w:szCs w:val="20"/>
          <w:vertAlign w:val="superscript"/>
        </w:rPr>
        <w:t>1</w:t>
      </w:r>
      <w:r w:rsidR="00B060BF">
        <w:rPr>
          <w:rFonts w:ascii="Roboto" w:eastAsia="Roboto" w:hAnsi="Roboto" w:cs="Roboto"/>
          <w:b/>
          <w:bCs/>
          <w:color w:val="000000"/>
          <w:sz w:val="20"/>
          <w:szCs w:val="20"/>
          <w:vertAlign w:val="superscript"/>
        </w:rPr>
        <w:t>*</w:t>
      </w:r>
      <w:r w:rsidR="0064583A">
        <w:rPr>
          <w:rFonts w:ascii="Roboto" w:eastAsia="Roboto" w:hAnsi="Roboto" w:cs="Roboto"/>
          <w:b/>
          <w:bCs/>
          <w:color w:val="000000"/>
          <w:sz w:val="20"/>
          <w:szCs w:val="20"/>
        </w:rPr>
        <w:t xml:space="preserve"> y </w:t>
      </w:r>
      <w:r>
        <w:rPr>
          <w:rFonts w:ascii="Roboto" w:eastAsia="Roboto" w:hAnsi="Roboto" w:cs="Roboto"/>
          <w:b/>
          <w:bCs/>
          <w:color w:val="000000"/>
          <w:sz w:val="20"/>
          <w:szCs w:val="20"/>
        </w:rPr>
        <w:t>Silva Urrutia J</w:t>
      </w:r>
      <w:r w:rsidR="0064583A">
        <w:rPr>
          <w:rFonts w:ascii="Roboto" w:eastAsia="Roboto" w:hAnsi="Roboto" w:cs="Roboto"/>
          <w:b/>
          <w:bCs/>
          <w:color w:val="000000"/>
          <w:sz w:val="20"/>
          <w:szCs w:val="20"/>
        </w:rPr>
        <w:t>.</w:t>
      </w:r>
      <w:r>
        <w:rPr>
          <w:rFonts w:ascii="Roboto" w:eastAsia="Roboto" w:hAnsi="Roboto" w:cs="Roboto"/>
          <w:b/>
          <w:bCs/>
          <w:color w:val="000000"/>
          <w:sz w:val="20"/>
          <w:szCs w:val="20"/>
        </w:rPr>
        <w:t xml:space="preserve"> E.</w:t>
      </w:r>
      <w:r w:rsidR="0064583A">
        <w:rPr>
          <w:rFonts w:ascii="Roboto" w:eastAsia="Roboto" w:hAnsi="Roboto" w:cs="Roboto"/>
          <w:b/>
          <w:bCs/>
          <w:color w:val="000000"/>
          <w:sz w:val="20"/>
          <w:szCs w:val="20"/>
          <w:vertAlign w:val="superscript"/>
        </w:rPr>
        <w:t>2</w:t>
      </w:r>
    </w:p>
    <w:p w14:paraId="45A588E6" w14:textId="7697EB9E" w:rsidR="00840355"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24191E">
        <w:rPr>
          <w:rFonts w:ascii="Roboto" w:eastAsia="Roboto" w:hAnsi="Roboto" w:cs="Roboto"/>
          <w:color w:val="000000"/>
          <w:sz w:val="18"/>
          <w:szCs w:val="18"/>
          <w:vertAlign w:val="superscript"/>
        </w:rPr>
        <w:t xml:space="preserve"> </w:t>
      </w:r>
      <w:r w:rsidR="0064583A">
        <w:rPr>
          <w:rFonts w:ascii="Roboto" w:eastAsia="Roboto" w:hAnsi="Roboto" w:cs="Roboto"/>
          <w:color w:val="000000"/>
          <w:sz w:val="18"/>
          <w:szCs w:val="18"/>
        </w:rPr>
        <w:t xml:space="preserve">Universidad Anáhuac México. ORCID: </w:t>
      </w:r>
      <w:r w:rsidR="0064583A" w:rsidRPr="0064583A">
        <w:rPr>
          <w:rFonts w:ascii="Roboto" w:eastAsia="Roboto" w:hAnsi="Roboto" w:cs="Roboto"/>
          <w:color w:val="000000"/>
          <w:sz w:val="18"/>
          <w:szCs w:val="18"/>
        </w:rPr>
        <w:t>0000-000</w:t>
      </w:r>
      <w:r w:rsidR="00E80894">
        <w:rPr>
          <w:rFonts w:ascii="Roboto" w:eastAsia="Roboto" w:hAnsi="Roboto" w:cs="Roboto"/>
          <w:color w:val="000000"/>
          <w:sz w:val="18"/>
          <w:szCs w:val="18"/>
        </w:rPr>
        <w:t>2</w:t>
      </w:r>
      <w:r w:rsidR="0064583A" w:rsidRPr="0064583A">
        <w:rPr>
          <w:rFonts w:ascii="Roboto" w:eastAsia="Roboto" w:hAnsi="Roboto" w:cs="Roboto"/>
          <w:color w:val="000000"/>
          <w:sz w:val="18"/>
          <w:szCs w:val="18"/>
        </w:rPr>
        <w:t>-</w:t>
      </w:r>
      <w:r w:rsidR="00E80894">
        <w:rPr>
          <w:rFonts w:ascii="Roboto" w:eastAsia="Roboto" w:hAnsi="Roboto" w:cs="Roboto"/>
          <w:color w:val="000000"/>
          <w:sz w:val="18"/>
          <w:szCs w:val="18"/>
        </w:rPr>
        <w:t>2942</w:t>
      </w:r>
      <w:r w:rsidR="0064583A" w:rsidRPr="0064583A">
        <w:rPr>
          <w:rFonts w:ascii="Roboto" w:eastAsia="Roboto" w:hAnsi="Roboto" w:cs="Roboto"/>
          <w:color w:val="000000"/>
          <w:sz w:val="18"/>
          <w:szCs w:val="18"/>
        </w:rPr>
        <w:t>-</w:t>
      </w:r>
      <w:r w:rsidR="00E80894">
        <w:rPr>
          <w:rFonts w:ascii="Roboto" w:eastAsia="Roboto" w:hAnsi="Roboto" w:cs="Roboto"/>
          <w:color w:val="000000"/>
          <w:sz w:val="18"/>
          <w:szCs w:val="18"/>
        </w:rPr>
        <w:t>8153</w:t>
      </w:r>
    </w:p>
    <w:p w14:paraId="7A81C441" w14:textId="739CDD55" w:rsidR="00840355" w:rsidRDefault="00000000">
      <w:pPr>
        <w:jc w:val="center"/>
        <w:rPr>
          <w:rFonts w:ascii="Roboto" w:eastAsia="Roboto" w:hAnsi="Roboto" w:cs="Roboto"/>
          <w:sz w:val="18"/>
          <w:szCs w:val="18"/>
        </w:rPr>
      </w:pPr>
      <w:r>
        <w:rPr>
          <w:rFonts w:ascii="Roboto" w:eastAsia="Roboto" w:hAnsi="Roboto" w:cs="Roboto"/>
          <w:sz w:val="18"/>
          <w:szCs w:val="18"/>
          <w:vertAlign w:val="superscript"/>
        </w:rPr>
        <w:t>2</w:t>
      </w:r>
      <w:r w:rsidR="0024191E">
        <w:rPr>
          <w:rFonts w:ascii="Roboto" w:eastAsia="Roboto" w:hAnsi="Roboto" w:cs="Roboto"/>
          <w:sz w:val="18"/>
          <w:szCs w:val="18"/>
          <w:vertAlign w:val="superscript"/>
        </w:rPr>
        <w:t xml:space="preserve"> </w:t>
      </w:r>
      <w:r w:rsidR="0064583A">
        <w:rPr>
          <w:rFonts w:ascii="Roboto" w:eastAsia="Roboto" w:hAnsi="Roboto" w:cs="Roboto"/>
          <w:sz w:val="18"/>
          <w:szCs w:val="18"/>
        </w:rPr>
        <w:t>Universidad Anáhuac México.</w:t>
      </w:r>
      <w:r>
        <w:rPr>
          <w:rFonts w:ascii="Roboto" w:eastAsia="Roboto" w:hAnsi="Roboto" w:cs="Roboto"/>
          <w:sz w:val="18"/>
          <w:szCs w:val="18"/>
        </w:rPr>
        <w:t xml:space="preserve"> ORCID</w:t>
      </w:r>
      <w:r w:rsidR="0064583A">
        <w:rPr>
          <w:rFonts w:ascii="Roboto" w:eastAsia="Roboto" w:hAnsi="Roboto" w:cs="Roboto"/>
          <w:sz w:val="18"/>
          <w:szCs w:val="18"/>
        </w:rPr>
        <w:t xml:space="preserve">: </w:t>
      </w:r>
      <w:r w:rsidR="00DF5BDC" w:rsidRPr="00DF5BDC">
        <w:rPr>
          <w:rFonts w:ascii="Roboto" w:eastAsia="Roboto" w:hAnsi="Roboto" w:cs="Roboto"/>
          <w:sz w:val="18"/>
          <w:szCs w:val="18"/>
        </w:rPr>
        <w:t>0000-000</w:t>
      </w:r>
      <w:r w:rsidR="00E80894">
        <w:rPr>
          <w:rFonts w:ascii="Roboto" w:eastAsia="Roboto" w:hAnsi="Roboto" w:cs="Roboto"/>
          <w:sz w:val="18"/>
          <w:szCs w:val="18"/>
        </w:rPr>
        <w:t>3</w:t>
      </w:r>
      <w:r w:rsidR="00DF5BDC" w:rsidRPr="00DF5BDC">
        <w:rPr>
          <w:rFonts w:ascii="Roboto" w:eastAsia="Roboto" w:hAnsi="Roboto" w:cs="Roboto"/>
          <w:sz w:val="18"/>
          <w:szCs w:val="18"/>
        </w:rPr>
        <w:t>-</w:t>
      </w:r>
      <w:r w:rsidR="00E80894">
        <w:rPr>
          <w:rFonts w:ascii="Roboto" w:eastAsia="Roboto" w:hAnsi="Roboto" w:cs="Roboto"/>
          <w:sz w:val="18"/>
          <w:szCs w:val="18"/>
        </w:rPr>
        <w:t>0499</w:t>
      </w:r>
      <w:r w:rsidR="00DF5BDC" w:rsidRPr="00DF5BDC">
        <w:rPr>
          <w:rFonts w:ascii="Roboto" w:eastAsia="Roboto" w:hAnsi="Roboto" w:cs="Roboto"/>
          <w:sz w:val="18"/>
          <w:szCs w:val="18"/>
        </w:rPr>
        <w:t>-0</w:t>
      </w:r>
      <w:r w:rsidR="00E80894">
        <w:rPr>
          <w:rFonts w:ascii="Roboto" w:eastAsia="Roboto" w:hAnsi="Roboto" w:cs="Roboto"/>
          <w:sz w:val="18"/>
          <w:szCs w:val="18"/>
        </w:rPr>
        <w:t>446</w:t>
      </w:r>
    </w:p>
    <w:p w14:paraId="5F52F69C" w14:textId="49E243ED" w:rsidR="00840355"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E80894">
        <w:rPr>
          <w:rFonts w:ascii="Roboto" w:eastAsia="Roboto" w:hAnsi="Roboto" w:cs="Roboto"/>
          <w:sz w:val="18"/>
          <w:szCs w:val="18"/>
        </w:rPr>
        <w:t>hazael.ceron</w:t>
      </w:r>
      <w:r w:rsidR="0064583A">
        <w:rPr>
          <w:rFonts w:ascii="Roboto" w:eastAsia="Roboto" w:hAnsi="Roboto" w:cs="Roboto"/>
          <w:sz w:val="18"/>
          <w:szCs w:val="18"/>
        </w:rPr>
        <w:t>@anahuac.mx</w:t>
      </w:r>
      <w:r>
        <w:rPr>
          <w:rFonts w:ascii="Roboto" w:eastAsia="Roboto" w:hAnsi="Roboto" w:cs="Roboto"/>
          <w:sz w:val="18"/>
          <w:szCs w:val="18"/>
        </w:rPr>
        <w:t>)</w:t>
      </w:r>
    </w:p>
    <w:p w14:paraId="0CCBA866" w14:textId="77777777" w:rsidR="00840355" w:rsidRDefault="006B14E4">
      <w:pPr>
        <w:spacing w:before="60"/>
        <w:jc w:val="center"/>
        <w:rPr>
          <w:rFonts w:ascii="Roboto" w:eastAsia="Roboto" w:hAnsi="Roboto" w:cs="Roboto"/>
          <w:sz w:val="18"/>
          <w:szCs w:val="18"/>
        </w:rPr>
        <w:sectPr w:rsidR="00840355">
          <w:headerReference w:type="default" r:id="rId8"/>
          <w:pgSz w:w="11906" w:h="16838"/>
          <w:pgMar w:top="851" w:right="851" w:bottom="828" w:left="851" w:header="357" w:footer="720" w:gutter="0"/>
          <w:pgNumType w:start="1"/>
          <w:cols w:space="720"/>
        </w:sectPr>
      </w:pPr>
      <w:r>
        <w:rPr>
          <w:noProof/>
        </w:rPr>
        <w:pict w14:anchorId="18D0E31E">
          <v:rect id="_x0000_i1025" alt="" style="width:441.9pt;height:.05pt;mso-width-percent:0;mso-height-percent:0;mso-width-percent:0;mso-height-percent:0" o:hralign="center" o:hrstd="t" o:hr="t" fillcolor="#a0a0a0" stroked="f"/>
        </w:pict>
      </w:r>
    </w:p>
    <w:p w14:paraId="0B775412" w14:textId="77777777" w:rsidR="00AE088C" w:rsidRPr="00E876E7" w:rsidRDefault="00AE088C" w:rsidP="00AE088C">
      <w:pPr>
        <w:rPr>
          <w:rFonts w:ascii="Roboto" w:hAnsi="Roboto"/>
          <w:b/>
          <w:bCs/>
          <w:sz w:val="20"/>
          <w:szCs w:val="20"/>
        </w:rPr>
      </w:pPr>
      <w:r w:rsidRPr="00E876E7">
        <w:rPr>
          <w:rFonts w:ascii="Roboto" w:hAnsi="Roboto"/>
          <w:b/>
          <w:bCs/>
          <w:sz w:val="20"/>
          <w:szCs w:val="20"/>
        </w:rPr>
        <w:t>Resumen</w:t>
      </w:r>
    </w:p>
    <w:p w14:paraId="7BE0FBC5" w14:textId="77777777" w:rsidR="00AE088C" w:rsidRDefault="00AE088C" w:rsidP="00AE088C">
      <w:pPr>
        <w:rPr>
          <w:rFonts w:ascii="Roboto" w:hAnsi="Roboto"/>
          <w:sz w:val="20"/>
          <w:szCs w:val="20"/>
        </w:rPr>
      </w:pPr>
    </w:p>
    <w:p w14:paraId="6A5D462D" w14:textId="29E63F0B" w:rsidR="00AE088C" w:rsidRDefault="00224F9B" w:rsidP="006F3608">
      <w:pPr>
        <w:jc w:val="both"/>
        <w:rPr>
          <w:rFonts w:ascii="Roboto" w:hAnsi="Roboto"/>
          <w:sz w:val="20"/>
          <w:szCs w:val="20"/>
        </w:rPr>
      </w:pPr>
      <w:r w:rsidRPr="00224F9B">
        <w:rPr>
          <w:rFonts w:ascii="Roboto" w:hAnsi="Roboto"/>
          <w:sz w:val="20"/>
          <w:szCs w:val="20"/>
        </w:rPr>
        <w:t xml:space="preserve">La hipótesis de </w:t>
      </w:r>
      <w:r w:rsidR="005D2632">
        <w:rPr>
          <w:rFonts w:ascii="Roboto" w:hAnsi="Roboto"/>
          <w:sz w:val="20"/>
          <w:szCs w:val="20"/>
        </w:rPr>
        <w:t xml:space="preserve">la </w:t>
      </w:r>
      <w:r w:rsidRPr="00224F9B">
        <w:rPr>
          <w:rFonts w:ascii="Roboto" w:hAnsi="Roboto"/>
          <w:sz w:val="20"/>
          <w:szCs w:val="20"/>
        </w:rPr>
        <w:t>inflación impulsada por el turismo (Tourism-Led Inflation Hypothesis) plantea que el crecimiento en el número de visitantes puede ejercer presiones al alza sobre el nivel general de precios a través del incremento en la demanda agregada (Shaari et al., 2018; Pektaş y Ünlüönen, 2020; Kožić et al., 2024). Asimismo, la literatura señala la existencia de una relación de causalidad inversa entre la demanda turística —medida a partir de la llegada de turistas— y la inflación (Mayoshi, 2021)</w:t>
      </w:r>
      <w:r w:rsidR="005D2632">
        <w:rPr>
          <w:rFonts w:ascii="Roboto" w:hAnsi="Roboto"/>
          <w:sz w:val="20"/>
          <w:szCs w:val="20"/>
        </w:rPr>
        <w:t xml:space="preserve"> tiene efectos bidireccionales</w:t>
      </w:r>
      <w:r w:rsidRPr="00224F9B">
        <w:rPr>
          <w:rFonts w:ascii="Roboto" w:hAnsi="Roboto"/>
          <w:sz w:val="20"/>
          <w:szCs w:val="20"/>
        </w:rPr>
        <w:t>. En este sentido, Akande y Adeyemi (2024) encuentran que la inflación disuade las llegadas de turistas internacionales y reduce los ingresos por turismo. Aunque aún limitada, la literatura en este campo es creciente y se concentra principalmente en países altamente dependientes del turismo, donde los efectos han sido evaluados a partir de la inflación general de la economía (Snieška et al., 2014; Chatziantoniou et al., 2013).</w:t>
      </w:r>
    </w:p>
    <w:p w14:paraId="2A97F7E5" w14:textId="77777777" w:rsidR="00224F9B" w:rsidRPr="00D52735" w:rsidRDefault="00224F9B" w:rsidP="006F3608">
      <w:pPr>
        <w:jc w:val="both"/>
        <w:rPr>
          <w:rFonts w:ascii="Roboto" w:hAnsi="Roboto"/>
          <w:sz w:val="20"/>
          <w:szCs w:val="20"/>
        </w:rPr>
      </w:pPr>
    </w:p>
    <w:p w14:paraId="0467AE4B" w14:textId="22D6805C" w:rsidR="00224F9B" w:rsidRDefault="00224F9B" w:rsidP="006F3608">
      <w:pPr>
        <w:jc w:val="both"/>
        <w:rPr>
          <w:rFonts w:ascii="Roboto" w:hAnsi="Roboto"/>
          <w:sz w:val="20"/>
          <w:szCs w:val="20"/>
        </w:rPr>
      </w:pPr>
      <w:r w:rsidRPr="00224F9B">
        <w:rPr>
          <w:rFonts w:ascii="Roboto" w:hAnsi="Roboto"/>
          <w:sz w:val="20"/>
          <w:szCs w:val="20"/>
        </w:rPr>
        <w:t xml:space="preserve">Recientemente, la Facultad de Turismo y Gastronomía desarrolló una metodología para medir la inflación turística en México mediante la creación del Índice Nacional de Precios Turísticos (INPT). Este índice compuesto se estima a partir de información de precios del INEGI </w:t>
      </w:r>
      <w:r w:rsidR="005F1710">
        <w:rPr>
          <w:rFonts w:ascii="Roboto" w:hAnsi="Roboto"/>
          <w:sz w:val="20"/>
          <w:szCs w:val="20"/>
        </w:rPr>
        <w:t xml:space="preserve">(2025) </w:t>
      </w:r>
      <w:r w:rsidRPr="00224F9B">
        <w:rPr>
          <w:rFonts w:ascii="Roboto" w:hAnsi="Roboto"/>
          <w:sz w:val="20"/>
          <w:szCs w:val="20"/>
        </w:rPr>
        <w:t>y se basa en una canasta representativa integrada por hoteles, restaurantes, transporte aéreo, autobús foráneo, cuotas de autopista y servicios turísticos en paquete. El INPT constituye una herramienta relevante para evaluar y comunicar la evolución de los precios en la industria turística, lo cual contribuye a que viajeros, empresas del sector y autoridades gubernamentales comprendan mejor las tendencias de precios en esta actividad.</w:t>
      </w:r>
    </w:p>
    <w:p w14:paraId="496544B5" w14:textId="77777777" w:rsidR="00224F9B" w:rsidRDefault="00224F9B" w:rsidP="006F3608">
      <w:pPr>
        <w:jc w:val="both"/>
        <w:rPr>
          <w:rFonts w:ascii="Roboto" w:hAnsi="Roboto"/>
          <w:sz w:val="20"/>
          <w:szCs w:val="20"/>
        </w:rPr>
      </w:pPr>
    </w:p>
    <w:p w14:paraId="0666DCA1" w14:textId="14D5F4A5" w:rsidR="00224F9B" w:rsidRDefault="00224F9B" w:rsidP="006F3608">
      <w:pPr>
        <w:jc w:val="both"/>
        <w:rPr>
          <w:rFonts w:ascii="Roboto" w:hAnsi="Roboto"/>
          <w:sz w:val="20"/>
          <w:szCs w:val="20"/>
        </w:rPr>
      </w:pPr>
      <w:r w:rsidRPr="00224F9B">
        <w:rPr>
          <w:rFonts w:ascii="Roboto" w:hAnsi="Roboto"/>
          <w:sz w:val="20"/>
          <w:szCs w:val="20"/>
        </w:rPr>
        <w:t>Con base en este indicador, se propone evaluar los efectos de la inflación —específicamente la inflación turística— sobre la llegada de turistas internacionales a México. En este sentido, la investigación busca determinar si el turismo internacional impulsa la inflación al generar mayores presiones de demanda agregada o, alternativamente, si la inflación actúa como un factor restrictivo para el turismo internacional.</w:t>
      </w:r>
    </w:p>
    <w:p w14:paraId="6462B7C3" w14:textId="77777777" w:rsidR="00224F9B" w:rsidRDefault="00224F9B" w:rsidP="006F3608">
      <w:pPr>
        <w:jc w:val="both"/>
        <w:rPr>
          <w:rFonts w:ascii="Roboto" w:hAnsi="Roboto"/>
          <w:sz w:val="20"/>
          <w:szCs w:val="20"/>
        </w:rPr>
      </w:pPr>
    </w:p>
    <w:p w14:paraId="50654B44" w14:textId="77777777" w:rsidR="00E1495B" w:rsidRDefault="00224F9B" w:rsidP="006F3608">
      <w:pPr>
        <w:jc w:val="both"/>
        <w:rPr>
          <w:rFonts w:ascii="Roboto" w:hAnsi="Roboto"/>
          <w:sz w:val="20"/>
          <w:szCs w:val="20"/>
        </w:rPr>
      </w:pPr>
      <w:r w:rsidRPr="00224F9B">
        <w:rPr>
          <w:rFonts w:ascii="Roboto" w:hAnsi="Roboto"/>
          <w:sz w:val="20"/>
          <w:szCs w:val="20"/>
        </w:rPr>
        <w:t xml:space="preserve">La pregunta de investigación plantea la existencia de una relación potencialmente bidireccional entre el turismo internacional y la inflación, lo cual sugiere la presencia de endogeneidad asociada a problemas de simultaneidad. En este contexto, se adopta un enfoque multivariado de series de tiempo mediante modelos de vectores autorregresivos (VAR), los cuales permiten </w:t>
      </w:r>
    </w:p>
    <w:p w14:paraId="3EBA3EF0" w14:textId="77777777" w:rsidR="00E1495B" w:rsidRDefault="00E1495B" w:rsidP="006F3608">
      <w:pPr>
        <w:jc w:val="both"/>
        <w:rPr>
          <w:rFonts w:ascii="Roboto" w:hAnsi="Roboto"/>
          <w:sz w:val="20"/>
          <w:szCs w:val="20"/>
        </w:rPr>
      </w:pPr>
    </w:p>
    <w:p w14:paraId="3E4068A9" w14:textId="77777777" w:rsidR="00E1495B" w:rsidRDefault="00E1495B" w:rsidP="006F3608">
      <w:pPr>
        <w:jc w:val="both"/>
        <w:rPr>
          <w:rFonts w:ascii="Roboto" w:hAnsi="Roboto"/>
          <w:sz w:val="20"/>
          <w:szCs w:val="20"/>
        </w:rPr>
      </w:pPr>
    </w:p>
    <w:p w14:paraId="295A80B1" w14:textId="77777777" w:rsidR="00E1495B" w:rsidRDefault="00E1495B" w:rsidP="006F3608">
      <w:pPr>
        <w:jc w:val="both"/>
        <w:rPr>
          <w:rFonts w:ascii="Roboto" w:hAnsi="Roboto"/>
          <w:sz w:val="20"/>
          <w:szCs w:val="20"/>
        </w:rPr>
      </w:pPr>
    </w:p>
    <w:p w14:paraId="0B87682A" w14:textId="47FBFE60" w:rsidR="00224F9B" w:rsidRPr="00224F9B" w:rsidRDefault="00224F9B" w:rsidP="006F3608">
      <w:pPr>
        <w:jc w:val="both"/>
        <w:rPr>
          <w:rFonts w:ascii="Roboto" w:hAnsi="Roboto"/>
          <w:sz w:val="20"/>
          <w:szCs w:val="20"/>
        </w:rPr>
      </w:pPr>
      <w:r w:rsidRPr="00224F9B">
        <w:rPr>
          <w:rFonts w:ascii="Roboto" w:hAnsi="Roboto"/>
          <w:sz w:val="20"/>
          <w:szCs w:val="20"/>
        </w:rPr>
        <w:t>modelar a ambas variables como endógenas y capturar su interdependencia dinámica en el corto plazo.</w:t>
      </w:r>
    </w:p>
    <w:p w14:paraId="64B3C528" w14:textId="77777777" w:rsidR="00224F9B" w:rsidRPr="00224F9B" w:rsidRDefault="00224F9B" w:rsidP="006F3608">
      <w:pPr>
        <w:jc w:val="both"/>
        <w:rPr>
          <w:rFonts w:ascii="Roboto" w:hAnsi="Roboto"/>
          <w:sz w:val="20"/>
          <w:szCs w:val="20"/>
        </w:rPr>
      </w:pPr>
    </w:p>
    <w:p w14:paraId="3A145A9D" w14:textId="68BD2F63" w:rsidR="00224F9B" w:rsidRDefault="00224F9B" w:rsidP="006F3608">
      <w:pPr>
        <w:jc w:val="both"/>
        <w:rPr>
          <w:rFonts w:ascii="Roboto" w:hAnsi="Roboto"/>
          <w:sz w:val="20"/>
          <w:szCs w:val="20"/>
        </w:rPr>
      </w:pPr>
      <w:r w:rsidRPr="00224F9B">
        <w:rPr>
          <w:rFonts w:ascii="Roboto" w:hAnsi="Roboto"/>
          <w:sz w:val="20"/>
          <w:szCs w:val="20"/>
        </w:rPr>
        <w:t xml:space="preserve">Considerando que el </w:t>
      </w:r>
      <w:r>
        <w:rPr>
          <w:rFonts w:ascii="Roboto" w:hAnsi="Roboto"/>
          <w:sz w:val="20"/>
          <w:szCs w:val="20"/>
        </w:rPr>
        <w:t xml:space="preserve">INPT </w:t>
      </w:r>
      <w:r w:rsidRPr="00224F9B">
        <w:rPr>
          <w:rFonts w:ascii="Roboto" w:hAnsi="Roboto"/>
          <w:sz w:val="20"/>
          <w:szCs w:val="20"/>
        </w:rPr>
        <w:t>es un índice sintético construido a partir de un esquema de ponderación basado en componentes principales, se dispone de las series desagregadas de cada uno de sus componentes. En consecuencia, una de las principales contribuciones de este estudio radica en la estimación de modelos VAR bivariados para cada componente del INPT, lo que permite identificar efectos diferenciados de la llegada de turistas internacionales sobre la dinámica de precios. Este enfoque resulta particularmente relevante en aquellos componentes caracterizados por mayor volatilidad y variaciones inflacionarias significativas, como es el caso del transporte aéreo.</w:t>
      </w:r>
    </w:p>
    <w:p w14:paraId="534719A7" w14:textId="77777777" w:rsidR="00224F9B" w:rsidRDefault="00224F9B" w:rsidP="006F3608">
      <w:pPr>
        <w:jc w:val="both"/>
        <w:rPr>
          <w:rFonts w:ascii="Roboto" w:hAnsi="Roboto"/>
          <w:sz w:val="20"/>
          <w:szCs w:val="20"/>
        </w:rPr>
      </w:pPr>
    </w:p>
    <w:p w14:paraId="220DA400" w14:textId="4BCDE779" w:rsidR="00224F9B" w:rsidRDefault="00E1495B" w:rsidP="006F3608">
      <w:pPr>
        <w:jc w:val="both"/>
        <w:rPr>
          <w:rFonts w:ascii="Roboto" w:hAnsi="Roboto"/>
          <w:sz w:val="20"/>
          <w:szCs w:val="20"/>
        </w:rPr>
      </w:pPr>
      <w:r w:rsidRPr="00E1495B">
        <w:rPr>
          <w:rFonts w:ascii="Roboto" w:hAnsi="Roboto"/>
          <w:b/>
          <w:bCs/>
          <w:sz w:val="20"/>
          <w:szCs w:val="20"/>
        </w:rPr>
        <w:t xml:space="preserve">Tabla 1. </w:t>
      </w:r>
      <w:r w:rsidRPr="00E1495B">
        <w:rPr>
          <w:rFonts w:ascii="Roboto" w:hAnsi="Roboto"/>
          <w:sz w:val="20"/>
          <w:szCs w:val="20"/>
        </w:rPr>
        <w:t>La inflación turística por componente de 2019 a 2025</w:t>
      </w:r>
    </w:p>
    <w:p w14:paraId="494A0941" w14:textId="77777777" w:rsidR="00E1495B" w:rsidRDefault="00E1495B" w:rsidP="006F3608">
      <w:pPr>
        <w:jc w:val="both"/>
        <w:rPr>
          <w:rFonts w:ascii="Roboto" w:hAnsi="Roboto"/>
          <w:sz w:val="20"/>
          <w:szCs w:val="20"/>
        </w:rPr>
      </w:pPr>
    </w:p>
    <w:p w14:paraId="5C97CBE3" w14:textId="5DB52B8D" w:rsidR="00E1495B" w:rsidRPr="00E1495B" w:rsidRDefault="00E1495B" w:rsidP="006F3608">
      <w:pPr>
        <w:jc w:val="both"/>
        <w:rPr>
          <w:rFonts w:ascii="Roboto" w:hAnsi="Roboto"/>
          <w:b/>
          <w:bCs/>
          <w:sz w:val="20"/>
          <w:szCs w:val="20"/>
        </w:rPr>
      </w:pPr>
      <w:r w:rsidRPr="00E1495B">
        <w:rPr>
          <w:rFonts w:ascii="Roboto" w:hAnsi="Roboto"/>
          <w:b/>
          <w:bCs/>
          <w:noProof/>
          <w:sz w:val="20"/>
          <w:szCs w:val="20"/>
        </w:rPr>
        <w:drawing>
          <wp:inline distT="0" distB="0" distL="0" distR="0" wp14:anchorId="0A54A59B" wp14:editId="56CB7FE1">
            <wp:extent cx="3372134" cy="1351129"/>
            <wp:effectExtent l="0" t="0" r="0" b="0"/>
            <wp:docPr id="19908982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898208" name=""/>
                    <pic:cNvPicPr/>
                  </pic:nvPicPr>
                  <pic:blipFill>
                    <a:blip r:embed="rId9"/>
                    <a:stretch>
                      <a:fillRect/>
                    </a:stretch>
                  </pic:blipFill>
                  <pic:spPr>
                    <a:xfrm>
                      <a:off x="0" y="0"/>
                      <a:ext cx="3385956" cy="1356667"/>
                    </a:xfrm>
                    <a:prstGeom prst="rect">
                      <a:avLst/>
                    </a:prstGeom>
                  </pic:spPr>
                </pic:pic>
              </a:graphicData>
            </a:graphic>
          </wp:inline>
        </w:drawing>
      </w:r>
    </w:p>
    <w:p w14:paraId="7D2618D5" w14:textId="77777777" w:rsidR="00224F9B" w:rsidRDefault="00224F9B" w:rsidP="006F3608">
      <w:pPr>
        <w:jc w:val="both"/>
        <w:rPr>
          <w:rFonts w:ascii="Roboto" w:hAnsi="Roboto"/>
          <w:sz w:val="20"/>
          <w:szCs w:val="20"/>
        </w:rPr>
      </w:pPr>
    </w:p>
    <w:p w14:paraId="37F9BE42" w14:textId="711AB3A8" w:rsidR="00E1495B" w:rsidRPr="00E1495B" w:rsidRDefault="00E1495B" w:rsidP="006F3608">
      <w:pPr>
        <w:jc w:val="both"/>
        <w:rPr>
          <w:rFonts w:ascii="Roboto" w:hAnsi="Roboto"/>
          <w:sz w:val="20"/>
          <w:szCs w:val="20"/>
        </w:rPr>
      </w:pPr>
      <w:r w:rsidRPr="00E1495B">
        <w:rPr>
          <w:rFonts w:ascii="Roboto" w:hAnsi="Roboto"/>
          <w:sz w:val="20"/>
          <w:szCs w:val="20"/>
        </w:rPr>
        <w:t xml:space="preserve">La </w:t>
      </w:r>
      <w:r w:rsidR="006F3608">
        <w:rPr>
          <w:rFonts w:ascii="Roboto" w:hAnsi="Roboto"/>
          <w:sz w:val="20"/>
          <w:szCs w:val="20"/>
        </w:rPr>
        <w:t>T</w:t>
      </w:r>
      <w:r w:rsidRPr="00E1495B">
        <w:rPr>
          <w:rFonts w:ascii="Roboto" w:hAnsi="Roboto"/>
          <w:sz w:val="20"/>
          <w:szCs w:val="20"/>
        </w:rPr>
        <w:t xml:space="preserve">abla </w:t>
      </w:r>
      <w:r w:rsidR="006F3608">
        <w:rPr>
          <w:rFonts w:ascii="Roboto" w:hAnsi="Roboto"/>
          <w:sz w:val="20"/>
          <w:szCs w:val="20"/>
        </w:rPr>
        <w:t xml:space="preserve">1 </w:t>
      </w:r>
      <w:r w:rsidRPr="00E1495B">
        <w:rPr>
          <w:rFonts w:ascii="Roboto" w:hAnsi="Roboto"/>
          <w:sz w:val="20"/>
          <w:szCs w:val="20"/>
        </w:rPr>
        <w:t>muestra que la inflación turística en el periodo 2019–2025 presenta un comportamiento altamente volátil y heterogéneo entre sus componentes, influido principalmente por el choque de la pandemia y la posterior recuperación. En 2020 se observa una caída generalizada, destacando el desplome del transporte aéreo (-26.</w:t>
      </w:r>
      <w:r w:rsidR="006F3608">
        <w:rPr>
          <w:rFonts w:ascii="Roboto" w:hAnsi="Roboto"/>
          <w:sz w:val="20"/>
          <w:szCs w:val="20"/>
        </w:rPr>
        <w:t>6</w:t>
      </w:r>
      <w:r w:rsidRPr="00E1495B">
        <w:rPr>
          <w:rFonts w:ascii="Roboto" w:hAnsi="Roboto"/>
          <w:sz w:val="20"/>
          <w:szCs w:val="20"/>
        </w:rPr>
        <w:t>%) y los paquetes turísticos, lo que explica la inflación turística negativa ese año (-4.</w:t>
      </w:r>
      <w:r w:rsidR="006F3608">
        <w:rPr>
          <w:rFonts w:ascii="Roboto" w:hAnsi="Roboto"/>
          <w:sz w:val="20"/>
          <w:szCs w:val="20"/>
        </w:rPr>
        <w:t>2</w:t>
      </w:r>
      <w:r w:rsidRPr="00E1495B">
        <w:rPr>
          <w:rFonts w:ascii="Roboto" w:hAnsi="Roboto"/>
          <w:sz w:val="20"/>
          <w:szCs w:val="20"/>
        </w:rPr>
        <w:t>%). Sin embargo, en 2021 ocurre un fuerte rebote, especialmente en el transporte aéreo (52.</w:t>
      </w:r>
      <w:r w:rsidR="006F3608">
        <w:rPr>
          <w:rFonts w:ascii="Roboto" w:hAnsi="Roboto"/>
          <w:sz w:val="20"/>
          <w:szCs w:val="20"/>
        </w:rPr>
        <w:t>1</w:t>
      </w:r>
      <w:r w:rsidRPr="00E1495B">
        <w:rPr>
          <w:rFonts w:ascii="Roboto" w:hAnsi="Roboto"/>
          <w:sz w:val="20"/>
          <w:szCs w:val="20"/>
        </w:rPr>
        <w:t xml:space="preserve">%) y los paquetes (16.1%), reflejando efectos de recuperación y presiones de demanda contenida. A partir de 2022, la inflación turística se mantiene positiva, con niveles elevados en 2023 y 2024 (alrededor de 8%), impulsada principalmente por servicios intensivos en consumo como restaurantes y transporte terrestre (autobús foráneo). Hacia 2025 se observa una moderación (5.3%), con cierta estabilización en hoteles y paquetes, aunque persisten presiones en transporte terrestre. En conjunto, la evidencia sugiere que la inflación turística es sensible a choques externos y presenta dinámicas diferenciadas por componente, siendo los servicios de </w:t>
      </w:r>
      <w:r w:rsidRPr="00E1495B">
        <w:rPr>
          <w:rFonts w:ascii="Roboto" w:hAnsi="Roboto"/>
          <w:sz w:val="20"/>
          <w:szCs w:val="20"/>
        </w:rPr>
        <w:lastRenderedPageBreak/>
        <w:t>alimentos y transporte los principales motores inflacionarios en la etapa postpandemia.</w:t>
      </w:r>
    </w:p>
    <w:p w14:paraId="0304C53E" w14:textId="77777777" w:rsidR="00E1495B" w:rsidRPr="00E1495B" w:rsidRDefault="00E1495B" w:rsidP="006F3608">
      <w:pPr>
        <w:jc w:val="both"/>
        <w:rPr>
          <w:rFonts w:ascii="Roboto" w:hAnsi="Roboto"/>
          <w:sz w:val="20"/>
          <w:szCs w:val="20"/>
        </w:rPr>
      </w:pPr>
    </w:p>
    <w:p w14:paraId="690F9823" w14:textId="022068FA" w:rsidR="00E1495B" w:rsidRDefault="00E1495B" w:rsidP="006F3608">
      <w:pPr>
        <w:jc w:val="both"/>
        <w:rPr>
          <w:rFonts w:ascii="Roboto" w:hAnsi="Roboto"/>
          <w:sz w:val="20"/>
          <w:szCs w:val="20"/>
        </w:rPr>
      </w:pPr>
      <w:r w:rsidRPr="00E1495B">
        <w:rPr>
          <w:rFonts w:ascii="Roboto" w:hAnsi="Roboto"/>
          <w:sz w:val="20"/>
          <w:szCs w:val="20"/>
        </w:rPr>
        <w:t>Los resultados preliminares del modelo VAR indican ausencia de evidencia estadística de que el flujo de turistas internacionales impuls</w:t>
      </w:r>
      <w:r w:rsidR="005D2632">
        <w:rPr>
          <w:rFonts w:ascii="Roboto" w:hAnsi="Roboto"/>
          <w:sz w:val="20"/>
          <w:szCs w:val="20"/>
        </w:rPr>
        <w:t>e</w:t>
      </w:r>
      <w:r w:rsidRPr="00E1495B">
        <w:rPr>
          <w:rFonts w:ascii="Roboto" w:hAnsi="Roboto"/>
          <w:sz w:val="20"/>
          <w:szCs w:val="20"/>
        </w:rPr>
        <w:t xml:space="preserve"> la inflación turística. En contraste, se encuentra evidencia de que la inflación influye significativamente sobre la dinámica del turismo, sugiriendo un mecanismo en el cual los aumentos en precios turísticos actúan como un factor restrictivo de la demanda</w:t>
      </w:r>
      <w:r w:rsidR="005D2632">
        <w:rPr>
          <w:rFonts w:ascii="Roboto" w:hAnsi="Roboto"/>
          <w:sz w:val="20"/>
          <w:szCs w:val="20"/>
        </w:rPr>
        <w:t>; por lo tanto el efecto es unidireccional.</w:t>
      </w:r>
    </w:p>
    <w:p w14:paraId="1FBB7FCA" w14:textId="77777777" w:rsidR="005D2632" w:rsidRPr="00E1495B" w:rsidRDefault="005D2632" w:rsidP="006F3608">
      <w:pPr>
        <w:jc w:val="both"/>
        <w:rPr>
          <w:rFonts w:ascii="Roboto" w:hAnsi="Roboto"/>
          <w:sz w:val="20"/>
          <w:szCs w:val="20"/>
        </w:rPr>
      </w:pPr>
    </w:p>
    <w:p w14:paraId="164C74E6" w14:textId="77777777" w:rsidR="00E1495B" w:rsidRPr="00E1495B" w:rsidRDefault="00E1495B" w:rsidP="006F3608">
      <w:pPr>
        <w:jc w:val="both"/>
        <w:rPr>
          <w:rFonts w:ascii="Roboto" w:hAnsi="Roboto"/>
          <w:sz w:val="20"/>
          <w:szCs w:val="20"/>
        </w:rPr>
      </w:pPr>
      <w:r w:rsidRPr="00E1495B">
        <w:rPr>
          <w:rFonts w:ascii="Roboto" w:hAnsi="Roboto"/>
          <w:sz w:val="20"/>
          <w:szCs w:val="20"/>
        </w:rPr>
        <w:t xml:space="preserve">Una de las contribuciones importantes de la investigación consiste en que si bien el efecto general no presenta una relación bidireccional, cuando el análisis se realiza por componente los resultados presentan cuestiones interesantes. Los modelos VAR por componente muestran una relación heterogénea entre los precios turísticos y la llegada de turistas internacionales. En el caso del transporte aéreo, se identifica un efecto significativo con rezagos, lo que sugiere ajustes dinámicos en la demanda más que un impacto inmediato, sin evidencia de que los turistas influyan sobre los precios. Para el componente de hoteles, se observa una relación bidireccional estadísticamente significativa, donde los incrementos en precios reducen la llegada de turistas en el corto plazo, mientras que el flujo turístico también incide sobre los precios, evidenciando un problema claro de endogeneidad. Un patrón similar se presenta en los servicios turísticos, donde los precios afectan negativamente la demanda en el corto plazo, pero también existe retroalimentación desde el turismo hacia los precios. En contraste, en los restaurantes, bares y similares, así como en las cuotas de autopistas y el autobús foráneo, no se encuentran efectos estadísticamente significativos entre precios y turistas, lo que sugiere que estos componentes tienen un papel marginal en la determinación del turismo internacional. En conjunto, los resultados indican que la relación entre inflación turística y demanda internacional es predominantemente unidireccional —de precios hacia turistas—, aunque con evidencia de interdependencia en segmentos clave como alojamiento y servicios turísticos. </w:t>
      </w:r>
    </w:p>
    <w:p w14:paraId="7640FE3D" w14:textId="77777777" w:rsidR="005D2632" w:rsidRDefault="005D2632" w:rsidP="006F3608">
      <w:pPr>
        <w:jc w:val="both"/>
        <w:rPr>
          <w:rFonts w:ascii="Roboto" w:hAnsi="Roboto"/>
          <w:sz w:val="20"/>
          <w:szCs w:val="20"/>
        </w:rPr>
      </w:pPr>
    </w:p>
    <w:p w14:paraId="2BFE42A4" w14:textId="77223465" w:rsidR="00E1495B" w:rsidRDefault="00E1495B" w:rsidP="006F3608">
      <w:pPr>
        <w:jc w:val="both"/>
        <w:rPr>
          <w:rFonts w:ascii="Roboto" w:hAnsi="Roboto"/>
          <w:sz w:val="20"/>
          <w:szCs w:val="20"/>
        </w:rPr>
      </w:pPr>
      <w:r w:rsidRPr="00E1495B">
        <w:rPr>
          <w:rFonts w:ascii="Roboto" w:hAnsi="Roboto"/>
          <w:sz w:val="20"/>
          <w:szCs w:val="20"/>
        </w:rPr>
        <w:t>En consecuencia, esta investigación permite comprender las dinámicas económicas entre la inflación y el turismo, las cuales constituyen información relevante que puede ser útil para los responsables de política pública, en sus esfuerzos por mantener la estabilidad económica y promover simultáneamente el turismo internacional. La comprensión de la inflación turística, favorecerá la toma de decisiones que mejoren la planeación de precios y la adaptación de la oferta turística en ciclos estacionales, permitiéndo mantener su competitividad en la atracción de turistas.</w:t>
      </w:r>
    </w:p>
    <w:p w14:paraId="6F56725A" w14:textId="77777777" w:rsidR="00224F9B" w:rsidRDefault="00224F9B" w:rsidP="006F3608">
      <w:pPr>
        <w:jc w:val="both"/>
        <w:rPr>
          <w:rFonts w:ascii="Roboto" w:hAnsi="Roboto"/>
          <w:sz w:val="20"/>
          <w:szCs w:val="20"/>
        </w:rPr>
      </w:pPr>
    </w:p>
    <w:p w14:paraId="2B824B46" w14:textId="77777777" w:rsidR="00224F9B" w:rsidRDefault="00224F9B" w:rsidP="006F3608">
      <w:pPr>
        <w:jc w:val="both"/>
        <w:rPr>
          <w:rFonts w:ascii="Roboto" w:hAnsi="Roboto"/>
          <w:sz w:val="20"/>
          <w:szCs w:val="20"/>
        </w:rPr>
      </w:pPr>
    </w:p>
    <w:p w14:paraId="3713DEAA" w14:textId="77777777" w:rsidR="00224F9B" w:rsidRDefault="00224F9B" w:rsidP="006F3608">
      <w:pPr>
        <w:jc w:val="both"/>
        <w:rPr>
          <w:rFonts w:ascii="Roboto" w:hAnsi="Roboto"/>
          <w:sz w:val="20"/>
          <w:szCs w:val="20"/>
        </w:rPr>
      </w:pPr>
    </w:p>
    <w:p w14:paraId="739EDBE9" w14:textId="66C2CFEB" w:rsidR="00840355" w:rsidRDefault="00000000" w:rsidP="006F3608">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64867A4D" w14:textId="77777777" w:rsidR="006A6831" w:rsidRDefault="006A6831" w:rsidP="006F3608">
      <w:pPr>
        <w:jc w:val="both"/>
        <w:rPr>
          <w:rFonts w:ascii="Roboto" w:eastAsia="Roboto" w:hAnsi="Roboto" w:cs="Roboto"/>
          <w:sz w:val="20"/>
          <w:szCs w:val="20"/>
          <w:lang w:val="en-US"/>
        </w:rPr>
      </w:pPr>
    </w:p>
    <w:p w14:paraId="0DFB11A5" w14:textId="31D40ABE" w:rsidR="005F1710" w:rsidRDefault="005F1710" w:rsidP="006F3608">
      <w:pPr>
        <w:jc w:val="both"/>
        <w:rPr>
          <w:rFonts w:ascii="Roboto" w:hAnsi="Roboto"/>
          <w:sz w:val="20"/>
          <w:szCs w:val="20"/>
          <w:lang w:val="en-US"/>
        </w:rPr>
      </w:pPr>
      <w:r w:rsidRPr="005F1710">
        <w:rPr>
          <w:rFonts w:ascii="Roboto" w:hAnsi="Roboto"/>
          <w:sz w:val="20"/>
          <w:szCs w:val="20"/>
          <w:lang w:val="en-US"/>
        </w:rPr>
        <w:t>Chatziantoniou, I., Filis, G., Eeckels, B., &amp; Apostolakis, A. (2013). Oil prices, tourism</w:t>
      </w:r>
      <w:r w:rsidR="005D2632">
        <w:rPr>
          <w:rFonts w:ascii="Roboto" w:hAnsi="Roboto"/>
          <w:sz w:val="20"/>
          <w:szCs w:val="20"/>
          <w:lang w:val="en-US"/>
        </w:rPr>
        <w:t xml:space="preserve"> </w:t>
      </w:r>
      <w:r w:rsidRPr="005F1710">
        <w:rPr>
          <w:rFonts w:ascii="Roboto" w:hAnsi="Roboto"/>
          <w:sz w:val="20"/>
          <w:szCs w:val="20"/>
          <w:lang w:val="en-US"/>
        </w:rPr>
        <w:t xml:space="preserve">income and economic growth: A structural VAR approach for European Mediterranean countries. Tourism Management, 36, 331-341. </w:t>
      </w:r>
      <w:hyperlink r:id="rId10" w:history="1">
        <w:r w:rsidRPr="004227B1">
          <w:rPr>
            <w:rStyle w:val="Hipervnculo"/>
            <w:rFonts w:ascii="Roboto" w:hAnsi="Roboto"/>
            <w:sz w:val="20"/>
            <w:szCs w:val="20"/>
            <w:lang w:val="en-US"/>
          </w:rPr>
          <w:t>https://doi.org/10.1016/j.tourman.2012.10.012</w:t>
        </w:r>
      </w:hyperlink>
      <w:r w:rsidRPr="005F1710">
        <w:rPr>
          <w:rFonts w:ascii="Roboto" w:hAnsi="Roboto"/>
          <w:sz w:val="20"/>
          <w:szCs w:val="20"/>
          <w:lang w:val="en-US"/>
        </w:rPr>
        <w:t xml:space="preserve"> </w:t>
      </w:r>
    </w:p>
    <w:p w14:paraId="37F3FE88" w14:textId="77777777" w:rsidR="005D2632" w:rsidRDefault="005D2632" w:rsidP="006F3608">
      <w:pPr>
        <w:jc w:val="both"/>
        <w:rPr>
          <w:rFonts w:ascii="Roboto" w:hAnsi="Roboto"/>
          <w:sz w:val="20"/>
          <w:szCs w:val="20"/>
          <w:lang w:val="en-US"/>
        </w:rPr>
      </w:pPr>
    </w:p>
    <w:p w14:paraId="1CCF1934" w14:textId="1715BCAD" w:rsidR="005F1710" w:rsidRDefault="005F1710" w:rsidP="006F3608">
      <w:pPr>
        <w:jc w:val="both"/>
        <w:rPr>
          <w:rFonts w:ascii="Roboto" w:hAnsi="Roboto"/>
          <w:sz w:val="20"/>
          <w:szCs w:val="20"/>
          <w:lang w:val="en-US"/>
        </w:rPr>
      </w:pPr>
      <w:r w:rsidRPr="005F1710">
        <w:rPr>
          <w:rFonts w:ascii="Roboto" w:hAnsi="Roboto"/>
          <w:sz w:val="20"/>
          <w:szCs w:val="20"/>
          <w:lang w:val="en-US"/>
        </w:rPr>
        <w:t xml:space="preserve">INEGI (2025). Sistema de información económica. Consulta de Precios Promedio. INEGI. </w:t>
      </w:r>
      <w:hyperlink r:id="rId11" w:history="1">
        <w:r w:rsidRPr="004227B1">
          <w:rPr>
            <w:rStyle w:val="Hipervnculo"/>
            <w:rFonts w:ascii="Roboto" w:hAnsi="Roboto"/>
            <w:sz w:val="20"/>
            <w:szCs w:val="20"/>
            <w:lang w:val="en-US"/>
          </w:rPr>
          <w:t>https://www.inegi.org.mx/app/preciospromedio/?bs=18</w:t>
        </w:r>
      </w:hyperlink>
      <w:r w:rsidRPr="005F1710">
        <w:rPr>
          <w:rFonts w:ascii="Roboto" w:hAnsi="Roboto"/>
          <w:sz w:val="20"/>
          <w:szCs w:val="20"/>
          <w:lang w:val="en-US"/>
        </w:rPr>
        <w:t xml:space="preserve"> </w:t>
      </w:r>
    </w:p>
    <w:p w14:paraId="7795E478" w14:textId="77777777" w:rsidR="005D2632" w:rsidRDefault="005D2632" w:rsidP="006F3608">
      <w:pPr>
        <w:jc w:val="both"/>
        <w:rPr>
          <w:rFonts w:ascii="Roboto" w:hAnsi="Roboto"/>
          <w:sz w:val="20"/>
          <w:szCs w:val="20"/>
          <w:lang w:val="en-US"/>
        </w:rPr>
      </w:pPr>
    </w:p>
    <w:p w14:paraId="7A39EDF1" w14:textId="26787E66" w:rsidR="005F1710" w:rsidRDefault="005F1710" w:rsidP="006F3608">
      <w:pPr>
        <w:jc w:val="both"/>
        <w:rPr>
          <w:rFonts w:ascii="Roboto" w:hAnsi="Roboto"/>
          <w:sz w:val="20"/>
          <w:szCs w:val="20"/>
          <w:lang w:val="en-US"/>
        </w:rPr>
      </w:pPr>
      <w:r w:rsidRPr="005F1710">
        <w:rPr>
          <w:rFonts w:ascii="Roboto" w:hAnsi="Roboto"/>
          <w:sz w:val="20"/>
          <w:szCs w:val="20"/>
          <w:lang w:val="en-US"/>
        </w:rPr>
        <w:t xml:space="preserve">Kožić, I., Sorić, P. &amp; Sever, I. (2024). Assessing the Tourism-Led Inflation Hypothesis: An Empirical Framework. Tourism. An international interdisciplinary journal, 72(4), 524-537. </w:t>
      </w:r>
      <w:hyperlink r:id="rId12" w:history="1">
        <w:r w:rsidRPr="004227B1">
          <w:rPr>
            <w:rStyle w:val="Hipervnculo"/>
            <w:rFonts w:ascii="Roboto" w:hAnsi="Roboto"/>
            <w:sz w:val="20"/>
            <w:szCs w:val="20"/>
            <w:lang w:val="en-US"/>
          </w:rPr>
          <w:t>https://doi.org/10.37741/t.72.4.1</w:t>
        </w:r>
      </w:hyperlink>
    </w:p>
    <w:p w14:paraId="391A1233" w14:textId="77777777" w:rsidR="005D2632" w:rsidRDefault="005D2632" w:rsidP="006F3608">
      <w:pPr>
        <w:jc w:val="both"/>
        <w:rPr>
          <w:rFonts w:ascii="Roboto" w:hAnsi="Roboto"/>
          <w:sz w:val="20"/>
          <w:szCs w:val="20"/>
          <w:lang w:val="en-US"/>
        </w:rPr>
      </w:pPr>
    </w:p>
    <w:p w14:paraId="3F897E9E" w14:textId="4C6AD27E" w:rsidR="005F1710" w:rsidRDefault="005F1710" w:rsidP="006F3608">
      <w:pPr>
        <w:jc w:val="both"/>
        <w:rPr>
          <w:rFonts w:ascii="Roboto" w:hAnsi="Roboto"/>
          <w:sz w:val="20"/>
          <w:szCs w:val="20"/>
          <w:lang w:val="en-US"/>
        </w:rPr>
      </w:pPr>
      <w:r w:rsidRPr="005F1710">
        <w:rPr>
          <w:rFonts w:ascii="Roboto" w:hAnsi="Roboto"/>
          <w:sz w:val="20"/>
          <w:szCs w:val="20"/>
          <w:lang w:val="en-US"/>
        </w:rPr>
        <w:t xml:space="preserve">Pektaş, Ş., &amp; Ünlüönen, K. (2020). The Evaluation of Tourism in Turkey in Terms of Inflation. Journal of Tourismology, 6(1), 111-132 </w:t>
      </w:r>
      <w:hyperlink r:id="rId13" w:history="1">
        <w:r w:rsidRPr="004227B1">
          <w:rPr>
            <w:rStyle w:val="Hipervnculo"/>
            <w:rFonts w:ascii="Roboto" w:hAnsi="Roboto"/>
            <w:sz w:val="20"/>
            <w:szCs w:val="20"/>
            <w:lang w:val="en-US"/>
          </w:rPr>
          <w:t>https://doi.org/10.26650/jot.2020.6.1.0012</w:t>
        </w:r>
      </w:hyperlink>
      <w:r w:rsidRPr="005F1710">
        <w:rPr>
          <w:rFonts w:ascii="Roboto" w:hAnsi="Roboto"/>
          <w:sz w:val="20"/>
          <w:szCs w:val="20"/>
          <w:lang w:val="en-US"/>
        </w:rPr>
        <w:t>.</w:t>
      </w:r>
    </w:p>
    <w:p w14:paraId="00C05BC7" w14:textId="77777777" w:rsidR="005D2632" w:rsidRDefault="005D2632" w:rsidP="006F3608">
      <w:pPr>
        <w:jc w:val="both"/>
        <w:rPr>
          <w:rFonts w:ascii="Roboto" w:hAnsi="Roboto"/>
          <w:sz w:val="20"/>
          <w:szCs w:val="20"/>
          <w:lang w:val="en-US"/>
        </w:rPr>
      </w:pPr>
    </w:p>
    <w:p w14:paraId="3F724639" w14:textId="383913FB" w:rsidR="005F1710" w:rsidRDefault="005F1710" w:rsidP="006F3608">
      <w:pPr>
        <w:jc w:val="both"/>
        <w:rPr>
          <w:rFonts w:ascii="Roboto" w:hAnsi="Roboto"/>
          <w:sz w:val="20"/>
          <w:szCs w:val="20"/>
          <w:lang w:val="en-US"/>
        </w:rPr>
      </w:pPr>
      <w:r w:rsidRPr="005F1710">
        <w:rPr>
          <w:rFonts w:ascii="Roboto" w:hAnsi="Roboto"/>
          <w:sz w:val="20"/>
          <w:szCs w:val="20"/>
          <w:lang w:val="en-US"/>
        </w:rPr>
        <w:t xml:space="preserve">Shaari, M., Razali, R., &amp; Ahmad, T. (2018). Tourism Led-Inflation: A case of Malaysia. MATEC Web of Conferences, 150, 06026. </w:t>
      </w:r>
      <w:hyperlink r:id="rId14" w:history="1">
        <w:r w:rsidRPr="004227B1">
          <w:rPr>
            <w:rStyle w:val="Hipervnculo"/>
            <w:rFonts w:ascii="Roboto" w:hAnsi="Roboto"/>
            <w:sz w:val="20"/>
            <w:szCs w:val="20"/>
            <w:lang w:val="en-US"/>
          </w:rPr>
          <w:t>https://doi.org/10.1051/matecconf/201815006026</w:t>
        </w:r>
      </w:hyperlink>
      <w:r>
        <w:rPr>
          <w:rFonts w:ascii="Roboto" w:hAnsi="Roboto"/>
          <w:sz w:val="20"/>
          <w:szCs w:val="20"/>
          <w:lang w:val="en-US"/>
        </w:rPr>
        <w:t xml:space="preserve"> </w:t>
      </w:r>
    </w:p>
    <w:p w14:paraId="4A8264DE" w14:textId="77777777" w:rsidR="005D2632" w:rsidRDefault="005D2632" w:rsidP="006F3608">
      <w:pPr>
        <w:jc w:val="both"/>
        <w:rPr>
          <w:rFonts w:ascii="Roboto" w:hAnsi="Roboto"/>
          <w:sz w:val="20"/>
          <w:szCs w:val="20"/>
          <w:lang w:val="en-US"/>
        </w:rPr>
      </w:pPr>
    </w:p>
    <w:p w14:paraId="0D0527E7" w14:textId="6E8DA1BB" w:rsidR="005F1710" w:rsidRDefault="005F1710" w:rsidP="006F3608">
      <w:pPr>
        <w:jc w:val="both"/>
        <w:rPr>
          <w:rFonts w:ascii="Roboto" w:hAnsi="Roboto"/>
          <w:sz w:val="20"/>
          <w:szCs w:val="20"/>
          <w:lang w:val="en-US"/>
        </w:rPr>
      </w:pPr>
      <w:r w:rsidRPr="005F1710">
        <w:rPr>
          <w:rFonts w:ascii="Roboto" w:hAnsi="Roboto"/>
          <w:sz w:val="20"/>
          <w:szCs w:val="20"/>
          <w:lang w:val="en-US"/>
        </w:rPr>
        <w:t xml:space="preserve">Snieška, V., Barkauskienė, K., &amp; Barkauskas, V. (2014). The Impact of Economic Factors on the Development of Rural Tourism: Lithuanian Case. Procedia - Social and Behavioral Sciences, 156, 280-285. </w:t>
      </w:r>
      <w:hyperlink r:id="rId15" w:history="1">
        <w:r w:rsidRPr="004227B1">
          <w:rPr>
            <w:rStyle w:val="Hipervnculo"/>
            <w:rFonts w:ascii="Roboto" w:hAnsi="Roboto"/>
            <w:sz w:val="20"/>
            <w:szCs w:val="20"/>
            <w:lang w:val="en-US"/>
          </w:rPr>
          <w:t>https://doi.org/10.1016/j.sbspro.2014.11.189</w:t>
        </w:r>
      </w:hyperlink>
      <w:r>
        <w:rPr>
          <w:rFonts w:ascii="Roboto" w:hAnsi="Roboto"/>
          <w:sz w:val="20"/>
          <w:szCs w:val="20"/>
          <w:lang w:val="en-US"/>
        </w:rPr>
        <w:t xml:space="preserve"> </w:t>
      </w:r>
    </w:p>
    <w:p w14:paraId="055FEAF8" w14:textId="77777777" w:rsidR="005F1710" w:rsidRPr="00A03084" w:rsidRDefault="005F1710" w:rsidP="006F3608">
      <w:pPr>
        <w:jc w:val="both"/>
        <w:rPr>
          <w:rFonts w:ascii="Roboto" w:hAnsi="Roboto"/>
          <w:sz w:val="20"/>
          <w:szCs w:val="20"/>
          <w:highlight w:val="yellow"/>
          <w:lang w:val="en-US"/>
        </w:rPr>
      </w:pPr>
    </w:p>
    <w:p w14:paraId="688435DF" w14:textId="77777777" w:rsidR="0041480A" w:rsidRPr="00A03084" w:rsidRDefault="0041480A" w:rsidP="006A6831">
      <w:pPr>
        <w:rPr>
          <w:rFonts w:ascii="Roboto" w:hAnsi="Roboto"/>
          <w:sz w:val="20"/>
          <w:szCs w:val="20"/>
          <w:highlight w:val="yellow"/>
          <w:lang w:val="en-US"/>
        </w:rPr>
      </w:pPr>
    </w:p>
    <w:p w14:paraId="4FB628AA" w14:textId="77777777" w:rsidR="0041480A" w:rsidRPr="00A03084" w:rsidRDefault="0041480A" w:rsidP="006A6831">
      <w:pPr>
        <w:rPr>
          <w:rFonts w:ascii="Roboto" w:hAnsi="Roboto"/>
          <w:sz w:val="20"/>
          <w:szCs w:val="20"/>
          <w:highlight w:val="yellow"/>
          <w:lang w:val="en-US"/>
        </w:rPr>
      </w:pPr>
    </w:p>
    <w:p w14:paraId="782DCE57" w14:textId="6E2CE34F" w:rsidR="006A6831" w:rsidRPr="005F1710" w:rsidRDefault="006A6831" w:rsidP="006A6831">
      <w:pPr>
        <w:rPr>
          <w:rFonts w:ascii="Roboto" w:hAnsi="Roboto"/>
          <w:sz w:val="20"/>
          <w:szCs w:val="20"/>
          <w:highlight w:val="yellow"/>
        </w:rPr>
        <w:sectPr w:rsidR="006A6831" w:rsidRPr="005F1710">
          <w:type w:val="continuous"/>
          <w:pgSz w:w="11906" w:h="16838"/>
          <w:pgMar w:top="1134" w:right="851" w:bottom="1134" w:left="851" w:header="357" w:footer="720" w:gutter="0"/>
          <w:cols w:num="2" w:space="720" w:equalWidth="0">
            <w:col w:w="4934" w:space="335"/>
            <w:col w:w="4934" w:space="0"/>
          </w:cols>
        </w:sectPr>
      </w:pPr>
    </w:p>
    <w:p w14:paraId="30DE501E" w14:textId="77777777" w:rsidR="00840355"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5BB468F6" w14:textId="77777777" w:rsidR="00840355"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332B8BF2"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8A48FF1"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4C32DFE6"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6C4621B"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6F480B2"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CFA132B"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10BE1EAF"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8ABCCAE"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1D81664"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9DFB25F"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5CAE19F" w14:textId="77777777" w:rsidR="00840355"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233E5506"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9508CDD"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238D148" w14:textId="77777777" w:rsidR="0084035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28C16637" w14:textId="77777777" w:rsidR="0084035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E7B0228" w14:textId="77777777" w:rsidR="00840355"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00E7884"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63264CC"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651E843"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F481973"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C0512B6" w14:textId="34AB6EFD"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Pr="00B71D23">
        <w:rPr>
          <w:rFonts w:ascii="Roboto" w:eastAsia="Roboto" w:hAnsi="Roboto" w:cs="Roboto"/>
          <w:b/>
          <w:bCs/>
          <w:color w:val="C00000"/>
          <w:sz w:val="20"/>
          <w:szCs w:val="20"/>
        </w:rPr>
        <w:t>X</w:t>
      </w:r>
      <w:r>
        <w:rPr>
          <w:rFonts w:ascii="Roboto" w:eastAsia="Roboto" w:hAnsi="Roboto" w:cs="Roboto"/>
          <w:sz w:val="20"/>
          <w:szCs w:val="20"/>
        </w:rPr>
        <w:t xml:space="preserve">  )  Declaro que he leído y acepto los términos de esta declaración y autorización de publicación.</w:t>
      </w:r>
    </w:p>
    <w:p w14:paraId="49ABCA53" w14:textId="05CDE28B" w:rsidR="00840355" w:rsidRPr="0041480A" w:rsidRDefault="00000000" w:rsidP="0041480A">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sz w:val="20"/>
          <w:szCs w:val="20"/>
        </w:rPr>
        <w:t>Autor responsable:</w:t>
      </w:r>
      <w:r w:rsidR="00B71D23">
        <w:rPr>
          <w:rFonts w:ascii="Roboto" w:eastAsia="Roboto" w:hAnsi="Roboto" w:cs="Roboto"/>
          <w:b/>
          <w:bCs/>
          <w:sz w:val="20"/>
          <w:szCs w:val="20"/>
        </w:rPr>
        <w:t xml:space="preserve"> </w:t>
      </w:r>
      <w:r w:rsidR="00B71D23" w:rsidRPr="00B71D23">
        <w:rPr>
          <w:rFonts w:ascii="Roboto" w:eastAsia="Roboto" w:hAnsi="Roboto" w:cs="Roboto"/>
          <w:sz w:val="20"/>
          <w:szCs w:val="20"/>
        </w:rPr>
        <w:t xml:space="preserve">Dr. </w:t>
      </w:r>
      <w:r w:rsidR="005D2632">
        <w:rPr>
          <w:rFonts w:ascii="Roboto" w:eastAsia="Roboto" w:hAnsi="Roboto" w:cs="Roboto"/>
          <w:sz w:val="20"/>
          <w:szCs w:val="20"/>
        </w:rPr>
        <w:t>Hazael Cerón Monroy</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B71D23">
        <w:rPr>
          <w:rFonts w:ascii="Roboto" w:eastAsia="Roboto" w:hAnsi="Roboto" w:cs="Roboto"/>
          <w:b/>
          <w:bCs/>
          <w:sz w:val="20"/>
          <w:szCs w:val="20"/>
        </w:rPr>
        <w:t xml:space="preserve"> </w:t>
      </w:r>
      <w:r w:rsidR="00B71D23" w:rsidRPr="00B71D23">
        <w:rPr>
          <w:rFonts w:ascii="Roboto" w:eastAsia="Roboto" w:hAnsi="Roboto" w:cs="Roboto"/>
          <w:sz w:val="20"/>
          <w:szCs w:val="20"/>
        </w:rPr>
        <w:t>Universidad Anáhuac México/Facultad de Turismo y Gastronomía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B71D23" w:rsidRPr="00B71D23">
        <w:rPr>
          <w:rFonts w:ascii="Roboto" w:eastAsia="Roboto" w:hAnsi="Roboto" w:cs="Roboto"/>
          <w:b/>
          <w:bCs/>
          <w:color w:val="000000"/>
        </w:rPr>
        <w:t xml:space="preserve"> </w:t>
      </w:r>
      <w:r w:rsidR="005D2632" w:rsidRPr="005D2632">
        <w:rPr>
          <w:rFonts w:ascii="Roboto" w:eastAsia="Roboto" w:hAnsi="Roboto" w:cs="Roboto"/>
          <w:color w:val="000000"/>
          <w:sz w:val="20"/>
          <w:szCs w:val="20"/>
        </w:rPr>
        <w:t>Inflación turística y turismo internacional: un análisis de efectos bidireccionales</w:t>
      </w:r>
      <w:r w:rsidR="00B71D23" w:rsidRPr="00B71D23">
        <w:rPr>
          <w:rFonts w:ascii="Roboto" w:eastAsia="Roboto" w:hAnsi="Roboto" w:cs="Roboto"/>
          <w:color w:val="000000"/>
          <w:sz w:val="20"/>
          <w:szCs w:val="20"/>
        </w:rPr>
        <w:t xml:space="preserve">. Dr. </w:t>
      </w:r>
      <w:r w:rsidR="005D2632">
        <w:rPr>
          <w:rFonts w:ascii="Roboto" w:eastAsia="Roboto" w:hAnsi="Roboto" w:cs="Roboto"/>
          <w:color w:val="000000"/>
          <w:sz w:val="20"/>
          <w:szCs w:val="20"/>
        </w:rPr>
        <w:t>Hazael Cerón Monroy</w:t>
      </w:r>
      <w:r w:rsidR="00B71D23" w:rsidRPr="00B71D23">
        <w:rPr>
          <w:rFonts w:ascii="Roboto" w:eastAsia="Roboto" w:hAnsi="Roboto" w:cs="Roboto"/>
          <w:color w:val="000000"/>
          <w:sz w:val="20"/>
          <w:szCs w:val="20"/>
        </w:rPr>
        <w:t xml:space="preserve"> y Dr</w:t>
      </w:r>
      <w:r w:rsidR="005D2632">
        <w:rPr>
          <w:rFonts w:ascii="Roboto" w:eastAsia="Roboto" w:hAnsi="Roboto" w:cs="Roboto"/>
          <w:color w:val="000000"/>
          <w:sz w:val="20"/>
          <w:szCs w:val="20"/>
        </w:rPr>
        <w:t>. José Eliud Silva Urrutia</w:t>
      </w:r>
      <w:r w:rsidR="00B71D23" w:rsidRPr="00B71D23">
        <w:rPr>
          <w:rFonts w:ascii="Roboto" w:eastAsia="Roboto" w:hAnsi="Roboto" w:cs="Roboto"/>
          <w:b/>
          <w:bCs/>
          <w:color w:val="000000"/>
          <w:sz w:val="20"/>
          <w:szCs w:val="20"/>
        </w:rPr>
        <w:t xml:space="preserve"> </w:t>
      </w:r>
    </w:p>
    <w:sectPr w:rsidR="00840355" w:rsidRPr="0041480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E8510" w14:textId="77777777" w:rsidR="006B14E4" w:rsidRDefault="006B14E4">
      <w:r>
        <w:separator/>
      </w:r>
    </w:p>
  </w:endnote>
  <w:endnote w:type="continuationSeparator" w:id="0">
    <w:p w14:paraId="197439E0" w14:textId="77777777" w:rsidR="006B14E4" w:rsidRDefault="006B14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C660753F-4CA4-F846-A0B2-EC36C4B617D6}"/>
    <w:embedBold r:id="rId2" w:fontKey="{4C041331-F154-DB4D-8588-897807073CE9}"/>
    <w:embedItalic r:id="rId3" w:fontKey="{C04D3033-3291-B84F-AA41-9BF564923012}"/>
  </w:font>
  <w:font w:name="Calibri">
    <w:panose1 w:val="020F0502020204030204"/>
    <w:charset w:val="00"/>
    <w:family w:val="swiss"/>
    <w:pitch w:val="variable"/>
    <w:sig w:usb0="E0002AFF" w:usb1="C000247B" w:usb2="00000009" w:usb3="00000000" w:csb0="000001FF" w:csb1="00000000"/>
    <w:embedRegular r:id="rId4" w:fontKey="{4EE9443B-5AB3-A543-A16B-4CC25E8AE48D}"/>
  </w:font>
  <w:font w:name="Georgia">
    <w:panose1 w:val="02040502050405020303"/>
    <w:charset w:val="00"/>
    <w:family w:val="roman"/>
    <w:pitch w:val="variable"/>
    <w:sig w:usb0="00000287" w:usb1="00000000" w:usb2="00000000" w:usb3="00000000" w:csb0="0000009F" w:csb1="00000000"/>
    <w:embedItalic r:id="rId5" w:fontKey="{B486306F-2B2E-C642-A632-A78A198CDE88}"/>
  </w:font>
  <w:font w:name="Roboto">
    <w:altName w:val="Roboto"/>
    <w:panose1 w:val="02000000000000000000"/>
    <w:charset w:val="00"/>
    <w:family w:val="auto"/>
    <w:pitch w:val="variable"/>
    <w:sig w:usb0="E0000AFF" w:usb1="5000217F" w:usb2="00000021" w:usb3="00000000" w:csb0="0000019F" w:csb1="00000000"/>
    <w:embedRegular r:id="rId6" w:fontKey="{3BAD4677-8990-5142-A561-62B0481F6288}"/>
    <w:embedBold r:id="rId7" w:fontKey="{6049EBD6-EFA5-ED4A-B073-666121FF29B4}"/>
  </w:font>
  <w:font w:name="Calibri Light">
    <w:panose1 w:val="020F0302020204030204"/>
    <w:charset w:val="00"/>
    <w:family w:val="swiss"/>
    <w:pitch w:val="variable"/>
    <w:sig w:usb0="E0002AFF" w:usb1="C000247B" w:usb2="00000009" w:usb3="00000000" w:csb0="000001FF" w:csb1="00000000"/>
    <w:embedRegular r:id="rId8" w:fontKey="{AC73C4B6-D84B-F544-9BAD-B006A8E5AE8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AA8C67" w14:textId="77777777" w:rsidR="006B14E4" w:rsidRDefault="006B14E4">
      <w:r>
        <w:separator/>
      </w:r>
    </w:p>
  </w:footnote>
  <w:footnote w:type="continuationSeparator" w:id="0">
    <w:p w14:paraId="04889163" w14:textId="77777777" w:rsidR="006B14E4" w:rsidRDefault="006B14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24CF6" w14:textId="77777777" w:rsidR="00840355" w:rsidRDefault="0084035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40355" w14:paraId="32CB7C17" w14:textId="77777777">
      <w:trPr>
        <w:trHeight w:val="345"/>
        <w:jc w:val="center"/>
      </w:trPr>
      <w:tc>
        <w:tcPr>
          <w:tcW w:w="6306" w:type="dxa"/>
          <w:vAlign w:val="center"/>
        </w:tcPr>
        <w:p w14:paraId="0B2F5B3A" w14:textId="77777777" w:rsidR="00840355" w:rsidRDefault="00840355">
          <w:pPr>
            <w:jc w:val="center"/>
            <w:rPr>
              <w:i/>
              <w:iCs/>
              <w:sz w:val="18"/>
              <w:szCs w:val="18"/>
            </w:rPr>
          </w:pPr>
        </w:p>
      </w:tc>
    </w:tr>
  </w:tbl>
  <w:p w14:paraId="436444CA" w14:textId="77777777" w:rsidR="00840355" w:rsidRDefault="0084035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221E00"/>
    <w:multiLevelType w:val="multilevel"/>
    <w:tmpl w:val="49A808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E4164F4"/>
    <w:multiLevelType w:val="multilevel"/>
    <w:tmpl w:val="42E24A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31980870">
    <w:abstractNumId w:val="0"/>
  </w:num>
  <w:num w:numId="2" w16cid:durableId="5846057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6"/>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0355"/>
    <w:rsid w:val="00224F9B"/>
    <w:rsid w:val="0024191E"/>
    <w:rsid w:val="00280E05"/>
    <w:rsid w:val="00316F26"/>
    <w:rsid w:val="0041480A"/>
    <w:rsid w:val="004322EB"/>
    <w:rsid w:val="005D2632"/>
    <w:rsid w:val="005F1710"/>
    <w:rsid w:val="0064583A"/>
    <w:rsid w:val="0069483E"/>
    <w:rsid w:val="006A6831"/>
    <w:rsid w:val="006B14E4"/>
    <w:rsid w:val="006F3608"/>
    <w:rsid w:val="00840355"/>
    <w:rsid w:val="00975C8C"/>
    <w:rsid w:val="00A03084"/>
    <w:rsid w:val="00A84E0F"/>
    <w:rsid w:val="00AE088C"/>
    <w:rsid w:val="00B060BF"/>
    <w:rsid w:val="00B71D23"/>
    <w:rsid w:val="00BC496B"/>
    <w:rsid w:val="00DF5BDC"/>
    <w:rsid w:val="00E1495B"/>
    <w:rsid w:val="00E659FE"/>
    <w:rsid w:val="00E80894"/>
    <w:rsid w:val="00E81C51"/>
    <w:rsid w:val="00ED5D0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848B1"/>
  <w15:docId w15:val="{E7D56953-EF2D-D64B-BD3A-1816A36EC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Hipervnculovisitado">
    <w:name w:val="FollowedHyperlink"/>
    <w:basedOn w:val="Fuentedeprrafopredeter"/>
    <w:uiPriority w:val="99"/>
    <w:semiHidden/>
    <w:unhideWhenUsed/>
    <w:rsid w:val="005F17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6949502">
      <w:bodyDiv w:val="1"/>
      <w:marLeft w:val="0"/>
      <w:marRight w:val="0"/>
      <w:marTop w:val="0"/>
      <w:marBottom w:val="0"/>
      <w:divBdr>
        <w:top w:val="none" w:sz="0" w:space="0" w:color="auto"/>
        <w:left w:val="none" w:sz="0" w:space="0" w:color="auto"/>
        <w:bottom w:val="none" w:sz="0" w:space="0" w:color="auto"/>
        <w:right w:val="none" w:sz="0" w:space="0" w:color="auto"/>
      </w:divBdr>
      <w:divsChild>
        <w:div w:id="1338193396">
          <w:marLeft w:val="0"/>
          <w:marRight w:val="0"/>
          <w:marTop w:val="0"/>
          <w:marBottom w:val="0"/>
          <w:divBdr>
            <w:top w:val="none" w:sz="0" w:space="0" w:color="auto"/>
            <w:left w:val="none" w:sz="0" w:space="0" w:color="auto"/>
            <w:bottom w:val="none" w:sz="0" w:space="0" w:color="auto"/>
            <w:right w:val="none" w:sz="0" w:space="0" w:color="auto"/>
          </w:divBdr>
        </w:div>
        <w:div w:id="1754819996">
          <w:marLeft w:val="0"/>
          <w:marRight w:val="0"/>
          <w:marTop w:val="0"/>
          <w:marBottom w:val="0"/>
          <w:divBdr>
            <w:top w:val="none" w:sz="0" w:space="0" w:color="auto"/>
            <w:left w:val="none" w:sz="0" w:space="0" w:color="auto"/>
            <w:bottom w:val="none" w:sz="0" w:space="0" w:color="auto"/>
            <w:right w:val="none" w:sz="0" w:space="0" w:color="auto"/>
          </w:divBdr>
        </w:div>
      </w:divsChild>
    </w:div>
    <w:div w:id="837693274">
      <w:bodyDiv w:val="1"/>
      <w:marLeft w:val="0"/>
      <w:marRight w:val="0"/>
      <w:marTop w:val="0"/>
      <w:marBottom w:val="0"/>
      <w:divBdr>
        <w:top w:val="none" w:sz="0" w:space="0" w:color="auto"/>
        <w:left w:val="none" w:sz="0" w:space="0" w:color="auto"/>
        <w:bottom w:val="none" w:sz="0" w:space="0" w:color="auto"/>
        <w:right w:val="none" w:sz="0" w:space="0" w:color="auto"/>
      </w:divBdr>
      <w:divsChild>
        <w:div w:id="1787500496">
          <w:marLeft w:val="0"/>
          <w:marRight w:val="0"/>
          <w:marTop w:val="0"/>
          <w:marBottom w:val="0"/>
          <w:divBdr>
            <w:top w:val="none" w:sz="0" w:space="0" w:color="auto"/>
            <w:left w:val="none" w:sz="0" w:space="0" w:color="auto"/>
            <w:bottom w:val="none" w:sz="0" w:space="0" w:color="auto"/>
            <w:right w:val="none" w:sz="0" w:space="0" w:color="auto"/>
          </w:divBdr>
        </w:div>
        <w:div w:id="54502341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26650/jot.2020.6.1.001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7741/t.72.4.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gi.org.mx/app/preciospromedio/?bs=18" TargetMode="External"/><Relationship Id="rId5" Type="http://schemas.openxmlformats.org/officeDocument/2006/relationships/webSettings" Target="webSettings.xml"/><Relationship Id="rId15" Type="http://schemas.openxmlformats.org/officeDocument/2006/relationships/hyperlink" Target="https://doi.org/10.1016/j.sbspro.2014.11.189" TargetMode="External"/><Relationship Id="rId10" Type="http://schemas.openxmlformats.org/officeDocument/2006/relationships/hyperlink" Target="https://doi.org/10.1016/j.tourman.2012.10.012"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s://doi.org/10.1051/matecconf/201815006026"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Pages>
  <Words>1776</Words>
  <Characters>10750</Characters>
  <Application>Microsoft Office Word</Application>
  <DocSecurity>0</DocSecurity>
  <Lines>255</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Hazael Ceron Monroy</cp:lastModifiedBy>
  <cp:revision>12</cp:revision>
  <dcterms:created xsi:type="dcterms:W3CDTF">2026-03-26T14:08:00Z</dcterms:created>
  <dcterms:modified xsi:type="dcterms:W3CDTF">2026-03-26T16:15:00Z</dcterms:modified>
</cp:coreProperties>
</file>