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F36227" w14:textId="2E657554" w:rsidR="007B7F08" w:rsidRDefault="00D21128">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“Vale Educar”</w:t>
      </w:r>
      <w:r w:rsidR="007B7F08">
        <w:rPr>
          <w:rFonts w:ascii="Roboto" w:eastAsia="Roboto" w:hAnsi="Roboto" w:cs="Roboto"/>
          <w:b/>
          <w:bCs/>
          <w:color w:val="000000"/>
        </w:rPr>
        <w:t xml:space="preserve">: </w:t>
      </w:r>
      <w:r w:rsidR="00163157">
        <w:rPr>
          <w:rFonts w:ascii="Roboto" w:eastAsia="Roboto" w:hAnsi="Roboto" w:cs="Roboto"/>
          <w:b/>
          <w:bCs/>
          <w:color w:val="000000"/>
        </w:rPr>
        <w:t>M</w:t>
      </w:r>
      <w:r w:rsidR="007B7F08">
        <w:rPr>
          <w:rFonts w:ascii="Roboto" w:eastAsia="Roboto" w:hAnsi="Roboto" w:cs="Roboto"/>
          <w:b/>
          <w:bCs/>
          <w:color w:val="000000"/>
        </w:rPr>
        <w:t xml:space="preserve">odelo de </w:t>
      </w:r>
      <w:r w:rsidR="00163157">
        <w:rPr>
          <w:rFonts w:ascii="Roboto" w:eastAsia="Roboto" w:hAnsi="Roboto" w:cs="Roboto"/>
          <w:b/>
          <w:bCs/>
          <w:color w:val="000000"/>
        </w:rPr>
        <w:t xml:space="preserve">intervención vocacional </w:t>
      </w:r>
      <w:r w:rsidR="00C544B0">
        <w:rPr>
          <w:rFonts w:ascii="Roboto" w:eastAsia="Roboto" w:hAnsi="Roboto" w:cs="Roboto"/>
          <w:b/>
          <w:bCs/>
          <w:color w:val="000000"/>
        </w:rPr>
        <w:t>longitudinal basado en el acompañamiento narrativo y la neurobiología de la decisión</w:t>
      </w:r>
    </w:p>
    <w:p w14:paraId="58398E84" w14:textId="074A81E2" w:rsidR="002F2656" w:rsidRDefault="00934511">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 xml:space="preserve">Vázquez Rodríguez </w:t>
      </w:r>
      <w:r w:rsidR="002E7B3B">
        <w:rPr>
          <w:rFonts w:ascii="Roboto" w:eastAsia="Roboto" w:hAnsi="Roboto" w:cs="Roboto"/>
          <w:b/>
          <w:bCs/>
          <w:color w:val="000000"/>
          <w:sz w:val="20"/>
          <w:szCs w:val="20"/>
        </w:rPr>
        <w:t>Gina Valeria</w:t>
      </w:r>
    </w:p>
    <w:p w14:paraId="3A55E357" w14:textId="54948C6B" w:rsidR="00D02633" w:rsidRDefault="00D02633">
      <w:pPr>
        <w:jc w:val="center"/>
        <w:rPr>
          <w:rFonts w:ascii="Roboto" w:eastAsia="Roboto" w:hAnsi="Roboto" w:cs="Roboto"/>
          <w:sz w:val="18"/>
          <w:szCs w:val="18"/>
        </w:rPr>
      </w:pPr>
      <w:r>
        <w:rPr>
          <w:rFonts w:ascii="Roboto" w:eastAsia="Roboto" w:hAnsi="Roboto" w:cs="Roboto"/>
          <w:sz w:val="18"/>
          <w:szCs w:val="18"/>
        </w:rPr>
        <w:t>Anáhuac Online</w:t>
      </w:r>
    </w:p>
    <w:p w14:paraId="1D20FDB5" w14:textId="3440F077" w:rsidR="002F2656" w:rsidRDefault="00515D39">
      <w:pPr>
        <w:jc w:val="center"/>
        <w:rPr>
          <w:rFonts w:ascii="Roboto" w:eastAsia="Roboto" w:hAnsi="Roboto" w:cs="Roboto"/>
          <w:sz w:val="18"/>
          <w:szCs w:val="18"/>
        </w:rPr>
      </w:pPr>
      <w:r>
        <w:rPr>
          <w:rFonts w:ascii="Roboto" w:eastAsia="Roboto" w:hAnsi="Roboto" w:cs="Roboto"/>
          <w:sz w:val="18"/>
          <w:szCs w:val="18"/>
        </w:rPr>
        <w:t>(e-mail:</w:t>
      </w:r>
      <w:r>
        <w:rPr>
          <w:rFonts w:ascii="Roboto" w:eastAsia="Roboto" w:hAnsi="Roboto" w:cs="Roboto"/>
          <w:sz w:val="18"/>
          <w:szCs w:val="18"/>
          <w:highlight w:val="white"/>
        </w:rPr>
        <w:t xml:space="preserve"> </w:t>
      </w:r>
      <w:r w:rsidR="00934511">
        <w:rPr>
          <w:rFonts w:ascii="Roboto" w:eastAsia="Roboto" w:hAnsi="Roboto" w:cs="Roboto"/>
          <w:sz w:val="18"/>
          <w:szCs w:val="18"/>
        </w:rPr>
        <w:t>valeria.vazquezro@anahuac.mx</w:t>
      </w:r>
      <w:r>
        <w:rPr>
          <w:rFonts w:ascii="Roboto" w:eastAsia="Roboto" w:hAnsi="Roboto" w:cs="Roboto"/>
          <w:sz w:val="18"/>
          <w:szCs w:val="18"/>
        </w:rPr>
        <w:t>)</w:t>
      </w:r>
    </w:p>
    <w:p w14:paraId="15B1D0B0" w14:textId="77777777" w:rsidR="002F2656" w:rsidRDefault="00023E59">
      <w:pPr>
        <w:spacing w:before="60"/>
        <w:jc w:val="center"/>
        <w:rPr>
          <w:rFonts w:ascii="Roboto" w:eastAsia="Roboto" w:hAnsi="Roboto" w:cs="Roboto"/>
          <w:sz w:val="18"/>
          <w:szCs w:val="18"/>
        </w:rPr>
        <w:sectPr w:rsidR="002F2656">
          <w:headerReference w:type="default" r:id="rId8"/>
          <w:pgSz w:w="11906" w:h="16838"/>
          <w:pgMar w:top="851" w:right="851" w:bottom="828" w:left="851" w:header="357" w:footer="720" w:gutter="0"/>
          <w:pgNumType w:start="1"/>
          <w:cols w:space="720"/>
        </w:sectPr>
      </w:pPr>
      <w:r>
        <w:rPr>
          <w:noProof/>
        </w:rPr>
        <w:pict w14:anchorId="7D6C7147">
          <v:rect id="_x0000_i1025" alt="" style="width:441.9pt;height:.05pt;mso-width-percent:0;mso-height-percent:0;mso-width-percent:0;mso-height-percent:0" o:hralign="center" o:hrstd="t" o:hr="t" fillcolor="#a0a0a0" stroked="f"/>
        </w:pict>
      </w:r>
    </w:p>
    <w:p w14:paraId="619FB1CC" w14:textId="1945D6F3" w:rsidR="002F2656" w:rsidRDefault="0080178B">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INTRODUCCIÓN </w:t>
      </w:r>
    </w:p>
    <w:p w14:paraId="0AB6881C" w14:textId="61C8AF3E" w:rsidR="002F2656" w:rsidRPr="00EE7C4F" w:rsidRDefault="00EE7C4F">
      <w:pPr>
        <w:pBdr>
          <w:top w:val="nil"/>
          <w:left w:val="nil"/>
          <w:bottom w:val="nil"/>
          <w:right w:val="nil"/>
          <w:between w:val="nil"/>
        </w:pBdr>
        <w:jc w:val="both"/>
        <w:rPr>
          <w:rFonts w:ascii="Roboto" w:eastAsia="Roboto" w:hAnsi="Roboto" w:cs="Roboto"/>
          <w:color w:val="000000"/>
          <w:sz w:val="20"/>
          <w:szCs w:val="20"/>
        </w:rPr>
      </w:pPr>
      <w:r w:rsidRPr="00EE7C4F">
        <w:rPr>
          <w:rFonts w:ascii="Roboto" w:eastAsia="Roboto" w:hAnsi="Roboto" w:cs="Roboto"/>
          <w:color w:val="000000"/>
          <w:sz w:val="20"/>
          <w:szCs w:val="20"/>
        </w:rPr>
        <w:t>La transición del bachillerato a la educación superior representa un hito crítico en el desarrollo ontológico del adolescente. En el contexto actual, caracterizado por la volatilidad del mercado laboral y la saturación de estímulos digitales, la elección vocacional ha dejado de ser una decisión técnica para convertirse en un fenómeno de salud mental y construcción de identidad. El programa "Vale Educar" surge como una respuesta a la insuficiencia de los modelos de orientación reactivos. Se propone una intervención que no busca "evaluar para clasificar", sino "acompañar para trascender". El problema central que aborda este modelo es la desarticulación entre la aptitud técnica y el propósito vital, fenómeno que deriva en altos índices de deserción universitaria y vacío existencial en el joven adulto.</w:t>
      </w:r>
    </w:p>
    <w:p w14:paraId="5897000D" w14:textId="77777777" w:rsidR="008F5124" w:rsidRDefault="00AA4B78" w:rsidP="008F512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br/>
      </w:r>
      <w:r w:rsidR="008F5124">
        <w:rPr>
          <w:rFonts w:ascii="Roboto" w:eastAsia="Roboto" w:hAnsi="Roboto" w:cs="Roboto"/>
          <w:b/>
          <w:bCs/>
          <w:color w:val="000000"/>
          <w:sz w:val="20"/>
          <w:szCs w:val="20"/>
        </w:rPr>
        <w:t xml:space="preserve">CONTEXTO ESTADÍSTICO </w:t>
      </w:r>
    </w:p>
    <w:p w14:paraId="1D7CD228" w14:textId="0D8DBE2A" w:rsidR="008F5124" w:rsidRPr="008F5124" w:rsidRDefault="008F5124" w:rsidP="008F5124">
      <w:pPr>
        <w:pBdr>
          <w:top w:val="nil"/>
          <w:left w:val="nil"/>
          <w:bottom w:val="nil"/>
          <w:right w:val="nil"/>
          <w:between w:val="nil"/>
        </w:pBdr>
        <w:jc w:val="both"/>
        <w:rPr>
          <w:rFonts w:ascii="Roboto" w:eastAsia="Roboto" w:hAnsi="Roboto" w:cs="Roboto"/>
          <w:color w:val="000000"/>
          <w:sz w:val="20"/>
          <w:szCs w:val="20"/>
        </w:rPr>
      </w:pPr>
      <w:r w:rsidRPr="00BF47C3">
        <w:rPr>
          <w:rFonts w:ascii="Roboto" w:eastAsia="Roboto" w:hAnsi="Roboto" w:cs="Roboto"/>
          <w:color w:val="000000"/>
          <w:sz w:val="20"/>
          <w:szCs w:val="20"/>
        </w:rPr>
        <w:t>El panorama de la educación superior en México presenta desafíos estructurales críticos en términos de eficiencia terminal. De acuerdo con cifras de la Secretaría de Educación Pública (SEP, 2023), la tasa de abandono escolar en el nivel superior se mantiene como uno de los principales obstáculos para el desarrollo profesional, estimándose que cerca del 8.2% de la matrícula total deserta anualmente, con una incidencia significativamente mayor durante el primer año de carrera.</w:t>
      </w:r>
      <w:r>
        <w:rPr>
          <w:rFonts w:ascii="Roboto" w:eastAsia="Roboto" w:hAnsi="Roboto" w:cs="Roboto"/>
          <w:color w:val="000000"/>
          <w:sz w:val="20"/>
          <w:szCs w:val="20"/>
        </w:rPr>
        <w:br/>
      </w:r>
      <w:r w:rsidRPr="00BF47C3">
        <w:rPr>
          <w:rFonts w:ascii="Roboto" w:eastAsia="Roboto" w:hAnsi="Roboto" w:cs="Roboto"/>
          <w:color w:val="000000"/>
          <w:sz w:val="20"/>
          <w:szCs w:val="20"/>
        </w:rPr>
        <w:t>Esta problemática se agudiza al observar la distribución de la demanda educativa. Según la Asociación Nacional de Universidades e Instituciones de Educación Superior (ANUIES, 2023), existe una hiperconcentración de la matrícula en áreas tradicionales; aproximadamente el 40% de los estudiantes opta por solo diez áreas del conocimiento, principalmente en Ciencias Sociales y Administración. Esta falta de diversificación vocacional, sumada a que un alto porcentaje de jóvenes elige su profesión sin un proceso de orientación profundo, deriva en lo que la literatura denomina 'arrepentimiento vocacional', factor que la ANUIES (2023) identifica como una de las causas primordiales de la deserción académica y el posterior subempleo profesional.</w:t>
      </w:r>
    </w:p>
    <w:p w14:paraId="79ED4984" w14:textId="3A5FF03F" w:rsidR="00293B13" w:rsidRDefault="002E7B3B" w:rsidP="00293B13">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br/>
      </w:r>
      <w:r w:rsidR="001E4FC2">
        <w:rPr>
          <w:rFonts w:ascii="Roboto" w:eastAsia="Roboto" w:hAnsi="Roboto" w:cs="Roboto"/>
          <w:b/>
          <w:bCs/>
          <w:color w:val="000000"/>
          <w:sz w:val="20"/>
          <w:szCs w:val="20"/>
        </w:rPr>
        <w:t>FUNDAMENTACIÓN TEÓRICA</w:t>
      </w:r>
    </w:p>
    <w:p w14:paraId="6ABF7A61" w14:textId="77777777" w:rsidR="001D602F" w:rsidRDefault="00293B13" w:rsidP="001D602F">
      <w:pPr>
        <w:pBdr>
          <w:top w:val="nil"/>
          <w:left w:val="nil"/>
          <w:bottom w:val="nil"/>
          <w:right w:val="nil"/>
          <w:between w:val="nil"/>
        </w:pBdr>
        <w:jc w:val="both"/>
        <w:rPr>
          <w:rFonts w:ascii="Roboto" w:eastAsia="Roboto" w:hAnsi="Roboto" w:cs="Roboto"/>
          <w:color w:val="000000"/>
          <w:sz w:val="20"/>
          <w:szCs w:val="20"/>
        </w:rPr>
      </w:pPr>
      <w:r w:rsidRPr="00293B13">
        <w:rPr>
          <w:rFonts w:ascii="Roboto" w:eastAsia="Roboto" w:hAnsi="Roboto" w:cs="Roboto"/>
          <w:color w:val="000000"/>
          <w:sz w:val="20"/>
          <w:szCs w:val="20"/>
        </w:rPr>
        <w:t>El sustento científico de "Vale Educar" se articula mediante una triangulación interdisciplinaria:</w:t>
      </w:r>
    </w:p>
    <w:p w14:paraId="67089C0C" w14:textId="727449ED" w:rsidR="001D602F" w:rsidRPr="001D602F" w:rsidRDefault="00293B13" w:rsidP="001D602F">
      <w:pPr>
        <w:pStyle w:val="Prrafodelista"/>
        <w:numPr>
          <w:ilvl w:val="0"/>
          <w:numId w:val="7"/>
        </w:numPr>
        <w:pBdr>
          <w:top w:val="nil"/>
          <w:left w:val="nil"/>
          <w:bottom w:val="nil"/>
          <w:right w:val="nil"/>
          <w:between w:val="nil"/>
        </w:pBdr>
        <w:jc w:val="both"/>
        <w:rPr>
          <w:rFonts w:ascii="Roboto" w:eastAsia="Roboto" w:hAnsi="Roboto" w:cs="Roboto"/>
          <w:b/>
          <w:bCs/>
          <w:color w:val="000000"/>
          <w:sz w:val="20"/>
          <w:szCs w:val="20"/>
        </w:rPr>
      </w:pPr>
      <w:r w:rsidRPr="001D602F">
        <w:rPr>
          <w:rFonts w:ascii="Roboto" w:eastAsia="Roboto" w:hAnsi="Roboto" w:cs="Roboto"/>
          <w:color w:val="000000"/>
          <w:sz w:val="20"/>
          <w:szCs w:val="20"/>
          <w:u w:val="single"/>
        </w:rPr>
        <w:t xml:space="preserve">Eje psicológico-identitario: </w:t>
      </w:r>
      <w:r w:rsidRPr="001D602F">
        <w:rPr>
          <w:rFonts w:ascii="Roboto" w:eastAsia="Roboto" w:hAnsi="Roboto" w:cs="Roboto"/>
          <w:color w:val="000000"/>
          <w:sz w:val="20"/>
          <w:szCs w:val="20"/>
        </w:rPr>
        <w:t xml:space="preserve">Se adopta el modelo de James Marcia sobre los estatus de identidad, priorizando la transición hacia la "Identidad </w:t>
      </w:r>
      <w:r w:rsidR="004D504D">
        <w:rPr>
          <w:rFonts w:ascii="Roboto" w:eastAsia="Roboto" w:hAnsi="Roboto" w:cs="Roboto"/>
          <w:color w:val="000000"/>
          <w:sz w:val="20"/>
          <w:szCs w:val="20"/>
        </w:rPr>
        <w:t>l</w:t>
      </w:r>
      <w:r w:rsidRPr="001D602F">
        <w:rPr>
          <w:rFonts w:ascii="Roboto" w:eastAsia="Roboto" w:hAnsi="Roboto" w:cs="Roboto"/>
          <w:color w:val="000000"/>
          <w:sz w:val="20"/>
          <w:szCs w:val="20"/>
        </w:rPr>
        <w:t>ograda". Se integra la Teoría de Construcción de Carrera de Savickas (2009), que postula la adaptabilidad y la narratividad como competencias esenciales para el siglo XXI.</w:t>
      </w:r>
    </w:p>
    <w:p w14:paraId="2103CF51" w14:textId="77777777" w:rsidR="001D602F" w:rsidRPr="001D602F" w:rsidRDefault="00293B13" w:rsidP="001D602F">
      <w:pPr>
        <w:pStyle w:val="Prrafodelista"/>
        <w:numPr>
          <w:ilvl w:val="0"/>
          <w:numId w:val="7"/>
        </w:numPr>
        <w:pBdr>
          <w:top w:val="nil"/>
          <w:left w:val="nil"/>
          <w:bottom w:val="nil"/>
          <w:right w:val="nil"/>
          <w:between w:val="nil"/>
        </w:pBdr>
        <w:jc w:val="both"/>
        <w:rPr>
          <w:rFonts w:ascii="Roboto" w:eastAsia="Roboto" w:hAnsi="Roboto" w:cs="Roboto"/>
          <w:b/>
          <w:bCs/>
          <w:color w:val="000000"/>
          <w:sz w:val="20"/>
          <w:szCs w:val="20"/>
        </w:rPr>
      </w:pPr>
      <w:r w:rsidRPr="001D602F">
        <w:rPr>
          <w:rFonts w:ascii="Roboto" w:eastAsia="Roboto" w:hAnsi="Roboto" w:cs="Roboto"/>
          <w:color w:val="000000"/>
          <w:sz w:val="20"/>
          <w:szCs w:val="20"/>
          <w:u w:val="single"/>
        </w:rPr>
        <w:t xml:space="preserve">Eje </w:t>
      </w:r>
      <w:r w:rsidR="004C07BC" w:rsidRPr="001D602F">
        <w:rPr>
          <w:rFonts w:ascii="Roboto" w:eastAsia="Roboto" w:hAnsi="Roboto" w:cs="Roboto"/>
          <w:color w:val="000000"/>
          <w:sz w:val="20"/>
          <w:szCs w:val="20"/>
          <w:u w:val="single"/>
        </w:rPr>
        <w:t>n</w:t>
      </w:r>
      <w:r w:rsidRPr="001D602F">
        <w:rPr>
          <w:rFonts w:ascii="Roboto" w:eastAsia="Roboto" w:hAnsi="Roboto" w:cs="Roboto"/>
          <w:color w:val="000000"/>
          <w:sz w:val="20"/>
          <w:szCs w:val="20"/>
          <w:u w:val="single"/>
        </w:rPr>
        <w:t>eurobiológico:</w:t>
      </w:r>
      <w:r w:rsidRPr="001D602F">
        <w:rPr>
          <w:rFonts w:ascii="Roboto" w:eastAsia="Roboto" w:hAnsi="Roboto" w:cs="Roboto"/>
          <w:color w:val="000000"/>
          <w:sz w:val="20"/>
          <w:szCs w:val="20"/>
        </w:rPr>
        <w:t xml:space="preserve"> Se fundamenta en la Teoría del Marcador Somático de Antonio Damasio, argumentando que la emoción es el timón de la razón. Asimismo, se incorpora la visión de Marian Rojas Estapé sobre la influencia del cortisol en el bloqueo de las funciones ejecutivas del córtex prefrontal, justificando la necesidad de técnicas de autorregulación para una elección libre.</w:t>
      </w:r>
    </w:p>
    <w:p w14:paraId="6B68AECF" w14:textId="77777777" w:rsidR="008F5124" w:rsidRPr="008F5124" w:rsidRDefault="00293B13" w:rsidP="001D602F">
      <w:pPr>
        <w:pStyle w:val="Prrafodelista"/>
        <w:numPr>
          <w:ilvl w:val="0"/>
          <w:numId w:val="7"/>
        </w:numPr>
        <w:pBdr>
          <w:top w:val="nil"/>
          <w:left w:val="nil"/>
          <w:bottom w:val="nil"/>
          <w:right w:val="nil"/>
          <w:between w:val="nil"/>
        </w:pBdr>
        <w:jc w:val="both"/>
        <w:rPr>
          <w:rFonts w:ascii="Roboto" w:eastAsia="Roboto" w:hAnsi="Roboto" w:cs="Roboto"/>
          <w:b/>
          <w:bCs/>
          <w:color w:val="000000"/>
          <w:sz w:val="20"/>
          <w:szCs w:val="20"/>
        </w:rPr>
      </w:pPr>
      <w:r w:rsidRPr="001D602F">
        <w:rPr>
          <w:rFonts w:ascii="Roboto" w:eastAsia="Roboto" w:hAnsi="Roboto" w:cs="Roboto"/>
          <w:color w:val="000000"/>
          <w:sz w:val="20"/>
          <w:szCs w:val="20"/>
          <w:u w:val="single"/>
        </w:rPr>
        <w:t xml:space="preserve">Eje </w:t>
      </w:r>
      <w:r w:rsidR="004C07BC" w:rsidRPr="001D602F">
        <w:rPr>
          <w:rFonts w:ascii="Roboto" w:eastAsia="Roboto" w:hAnsi="Roboto" w:cs="Roboto"/>
          <w:color w:val="000000"/>
          <w:sz w:val="20"/>
          <w:szCs w:val="20"/>
          <w:u w:val="single"/>
        </w:rPr>
        <w:t>h</w:t>
      </w:r>
      <w:r w:rsidRPr="001D602F">
        <w:rPr>
          <w:rFonts w:ascii="Roboto" w:eastAsia="Roboto" w:hAnsi="Roboto" w:cs="Roboto"/>
          <w:color w:val="000000"/>
          <w:sz w:val="20"/>
          <w:szCs w:val="20"/>
          <w:u w:val="single"/>
        </w:rPr>
        <w:t>umanista-</w:t>
      </w:r>
      <w:r w:rsidR="004C07BC" w:rsidRPr="001D602F">
        <w:rPr>
          <w:rFonts w:ascii="Roboto" w:eastAsia="Roboto" w:hAnsi="Roboto" w:cs="Roboto"/>
          <w:color w:val="000000"/>
          <w:sz w:val="20"/>
          <w:szCs w:val="20"/>
          <w:u w:val="single"/>
        </w:rPr>
        <w:t>p</w:t>
      </w:r>
      <w:r w:rsidRPr="001D602F">
        <w:rPr>
          <w:rFonts w:ascii="Roboto" w:eastAsia="Roboto" w:hAnsi="Roboto" w:cs="Roboto"/>
          <w:color w:val="000000"/>
          <w:sz w:val="20"/>
          <w:szCs w:val="20"/>
          <w:u w:val="single"/>
        </w:rPr>
        <w:t>ersonalista:</w:t>
      </w:r>
      <w:r w:rsidRPr="001D602F">
        <w:rPr>
          <w:rFonts w:ascii="Roboto" w:eastAsia="Roboto" w:hAnsi="Roboto" w:cs="Roboto"/>
          <w:color w:val="000000"/>
          <w:sz w:val="20"/>
          <w:szCs w:val="20"/>
        </w:rPr>
        <w:t xml:space="preserve"> Bajo la premisa de Viktor Frankl, se entiende la vocación como la búsqueda de sentido y la realización de valores. El trabajo se define no solo como medio de subsistencia, sino como una vía de servicio al bien común.</w:t>
      </w:r>
    </w:p>
    <w:p w14:paraId="3A10FA89" w14:textId="7FA3A844" w:rsidR="001D602F" w:rsidRPr="008F5124" w:rsidRDefault="008F5124" w:rsidP="008F512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br/>
      </w:r>
      <w:r w:rsidR="0082046B" w:rsidRPr="008F5124">
        <w:rPr>
          <w:rFonts w:ascii="Roboto" w:eastAsia="Roboto" w:hAnsi="Roboto" w:cs="Roboto"/>
          <w:b/>
          <w:bCs/>
          <w:color w:val="000000"/>
          <w:sz w:val="20"/>
          <w:szCs w:val="20"/>
        </w:rPr>
        <w:t>METODOLOGÍA</w:t>
      </w:r>
      <w:r w:rsidR="00E60966" w:rsidRPr="008F5124">
        <w:rPr>
          <w:rFonts w:ascii="Roboto" w:eastAsia="Roboto" w:hAnsi="Roboto" w:cs="Roboto"/>
          <w:b/>
          <w:bCs/>
          <w:color w:val="000000"/>
          <w:sz w:val="20"/>
          <w:szCs w:val="20"/>
        </w:rPr>
        <w:t xml:space="preserve"> Y DESARROLLO DEL PROGRAMA</w:t>
      </w:r>
      <w:r w:rsidR="001D602F" w:rsidRPr="008F5124">
        <w:rPr>
          <w:rFonts w:ascii="Roboto" w:eastAsia="Roboto" w:hAnsi="Roboto" w:cs="Roboto"/>
          <w:b/>
          <w:bCs/>
          <w:color w:val="000000"/>
          <w:sz w:val="20"/>
          <w:szCs w:val="20"/>
        </w:rPr>
        <w:br/>
      </w:r>
      <w:r w:rsidR="007634E8" w:rsidRPr="008F5124">
        <w:rPr>
          <w:rFonts w:ascii="Roboto" w:eastAsia="Roboto" w:hAnsi="Roboto" w:cs="Roboto"/>
          <w:color w:val="000000"/>
          <w:sz w:val="20"/>
          <w:szCs w:val="20"/>
        </w:rPr>
        <w:t xml:space="preserve">"Vale Educar" se define como un modelo de investigación-acción pedagógica de carácter longitudinal. El dispositivo central es la Bitácora de </w:t>
      </w:r>
      <w:r w:rsidR="00AA790B" w:rsidRPr="008F5124">
        <w:rPr>
          <w:rFonts w:ascii="Roboto" w:eastAsia="Roboto" w:hAnsi="Roboto" w:cs="Roboto"/>
          <w:color w:val="000000"/>
          <w:sz w:val="20"/>
          <w:szCs w:val="20"/>
        </w:rPr>
        <w:t>r</w:t>
      </w:r>
      <w:r w:rsidR="007634E8" w:rsidRPr="008F5124">
        <w:rPr>
          <w:rFonts w:ascii="Roboto" w:eastAsia="Roboto" w:hAnsi="Roboto" w:cs="Roboto"/>
          <w:color w:val="000000"/>
          <w:sz w:val="20"/>
          <w:szCs w:val="20"/>
        </w:rPr>
        <w:t>eflexión, entendida como un "espacio transicional" donde el alumno objetiva su subjetividad.</w:t>
      </w:r>
    </w:p>
    <w:p w14:paraId="30BCBEB7" w14:textId="77777777" w:rsidR="001D602F" w:rsidRDefault="007634E8" w:rsidP="001D602F">
      <w:pPr>
        <w:pStyle w:val="NormalWeb"/>
        <w:numPr>
          <w:ilvl w:val="0"/>
          <w:numId w:val="9"/>
        </w:numPr>
        <w:rPr>
          <w:rFonts w:ascii="Roboto" w:eastAsia="Roboto" w:hAnsi="Roboto" w:cs="Roboto"/>
          <w:b/>
          <w:bCs/>
          <w:color w:val="000000"/>
          <w:sz w:val="20"/>
          <w:szCs w:val="20"/>
        </w:rPr>
      </w:pPr>
      <w:r w:rsidRPr="007634E8">
        <w:rPr>
          <w:rFonts w:ascii="Roboto" w:eastAsia="Roboto" w:hAnsi="Roboto" w:cs="Roboto"/>
          <w:color w:val="000000"/>
          <w:sz w:val="20"/>
          <w:szCs w:val="20"/>
        </w:rPr>
        <w:t xml:space="preserve">Fase 1 (Identidad y </w:t>
      </w:r>
      <w:r w:rsidR="00EF1E91">
        <w:rPr>
          <w:rFonts w:ascii="Roboto" w:eastAsia="Roboto" w:hAnsi="Roboto" w:cs="Roboto"/>
          <w:color w:val="000000"/>
          <w:sz w:val="20"/>
          <w:szCs w:val="20"/>
        </w:rPr>
        <w:t>a</w:t>
      </w:r>
      <w:r w:rsidRPr="007634E8">
        <w:rPr>
          <w:rFonts w:ascii="Roboto" w:eastAsia="Roboto" w:hAnsi="Roboto" w:cs="Roboto"/>
          <w:color w:val="000000"/>
          <w:sz w:val="20"/>
          <w:szCs w:val="20"/>
        </w:rPr>
        <w:t xml:space="preserve">utogestión): Enfocada en la formación del carácter y la </w:t>
      </w:r>
      <w:r w:rsidRPr="0042019B">
        <w:rPr>
          <w:rFonts w:ascii="Roboto" w:eastAsia="Roboto" w:hAnsi="Roboto" w:cs="Roboto"/>
          <w:color w:val="000000"/>
          <w:sz w:val="20"/>
          <w:szCs w:val="20"/>
        </w:rPr>
        <w:t xml:space="preserve">disciplina </w:t>
      </w:r>
      <w:r w:rsidRPr="007634E8">
        <w:rPr>
          <w:rFonts w:ascii="Roboto" w:eastAsia="Roboto" w:hAnsi="Roboto" w:cs="Roboto"/>
          <w:color w:val="000000"/>
          <w:sz w:val="20"/>
          <w:szCs w:val="20"/>
        </w:rPr>
        <w:t>(W. McRaven), estableciendo las bases de la autoeficacia.</w:t>
      </w:r>
    </w:p>
    <w:p w14:paraId="27326D57" w14:textId="77777777" w:rsidR="001D602F" w:rsidRDefault="007634E8" w:rsidP="001D602F">
      <w:pPr>
        <w:pStyle w:val="NormalWeb"/>
        <w:numPr>
          <w:ilvl w:val="0"/>
          <w:numId w:val="9"/>
        </w:numPr>
        <w:rPr>
          <w:rFonts w:ascii="Roboto" w:eastAsia="Roboto" w:hAnsi="Roboto" w:cs="Roboto"/>
          <w:b/>
          <w:bCs/>
          <w:color w:val="000000"/>
          <w:sz w:val="20"/>
          <w:szCs w:val="20"/>
        </w:rPr>
      </w:pPr>
      <w:r w:rsidRPr="007634E8">
        <w:rPr>
          <w:rFonts w:ascii="Roboto" w:eastAsia="Roboto" w:hAnsi="Roboto" w:cs="Roboto"/>
          <w:color w:val="000000"/>
          <w:sz w:val="20"/>
          <w:szCs w:val="20"/>
        </w:rPr>
        <w:t xml:space="preserve">Fase 2 (Exploración y </w:t>
      </w:r>
      <w:r>
        <w:rPr>
          <w:rFonts w:ascii="Roboto" w:eastAsia="Roboto" w:hAnsi="Roboto" w:cs="Roboto"/>
          <w:color w:val="000000"/>
          <w:sz w:val="20"/>
          <w:szCs w:val="20"/>
        </w:rPr>
        <w:t>t</w:t>
      </w:r>
      <w:r w:rsidRPr="007634E8">
        <w:rPr>
          <w:rFonts w:ascii="Roboto" w:eastAsia="Roboto" w:hAnsi="Roboto" w:cs="Roboto"/>
          <w:color w:val="000000"/>
          <w:sz w:val="20"/>
          <w:szCs w:val="20"/>
        </w:rPr>
        <w:t>alento): Utiliza el concepto de "El Elemento" de Ken Robinson y pruebas de aptitudes (Clinkin) para contrastar el interés con la capacidad real.</w:t>
      </w:r>
    </w:p>
    <w:p w14:paraId="429CFC01" w14:textId="77777777" w:rsidR="001D602F" w:rsidRDefault="007634E8" w:rsidP="001D602F">
      <w:pPr>
        <w:pStyle w:val="NormalWeb"/>
        <w:numPr>
          <w:ilvl w:val="0"/>
          <w:numId w:val="9"/>
        </w:numPr>
        <w:rPr>
          <w:rFonts w:ascii="Roboto" w:eastAsia="Roboto" w:hAnsi="Roboto" w:cs="Roboto"/>
          <w:b/>
          <w:bCs/>
          <w:color w:val="000000"/>
          <w:sz w:val="20"/>
          <w:szCs w:val="20"/>
        </w:rPr>
      </w:pPr>
      <w:r w:rsidRPr="001D602F">
        <w:rPr>
          <w:rFonts w:ascii="Roboto" w:eastAsia="Roboto" w:hAnsi="Roboto" w:cs="Roboto"/>
          <w:color w:val="000000"/>
          <w:sz w:val="20"/>
          <w:szCs w:val="20"/>
        </w:rPr>
        <w:t>Fase 3 (Decisión y vinculación): Implementa la inmersión laboral (Working Week) y el análisis de calidad universitaria (QS Ranking), cerrando con el diseño de un Proyecto de Vida integral.</w:t>
      </w:r>
    </w:p>
    <w:p w14:paraId="4A3B4DA4" w14:textId="113F4093" w:rsidR="007634E8" w:rsidRPr="001D602F" w:rsidRDefault="007634E8" w:rsidP="001D602F">
      <w:pPr>
        <w:pStyle w:val="NormalWeb"/>
        <w:numPr>
          <w:ilvl w:val="0"/>
          <w:numId w:val="9"/>
        </w:numPr>
        <w:rPr>
          <w:rFonts w:ascii="Roboto" w:eastAsia="Roboto" w:hAnsi="Roboto" w:cs="Roboto"/>
          <w:b/>
          <w:bCs/>
          <w:color w:val="000000"/>
          <w:sz w:val="20"/>
          <w:szCs w:val="20"/>
        </w:rPr>
      </w:pPr>
      <w:r w:rsidRPr="001D602F">
        <w:rPr>
          <w:rFonts w:ascii="Roboto" w:eastAsia="Roboto" w:hAnsi="Roboto" w:cs="Roboto"/>
          <w:color w:val="000000"/>
          <w:sz w:val="20"/>
          <w:szCs w:val="20"/>
        </w:rPr>
        <w:t xml:space="preserve">Dimensión </w:t>
      </w:r>
      <w:r w:rsidR="00487727" w:rsidRPr="001D602F">
        <w:rPr>
          <w:rFonts w:ascii="Roboto" w:eastAsia="Roboto" w:hAnsi="Roboto" w:cs="Roboto"/>
          <w:color w:val="000000"/>
          <w:sz w:val="20"/>
          <w:szCs w:val="20"/>
        </w:rPr>
        <w:t>s</w:t>
      </w:r>
      <w:r w:rsidRPr="001D602F">
        <w:rPr>
          <w:rFonts w:ascii="Roboto" w:eastAsia="Roboto" w:hAnsi="Roboto" w:cs="Roboto"/>
          <w:color w:val="000000"/>
          <w:sz w:val="20"/>
          <w:szCs w:val="20"/>
        </w:rPr>
        <w:t>istémica: El modelo incluye un programa de reeducación para padres, orientado a reducir la presión familiar y fomentar la autonomía responsable del estudiante</w:t>
      </w:r>
    </w:p>
    <w:p w14:paraId="22ADB07F" w14:textId="2916FFFB" w:rsidR="002F2656" w:rsidRDefault="00927E10">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RESULTADOS ESPERADOS </w:t>
      </w:r>
      <w:r w:rsidR="004D782D">
        <w:rPr>
          <w:rFonts w:ascii="Roboto" w:eastAsia="Roboto" w:hAnsi="Roboto" w:cs="Roboto"/>
          <w:b/>
          <w:bCs/>
          <w:color w:val="000000"/>
          <w:sz w:val="20"/>
          <w:szCs w:val="20"/>
        </w:rPr>
        <w:t xml:space="preserve">Y DISCUSIÓN </w:t>
      </w:r>
    </w:p>
    <w:p w14:paraId="22DC94CD" w14:textId="7BBA24B0" w:rsidR="002F2656" w:rsidRPr="00B954C0" w:rsidRDefault="001D602F" w:rsidP="00B954C0">
      <w:pPr>
        <w:pBdr>
          <w:top w:val="nil"/>
          <w:left w:val="nil"/>
          <w:bottom w:val="nil"/>
          <w:right w:val="nil"/>
          <w:between w:val="nil"/>
        </w:pBdr>
        <w:jc w:val="both"/>
        <w:rPr>
          <w:rFonts w:ascii="Roboto" w:eastAsia="Roboto" w:hAnsi="Roboto" w:cs="Roboto"/>
          <w:color w:val="000000"/>
          <w:sz w:val="20"/>
          <w:szCs w:val="20"/>
        </w:rPr>
      </w:pPr>
      <w:r w:rsidRPr="001D602F">
        <w:rPr>
          <w:rFonts w:ascii="Roboto" w:eastAsia="Roboto" w:hAnsi="Roboto" w:cs="Roboto"/>
          <w:color w:val="000000"/>
          <w:sz w:val="20"/>
          <w:szCs w:val="20"/>
        </w:rPr>
        <w:t xml:space="preserve">Se anticipa que la implementación de "Vale Educar" impacte significativamente en tres indicadores: 1) El incremento de la </w:t>
      </w:r>
      <w:r w:rsidR="00B954C0">
        <w:rPr>
          <w:rFonts w:ascii="Roboto" w:eastAsia="Roboto" w:hAnsi="Roboto" w:cs="Roboto"/>
          <w:color w:val="000000"/>
          <w:sz w:val="20"/>
          <w:szCs w:val="20"/>
        </w:rPr>
        <w:t>a</w:t>
      </w:r>
      <w:r w:rsidRPr="001D602F">
        <w:rPr>
          <w:rFonts w:ascii="Roboto" w:eastAsia="Roboto" w:hAnsi="Roboto" w:cs="Roboto"/>
          <w:color w:val="000000"/>
          <w:sz w:val="20"/>
          <w:szCs w:val="20"/>
        </w:rPr>
        <w:t xml:space="preserve">utoeficacia </w:t>
      </w:r>
      <w:r w:rsidR="00B954C0">
        <w:rPr>
          <w:rFonts w:ascii="Roboto" w:eastAsia="Roboto" w:hAnsi="Roboto" w:cs="Roboto"/>
          <w:color w:val="000000"/>
          <w:sz w:val="20"/>
          <w:szCs w:val="20"/>
        </w:rPr>
        <w:t>v</w:t>
      </w:r>
      <w:r w:rsidRPr="001D602F">
        <w:rPr>
          <w:rFonts w:ascii="Roboto" w:eastAsia="Roboto" w:hAnsi="Roboto" w:cs="Roboto"/>
          <w:color w:val="000000"/>
          <w:sz w:val="20"/>
          <w:szCs w:val="20"/>
        </w:rPr>
        <w:t xml:space="preserve">ocacional (Bandura), 2) La reducción de los niveles de cortisol asociados a la ansiedad ante el futuro, y 3) La coherencia entre el perfil de egreso del bachillerato y la elección universitaria. En la discusión, se plantea que la orientación vocacional debe dejar de ser una actividad periférica para convertirse en el eje del currículo de preparatoria. La originalidad del modelo reside en que no ofrece respuestas prefabricadas, sino que dota al alumno de </w:t>
      </w:r>
      <w:r w:rsidRPr="001D602F">
        <w:rPr>
          <w:rFonts w:ascii="Roboto" w:eastAsia="Roboto" w:hAnsi="Roboto" w:cs="Roboto"/>
          <w:color w:val="000000"/>
          <w:sz w:val="20"/>
          <w:szCs w:val="20"/>
        </w:rPr>
        <w:lastRenderedPageBreak/>
        <w:t>una metodología de pensamiento crítico y emocional para navegar la incertidumbre. Se concluye que al fortalecer la brújula interna del joven, la institución no solo previene la deserción, sino que cumple su misión de formar personas que inspiren y trasciendan.</w:t>
      </w:r>
    </w:p>
    <w:p w14:paraId="7E356749" w14:textId="77777777" w:rsidR="002F2656" w:rsidRDefault="002F2656">
      <w:pPr>
        <w:jc w:val="both"/>
        <w:rPr>
          <w:rFonts w:ascii="Roboto" w:eastAsia="Roboto" w:hAnsi="Roboto" w:cs="Roboto"/>
          <w:sz w:val="20"/>
          <w:szCs w:val="20"/>
        </w:rPr>
      </w:pPr>
    </w:p>
    <w:p w14:paraId="0D872611" w14:textId="77777777" w:rsidR="000D58A1" w:rsidRDefault="00515D39" w:rsidP="000D58A1">
      <w:pPr>
        <w:jc w:val="both"/>
        <w:rPr>
          <w:rFonts w:ascii="Roboto" w:eastAsia="Roboto" w:hAnsi="Roboto" w:cs="Roboto"/>
          <w:b/>
          <w:bCs/>
          <w:sz w:val="20"/>
          <w:szCs w:val="20"/>
        </w:rPr>
      </w:pPr>
      <w:r>
        <w:rPr>
          <w:rFonts w:ascii="Roboto" w:eastAsia="Roboto" w:hAnsi="Roboto" w:cs="Roboto"/>
          <w:b/>
          <w:bCs/>
          <w:sz w:val="20"/>
          <w:szCs w:val="20"/>
        </w:rPr>
        <w:t>REFERENCIAS (Formato APA)</w:t>
      </w:r>
    </w:p>
    <w:p w14:paraId="58F86FA4" w14:textId="2C1D2BF3" w:rsidR="00D66660" w:rsidRDefault="00D66660" w:rsidP="000D58A1">
      <w:pPr>
        <w:jc w:val="both"/>
        <w:rPr>
          <w:rFonts w:ascii="Roboto" w:eastAsia="Roboto" w:hAnsi="Roboto" w:cs="Roboto"/>
          <w:color w:val="000000"/>
          <w:sz w:val="20"/>
          <w:szCs w:val="20"/>
        </w:rPr>
      </w:pPr>
      <w:r w:rsidRPr="00D66660">
        <w:rPr>
          <w:rFonts w:ascii="Roboto" w:eastAsia="Roboto" w:hAnsi="Roboto" w:cs="Roboto"/>
          <w:color w:val="000000"/>
          <w:sz w:val="20"/>
          <w:szCs w:val="20"/>
        </w:rPr>
        <w:t xml:space="preserve">Asociación Nacional de Universidades e Instituciones de Educación Superior [ANUIES]. (2023). Anuario Estadístico de la Educación Superior 2022-2023. </w:t>
      </w:r>
      <w:hyperlink r:id="rId9" w:tgtFrame="_blank" w:history="1">
        <w:r w:rsidRPr="00D66660">
          <w:rPr>
            <w:rFonts w:ascii="Roboto" w:eastAsia="Roboto" w:hAnsi="Roboto" w:cs="Roboto"/>
            <w:color w:val="000000"/>
            <w:sz w:val="20"/>
            <w:szCs w:val="20"/>
          </w:rPr>
          <w:t>http://www.anuies.mx/informacion-y-servicios/informacion-estadistica-de-educacion-superior/anuario-estadistico-de-educacion-superior</w:t>
        </w:r>
      </w:hyperlink>
    </w:p>
    <w:p w14:paraId="38F41ABC" w14:textId="77777777" w:rsidR="00D66660" w:rsidRDefault="00D66660" w:rsidP="000D58A1">
      <w:pPr>
        <w:jc w:val="both"/>
        <w:rPr>
          <w:rFonts w:ascii="Roboto" w:eastAsia="Roboto" w:hAnsi="Roboto" w:cs="Roboto"/>
          <w:color w:val="000000"/>
          <w:sz w:val="20"/>
          <w:szCs w:val="20"/>
        </w:rPr>
      </w:pPr>
    </w:p>
    <w:p w14:paraId="13F476A9" w14:textId="395625C7" w:rsidR="000D58A1" w:rsidRDefault="000D58A1" w:rsidP="000D58A1">
      <w:pPr>
        <w:jc w:val="both"/>
        <w:rPr>
          <w:rFonts w:ascii="Roboto" w:eastAsia="Roboto" w:hAnsi="Roboto" w:cs="Roboto"/>
          <w:color w:val="000000"/>
          <w:sz w:val="20"/>
          <w:szCs w:val="20"/>
        </w:rPr>
      </w:pPr>
      <w:r w:rsidRPr="000D58A1">
        <w:rPr>
          <w:rFonts w:ascii="Roboto" w:eastAsia="Roboto" w:hAnsi="Roboto" w:cs="Roboto"/>
          <w:color w:val="000000"/>
          <w:sz w:val="20"/>
          <w:szCs w:val="20"/>
        </w:rPr>
        <w:t xml:space="preserve">Bandura, A. (1997). Self-efficacy: The exercise of control. W. H. Freeman and Company. </w:t>
      </w:r>
      <w:hyperlink r:id="rId10" w:tgtFrame="_blank" w:history="1">
        <w:r w:rsidRPr="000D58A1">
          <w:rPr>
            <w:rFonts w:ascii="Roboto" w:eastAsia="Roboto" w:hAnsi="Roboto" w:cs="Roboto"/>
            <w:color w:val="000000"/>
            <w:sz w:val="20"/>
            <w:szCs w:val="20"/>
          </w:rPr>
          <w:t>https://www.google.com.mx/books/edition/Self_Efficacy/eJ-PN9p_v_IC</w:t>
        </w:r>
      </w:hyperlink>
    </w:p>
    <w:p w14:paraId="1A4B246A" w14:textId="77777777" w:rsidR="00D66660" w:rsidRDefault="00D66660" w:rsidP="000D58A1">
      <w:pPr>
        <w:jc w:val="both"/>
        <w:rPr>
          <w:rFonts w:ascii="Roboto" w:eastAsia="Roboto" w:hAnsi="Roboto" w:cs="Roboto"/>
          <w:color w:val="000000"/>
          <w:sz w:val="20"/>
          <w:szCs w:val="20"/>
        </w:rPr>
      </w:pPr>
    </w:p>
    <w:p w14:paraId="6743217F" w14:textId="3756DC38" w:rsidR="000D58A1" w:rsidRDefault="000D58A1" w:rsidP="000D58A1">
      <w:pPr>
        <w:jc w:val="both"/>
        <w:rPr>
          <w:rFonts w:ascii="Roboto" w:eastAsia="Roboto" w:hAnsi="Roboto" w:cs="Roboto"/>
          <w:color w:val="000000"/>
          <w:sz w:val="20"/>
          <w:szCs w:val="20"/>
        </w:rPr>
      </w:pPr>
      <w:r w:rsidRPr="000D58A1">
        <w:rPr>
          <w:rFonts w:ascii="Roboto" w:eastAsia="Roboto" w:hAnsi="Roboto" w:cs="Roboto"/>
          <w:color w:val="000000"/>
          <w:sz w:val="20"/>
          <w:szCs w:val="20"/>
        </w:rPr>
        <w:t xml:space="preserve">Bowen, M. (1978). Family therapy in clinical practice. Jason Aronson. </w:t>
      </w:r>
      <w:hyperlink r:id="rId11" w:tgtFrame="_blank" w:history="1">
        <w:r w:rsidRPr="000D58A1">
          <w:rPr>
            <w:rFonts w:ascii="Roboto" w:eastAsia="Roboto" w:hAnsi="Roboto" w:cs="Roboto"/>
            <w:color w:val="000000"/>
            <w:sz w:val="20"/>
            <w:szCs w:val="20"/>
          </w:rPr>
          <w:t>https://psycnet.apa.org/record/1979-22442-000</w:t>
        </w:r>
      </w:hyperlink>
    </w:p>
    <w:p w14:paraId="31E08532" w14:textId="77777777" w:rsidR="00D66660" w:rsidRDefault="00D66660" w:rsidP="000D58A1">
      <w:pPr>
        <w:jc w:val="both"/>
        <w:rPr>
          <w:rFonts w:ascii="Roboto" w:eastAsia="Roboto" w:hAnsi="Roboto" w:cs="Roboto"/>
          <w:color w:val="000000"/>
          <w:sz w:val="20"/>
          <w:szCs w:val="20"/>
        </w:rPr>
      </w:pPr>
    </w:p>
    <w:p w14:paraId="0658CAFA" w14:textId="4FC0C8B4" w:rsidR="000D58A1" w:rsidRDefault="000D58A1" w:rsidP="000D58A1">
      <w:pPr>
        <w:jc w:val="both"/>
        <w:rPr>
          <w:rFonts w:ascii="Roboto" w:eastAsia="Roboto" w:hAnsi="Roboto" w:cs="Roboto"/>
          <w:color w:val="000000"/>
          <w:sz w:val="20"/>
          <w:szCs w:val="20"/>
        </w:rPr>
      </w:pPr>
      <w:r w:rsidRPr="000D58A1">
        <w:rPr>
          <w:rFonts w:ascii="Roboto" w:eastAsia="Roboto" w:hAnsi="Roboto" w:cs="Roboto"/>
          <w:color w:val="000000"/>
          <w:sz w:val="20"/>
          <w:szCs w:val="20"/>
        </w:rPr>
        <w:t xml:space="preserve">Boza Carreño, Á., Méndez Garrido, J. M., Monescillo Palomo, M., &amp; Viedma de Jesús, N. (2001). Ser tutor: El plan de acción tutorial en educación secundaria. Editorial Hergué. </w:t>
      </w:r>
      <w:hyperlink r:id="rId12" w:tgtFrame="_blank" w:history="1">
        <w:r w:rsidRPr="000D58A1">
          <w:rPr>
            <w:rFonts w:ascii="Roboto" w:eastAsia="Roboto" w:hAnsi="Roboto" w:cs="Roboto"/>
            <w:color w:val="000000"/>
            <w:sz w:val="20"/>
            <w:szCs w:val="20"/>
          </w:rPr>
          <w:t>https://dialnet.unirioja.es/servlet/libro?codigo=156157</w:t>
        </w:r>
      </w:hyperlink>
    </w:p>
    <w:p w14:paraId="1CA9E0A9" w14:textId="77777777" w:rsidR="00D66660" w:rsidRDefault="00D66660" w:rsidP="000D58A1">
      <w:pPr>
        <w:jc w:val="both"/>
        <w:rPr>
          <w:rFonts w:ascii="Roboto" w:eastAsia="Roboto" w:hAnsi="Roboto" w:cs="Roboto"/>
          <w:color w:val="000000"/>
          <w:sz w:val="20"/>
          <w:szCs w:val="20"/>
        </w:rPr>
      </w:pPr>
    </w:p>
    <w:p w14:paraId="1D2D7CF3" w14:textId="0D62A6E9" w:rsidR="000D58A1" w:rsidRDefault="000D58A1" w:rsidP="000D58A1">
      <w:pPr>
        <w:jc w:val="both"/>
        <w:rPr>
          <w:rFonts w:ascii="Roboto" w:eastAsia="Roboto" w:hAnsi="Roboto" w:cs="Roboto"/>
          <w:color w:val="000000"/>
          <w:sz w:val="20"/>
          <w:szCs w:val="20"/>
        </w:rPr>
      </w:pPr>
      <w:r w:rsidRPr="000D58A1">
        <w:rPr>
          <w:rFonts w:ascii="Roboto" w:eastAsia="Roboto" w:hAnsi="Roboto" w:cs="Roboto"/>
          <w:color w:val="000000"/>
          <w:sz w:val="20"/>
          <w:szCs w:val="20"/>
        </w:rPr>
        <w:t xml:space="preserve">Casey, B. J., Getz, S., &amp; Galvan, A. (2008). The adolescent brain. Developmental Review, 28(1), 62-77. </w:t>
      </w:r>
      <w:hyperlink r:id="rId13" w:tgtFrame="_blank" w:history="1">
        <w:r w:rsidRPr="000D58A1">
          <w:rPr>
            <w:rFonts w:ascii="Roboto" w:eastAsia="Roboto" w:hAnsi="Roboto" w:cs="Roboto"/>
            <w:color w:val="000000"/>
            <w:sz w:val="20"/>
            <w:szCs w:val="20"/>
          </w:rPr>
          <w:t>https://doi.org/10.1016/j.dr.2007.08.003</w:t>
        </w:r>
      </w:hyperlink>
    </w:p>
    <w:p w14:paraId="289D8AF2" w14:textId="77777777" w:rsidR="00D66660" w:rsidRDefault="00D66660" w:rsidP="000D58A1">
      <w:pPr>
        <w:jc w:val="both"/>
        <w:rPr>
          <w:rFonts w:ascii="Roboto" w:eastAsia="Roboto" w:hAnsi="Roboto" w:cs="Roboto"/>
          <w:color w:val="000000"/>
          <w:sz w:val="20"/>
          <w:szCs w:val="20"/>
        </w:rPr>
      </w:pPr>
    </w:p>
    <w:p w14:paraId="34FD939B" w14:textId="3C1C66B9" w:rsidR="000D58A1" w:rsidRDefault="000D58A1" w:rsidP="000D58A1">
      <w:pPr>
        <w:jc w:val="both"/>
        <w:rPr>
          <w:rFonts w:ascii="Roboto" w:eastAsia="Roboto" w:hAnsi="Roboto" w:cs="Roboto"/>
          <w:color w:val="000000"/>
          <w:sz w:val="20"/>
          <w:szCs w:val="20"/>
        </w:rPr>
      </w:pPr>
      <w:r w:rsidRPr="000D58A1">
        <w:rPr>
          <w:rFonts w:ascii="Roboto" w:eastAsia="Roboto" w:hAnsi="Roboto" w:cs="Roboto"/>
          <w:color w:val="000000"/>
          <w:sz w:val="20"/>
          <w:szCs w:val="20"/>
        </w:rPr>
        <w:t xml:space="preserve">Damasio, A. R. (1994). Descartes' error: Emotion, reason, and the human brain. G.P. Putnam's Sons. </w:t>
      </w:r>
      <w:hyperlink r:id="rId14" w:tgtFrame="_blank" w:history="1">
        <w:r w:rsidRPr="000D58A1">
          <w:rPr>
            <w:rFonts w:ascii="Roboto" w:eastAsia="Roboto" w:hAnsi="Roboto" w:cs="Roboto"/>
            <w:color w:val="000000"/>
            <w:sz w:val="20"/>
            <w:szCs w:val="20"/>
          </w:rPr>
          <w:t>https://www.google.com.mx/books/edition/Descartes_Error/V_mS9XonY8UC</w:t>
        </w:r>
      </w:hyperlink>
    </w:p>
    <w:p w14:paraId="6A4DD58C" w14:textId="77777777" w:rsidR="00D66660" w:rsidRDefault="00D66660" w:rsidP="000D58A1">
      <w:pPr>
        <w:jc w:val="both"/>
        <w:rPr>
          <w:rFonts w:ascii="Roboto" w:eastAsia="Roboto" w:hAnsi="Roboto" w:cs="Roboto"/>
          <w:color w:val="000000"/>
          <w:sz w:val="20"/>
          <w:szCs w:val="20"/>
        </w:rPr>
      </w:pPr>
    </w:p>
    <w:p w14:paraId="495B7559" w14:textId="3EE8212F" w:rsidR="000D58A1" w:rsidRPr="000D58A1" w:rsidRDefault="000D58A1" w:rsidP="000D58A1">
      <w:pPr>
        <w:jc w:val="both"/>
        <w:rPr>
          <w:rFonts w:ascii="Roboto" w:eastAsia="Roboto" w:hAnsi="Roboto" w:cs="Roboto"/>
          <w:b/>
          <w:bCs/>
          <w:sz w:val="20"/>
          <w:szCs w:val="20"/>
        </w:rPr>
      </w:pPr>
      <w:r w:rsidRPr="000D58A1">
        <w:rPr>
          <w:rFonts w:ascii="Roboto" w:eastAsia="Roboto" w:hAnsi="Roboto" w:cs="Roboto"/>
          <w:color w:val="000000"/>
          <w:sz w:val="20"/>
          <w:szCs w:val="20"/>
        </w:rPr>
        <w:t xml:space="preserve">Flavell, J. H. (1979). Metacognition and cognitive monitoring: A new area of cognitive-developmental inquiry. American Psychologist, 34(10), 906–911. </w:t>
      </w:r>
      <w:hyperlink r:id="rId15" w:tgtFrame="_blank" w:history="1">
        <w:r w:rsidRPr="000D58A1">
          <w:rPr>
            <w:rFonts w:ascii="Roboto" w:eastAsia="Roboto" w:hAnsi="Roboto" w:cs="Roboto"/>
            <w:color w:val="000000"/>
            <w:sz w:val="20"/>
            <w:szCs w:val="20"/>
          </w:rPr>
          <w:t>https://psycnet.apa.org/record/1980-09355-001</w:t>
        </w:r>
      </w:hyperlink>
    </w:p>
    <w:p w14:paraId="54B1AE3F"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Frankl, V. E. (2006). Man's search for meaning. Beacon Press. </w:t>
      </w:r>
      <w:hyperlink r:id="rId16" w:tgtFrame="_blank" w:history="1">
        <w:r w:rsidRPr="000D58A1">
          <w:rPr>
            <w:rFonts w:ascii="Roboto" w:eastAsia="Roboto" w:hAnsi="Roboto" w:cs="Roboto"/>
            <w:color w:val="000000"/>
            <w:sz w:val="20"/>
            <w:szCs w:val="20"/>
          </w:rPr>
          <w:t>https://www.google.com.mx/books/edition/Man_s_Search_for_Meaning/v-mS9XonY8UC</w:t>
        </w:r>
      </w:hyperlink>
    </w:p>
    <w:p w14:paraId="3F769BB3"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Gairín, J. (Coord.) (2012). Estrategias de formación y acompañamiento de los tutores. Narcea Ediciones. </w:t>
      </w:r>
      <w:hyperlink r:id="rId17" w:tgtFrame="_blank" w:history="1">
        <w:r w:rsidRPr="000D58A1">
          <w:rPr>
            <w:rFonts w:ascii="Roboto" w:eastAsia="Roboto" w:hAnsi="Roboto" w:cs="Roboto"/>
            <w:color w:val="000000"/>
            <w:sz w:val="20"/>
            <w:szCs w:val="20"/>
          </w:rPr>
          <w:t>https://dialnet.unirioja.es/servlet/libro?codigo=501552</w:t>
        </w:r>
      </w:hyperlink>
    </w:p>
    <w:p w14:paraId="444002AF"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Gati, I., Krausz, M., &amp; Osipow, S. H. (1996). A taxonomy of difficulties in career decision making. Journal of Counseling Psychology, 43(4), 510–526. </w:t>
      </w:r>
      <w:hyperlink r:id="rId18" w:tgtFrame="_blank" w:history="1">
        <w:r w:rsidRPr="000D58A1">
          <w:rPr>
            <w:rFonts w:ascii="Roboto" w:eastAsia="Roboto" w:hAnsi="Roboto" w:cs="Roboto"/>
            <w:color w:val="000000"/>
            <w:sz w:val="20"/>
            <w:szCs w:val="20"/>
          </w:rPr>
          <w:t>https://psycnet.apa.org/record/1996-06161-007</w:t>
        </w:r>
      </w:hyperlink>
    </w:p>
    <w:p w14:paraId="66B3D98D"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Goleman, D. (1998). Working with emotional intelligence. Bantam Books. </w:t>
      </w:r>
      <w:hyperlink r:id="rId19" w:tgtFrame="_blank" w:history="1">
        <w:r w:rsidRPr="000D58A1">
          <w:rPr>
            <w:rFonts w:ascii="Roboto" w:eastAsia="Roboto" w:hAnsi="Roboto" w:cs="Roboto"/>
            <w:color w:val="000000"/>
            <w:sz w:val="20"/>
            <w:szCs w:val="20"/>
          </w:rPr>
          <w:t>https://www.google.com.mx/books/edition/Working_With_Emotional_Intelligence/p9_Y6N6yq_8C</w:t>
        </w:r>
      </w:hyperlink>
    </w:p>
    <w:p w14:paraId="1CADD83B"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Holland, J. L. (1997). Making vocational choices: A theory of vocational personalities and work environments. Psychological Assessment Resources. </w:t>
      </w:r>
      <w:hyperlink r:id="rId20" w:tgtFrame="_blank" w:history="1">
        <w:r w:rsidRPr="000D58A1">
          <w:rPr>
            <w:rFonts w:ascii="Roboto" w:eastAsia="Roboto" w:hAnsi="Roboto" w:cs="Roboto"/>
            <w:color w:val="000000"/>
            <w:sz w:val="20"/>
            <w:szCs w:val="20"/>
          </w:rPr>
          <w:t>https://psycnet.apa.org/record/1997-02380-000</w:t>
        </w:r>
      </w:hyperlink>
    </w:p>
    <w:p w14:paraId="544D1963"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Krumboltz, J. D. (1996). A learning theory of career counseling. In M. L. Savickas &amp; R. W. Lent (Eds.), Convergence in career development theories: Implications for science and practice (pp. 55-80). CPPC. </w:t>
      </w:r>
      <w:hyperlink r:id="rId21" w:tgtFrame="_blank" w:history="1">
        <w:r w:rsidRPr="000D58A1">
          <w:rPr>
            <w:rFonts w:ascii="Roboto" w:eastAsia="Roboto" w:hAnsi="Roboto" w:cs="Roboto"/>
            <w:color w:val="000000"/>
            <w:sz w:val="20"/>
            <w:szCs w:val="20"/>
          </w:rPr>
          <w:t>https://psycnet.apa.org/record/1996-98185-004</w:t>
        </w:r>
      </w:hyperlink>
    </w:p>
    <w:p w14:paraId="2CD3CF85"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Marcia, J. E. (1966). Development and validation of ego-identity status. Journal of Personality and Social Psychology, 3(5), 551–558. </w:t>
      </w:r>
      <w:hyperlink r:id="rId22" w:tgtFrame="_blank" w:history="1">
        <w:r w:rsidRPr="000D58A1">
          <w:rPr>
            <w:rFonts w:ascii="Roboto" w:eastAsia="Roboto" w:hAnsi="Roboto" w:cs="Roboto"/>
            <w:color w:val="000000"/>
            <w:sz w:val="20"/>
            <w:szCs w:val="20"/>
          </w:rPr>
          <w:t>https://psycnet.apa.org/record/1966-06480-001</w:t>
        </w:r>
      </w:hyperlink>
    </w:p>
    <w:p w14:paraId="54CCF203"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Minuchin, S. (1974). Families and family therapy. Harvard University Press. </w:t>
      </w:r>
      <w:hyperlink r:id="rId23" w:tgtFrame="_blank" w:history="1">
        <w:r w:rsidRPr="000D58A1">
          <w:rPr>
            <w:rFonts w:ascii="Roboto" w:eastAsia="Roboto" w:hAnsi="Roboto" w:cs="Roboto"/>
            <w:color w:val="000000"/>
            <w:sz w:val="20"/>
            <w:szCs w:val="20"/>
          </w:rPr>
          <w:t>https://www.google.com.mx/books/edition/Families_and_Family_Therapy/S36HAAAAIAAJ</w:t>
        </w:r>
      </w:hyperlink>
    </w:p>
    <w:p w14:paraId="556D4EFB"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Monge Crespo, C. (2009). La tutoría como estrategia de innovación e cambio en las instituciones educativas. Universidad Complutense de Madrid. </w:t>
      </w:r>
      <w:hyperlink r:id="rId24" w:tgtFrame="_blank" w:history="1">
        <w:r w:rsidRPr="000D58A1">
          <w:rPr>
            <w:rFonts w:ascii="Roboto" w:eastAsia="Roboto" w:hAnsi="Roboto" w:cs="Roboto"/>
            <w:color w:val="000000"/>
            <w:sz w:val="20"/>
            <w:szCs w:val="20"/>
          </w:rPr>
          <w:t>https://dialnet.unirioja.es/servlet/articulo?codigo=3038670</w:t>
        </w:r>
      </w:hyperlink>
    </w:p>
    <w:p w14:paraId="5D7BD09E"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Oppenheimer, A. (2018). ¡Sálvese quien pueda!: El futuro del trabajo en la era de la automatización. Debate. </w:t>
      </w:r>
      <w:hyperlink r:id="rId25" w:tgtFrame="_blank" w:history="1">
        <w:r w:rsidRPr="000D58A1">
          <w:rPr>
            <w:rFonts w:ascii="Roboto" w:eastAsia="Roboto" w:hAnsi="Roboto" w:cs="Roboto"/>
            <w:color w:val="000000"/>
            <w:sz w:val="20"/>
            <w:szCs w:val="20"/>
          </w:rPr>
          <w:t>https://www.google.com.mx/books/edition/_/kO9iDwAAQBAJ</w:t>
        </w:r>
      </w:hyperlink>
    </w:p>
    <w:p w14:paraId="71FF2AA4" w14:textId="77777777" w:rsid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Savickas, M. L., et al. (2009). Life designing: A paradigm for career construction in the 21st century. Journal of Vocational Behavior, 75(3), 239-250. </w:t>
      </w:r>
      <w:hyperlink r:id="rId26" w:tgtFrame="_blank" w:history="1">
        <w:r w:rsidRPr="000D58A1">
          <w:rPr>
            <w:rFonts w:ascii="Roboto" w:eastAsia="Roboto" w:hAnsi="Roboto" w:cs="Roboto"/>
            <w:color w:val="000000"/>
            <w:sz w:val="20"/>
            <w:szCs w:val="20"/>
          </w:rPr>
          <w:t>https://doi.org/10.1016/j.jvb.2009.04.004</w:t>
        </w:r>
      </w:hyperlink>
    </w:p>
    <w:p w14:paraId="6CCE21E8" w14:textId="2AA7C1C7" w:rsidR="00CF197E" w:rsidRPr="000D58A1" w:rsidRDefault="00CF197E" w:rsidP="000D58A1">
      <w:pPr>
        <w:pStyle w:val="NormalWeb"/>
        <w:rPr>
          <w:rFonts w:ascii="Roboto" w:eastAsia="Roboto" w:hAnsi="Roboto" w:cs="Roboto"/>
          <w:color w:val="000000"/>
          <w:sz w:val="20"/>
          <w:szCs w:val="20"/>
        </w:rPr>
      </w:pPr>
      <w:r w:rsidRPr="00CF197E">
        <w:rPr>
          <w:rFonts w:ascii="Roboto" w:eastAsia="Roboto" w:hAnsi="Roboto" w:cs="Roboto"/>
          <w:color w:val="000000"/>
          <w:sz w:val="20"/>
          <w:szCs w:val="20"/>
        </w:rPr>
        <w:t xml:space="preserve">Secretaría de Educación Pública [SEP]. (2023). Principales Cifras del Sistema Educativo Nacional 2022-2023. </w:t>
      </w:r>
      <w:hyperlink r:id="rId27" w:tgtFrame="_blank" w:history="1">
        <w:r w:rsidRPr="00CF197E">
          <w:rPr>
            <w:rFonts w:ascii="Roboto" w:eastAsia="Roboto" w:hAnsi="Roboto" w:cs="Roboto"/>
            <w:color w:val="000000"/>
            <w:sz w:val="20"/>
            <w:szCs w:val="20"/>
          </w:rPr>
          <w:t>https://www.planeacion.sep.gob.mx/principalescifras/</w:t>
        </w:r>
      </w:hyperlink>
    </w:p>
    <w:p w14:paraId="6513CF56" w14:textId="77777777"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Steinberg, L. (2008). A social neuroscience perspective on adolescent risk-taking. Developmental Review, 28(1), 78-106. </w:t>
      </w:r>
      <w:hyperlink r:id="rId28" w:tgtFrame="_blank" w:history="1">
        <w:r w:rsidRPr="000D58A1">
          <w:rPr>
            <w:rFonts w:ascii="Roboto" w:eastAsia="Roboto" w:hAnsi="Roboto" w:cs="Roboto"/>
            <w:color w:val="000000"/>
            <w:sz w:val="20"/>
            <w:szCs w:val="20"/>
          </w:rPr>
          <w:t>https://doi.org/10.1016/j.dr.2007.08.002</w:t>
        </w:r>
      </w:hyperlink>
    </w:p>
    <w:p w14:paraId="33CF5C2E" w14:textId="691D0E88" w:rsidR="000D58A1" w:rsidRPr="000D58A1" w:rsidRDefault="000D58A1" w:rsidP="000D58A1">
      <w:pPr>
        <w:pStyle w:val="NormalWeb"/>
        <w:rPr>
          <w:rFonts w:ascii="Roboto" w:eastAsia="Roboto" w:hAnsi="Roboto" w:cs="Roboto"/>
          <w:color w:val="000000"/>
          <w:sz w:val="20"/>
          <w:szCs w:val="20"/>
        </w:rPr>
      </w:pPr>
      <w:r w:rsidRPr="000D58A1">
        <w:rPr>
          <w:rFonts w:ascii="Roboto" w:eastAsia="Roboto" w:hAnsi="Roboto" w:cs="Roboto"/>
          <w:color w:val="000000"/>
          <w:sz w:val="20"/>
          <w:szCs w:val="20"/>
        </w:rPr>
        <w:t xml:space="preserve">Super, D. E. (1980). A life-span, life-space approach to career development. Journal of Vocational Behavior, 16(3), 282-298. </w:t>
      </w:r>
      <w:hyperlink r:id="rId29" w:tgtFrame="_blank" w:history="1">
        <w:r w:rsidRPr="000D58A1">
          <w:rPr>
            <w:rFonts w:ascii="Roboto" w:eastAsia="Roboto" w:hAnsi="Roboto" w:cs="Roboto"/>
            <w:color w:val="000000"/>
            <w:sz w:val="20"/>
            <w:szCs w:val="20"/>
          </w:rPr>
          <w:t>https://www.sciencedirect.com/science/article/abs/pii/0001879180900561</w:t>
        </w:r>
      </w:hyperlink>
      <w:r w:rsidR="00A8020B">
        <w:rPr>
          <w:rFonts w:ascii="Roboto" w:eastAsia="Roboto" w:hAnsi="Roboto" w:cs="Roboto"/>
          <w:color w:val="000000"/>
          <w:sz w:val="20"/>
          <w:szCs w:val="20"/>
        </w:rPr>
        <w:br/>
      </w:r>
      <w:r w:rsidRPr="000D58A1">
        <w:rPr>
          <w:rFonts w:ascii="Roboto" w:eastAsia="Roboto" w:hAnsi="Roboto" w:cs="Roboto"/>
          <w:color w:val="000000"/>
          <w:sz w:val="20"/>
          <w:szCs w:val="20"/>
        </w:rPr>
        <w:t xml:space="preserve">World Economic Forum. (2023). The Future of Jobs Report 2023. </w:t>
      </w:r>
      <w:hyperlink r:id="rId30" w:tgtFrame="_blank" w:history="1">
        <w:r w:rsidRPr="000D58A1">
          <w:rPr>
            <w:rFonts w:ascii="Roboto" w:eastAsia="Roboto" w:hAnsi="Roboto" w:cs="Roboto"/>
            <w:color w:val="000000"/>
            <w:sz w:val="20"/>
            <w:szCs w:val="20"/>
          </w:rPr>
          <w:t>https://www.weforum.org/publications/the-future-of-jobs-report-2023/</w:t>
        </w:r>
      </w:hyperlink>
    </w:p>
    <w:p w14:paraId="13E9FEE5" w14:textId="77777777" w:rsidR="002F2656" w:rsidRDefault="002F2656">
      <w:pPr>
        <w:jc w:val="both"/>
        <w:rPr>
          <w:rFonts w:ascii="Roboto" w:eastAsia="Roboto" w:hAnsi="Roboto" w:cs="Roboto"/>
          <w:sz w:val="20"/>
          <w:szCs w:val="20"/>
        </w:rPr>
        <w:sectPr w:rsidR="002F2656">
          <w:type w:val="continuous"/>
          <w:pgSz w:w="11906" w:h="16838"/>
          <w:pgMar w:top="1134" w:right="851" w:bottom="1134" w:left="851" w:header="357" w:footer="720" w:gutter="0"/>
          <w:cols w:num="2" w:space="720" w:equalWidth="0">
            <w:col w:w="4934" w:space="335"/>
            <w:col w:w="4934" w:space="0"/>
          </w:cols>
        </w:sectPr>
      </w:pPr>
    </w:p>
    <w:p w14:paraId="12E44D71" w14:textId="77777777" w:rsidR="002F2656" w:rsidRDefault="00515D39">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B7BAF02" w14:textId="77777777" w:rsidR="002F2656" w:rsidRDefault="00515D39">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32F5BA17" w14:textId="77777777" w:rsidR="002F2656" w:rsidRDefault="00515D39">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17F0E072"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0EDF31F6"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238C54DB"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9A008A9"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6B791096"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E7E387D"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6B49DFC3"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0C1A1934" w14:textId="77777777" w:rsidR="002F2656" w:rsidRDefault="00515D39">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60459FCE" w14:textId="77777777" w:rsidR="002F2656" w:rsidRDefault="00515D39">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6A10795A" w14:textId="77777777" w:rsidR="002F2656" w:rsidRDefault="00515D39">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50C5188" w14:textId="77777777" w:rsidR="002F2656" w:rsidRDefault="00515D39">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14A08E19"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E7817B1"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1031CD80" w14:textId="77777777" w:rsidR="002F2656" w:rsidRDefault="00515D39">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61A56610" w14:textId="77777777" w:rsidR="002F2656" w:rsidRDefault="00515D39">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2149675B" w14:textId="77777777" w:rsidR="002F2656" w:rsidRDefault="00515D39">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180EC4FC"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09A7B07F"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12AAD6A" w14:textId="77777777" w:rsidR="002F2656" w:rsidRDefault="00515D39">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5D4B749A" w14:textId="77777777"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32C52186" w14:textId="5FB46566" w:rsidR="002F2656" w:rsidRDefault="00515D39">
      <w:pPr>
        <w:spacing w:before="240" w:after="240"/>
        <w:jc w:val="both"/>
        <w:rPr>
          <w:rFonts w:ascii="Roboto" w:eastAsia="Roboto" w:hAnsi="Roboto" w:cs="Roboto"/>
          <w:sz w:val="20"/>
          <w:szCs w:val="20"/>
        </w:rPr>
      </w:pPr>
      <w:r>
        <w:rPr>
          <w:rFonts w:ascii="Roboto" w:eastAsia="Roboto" w:hAnsi="Roboto" w:cs="Roboto"/>
          <w:sz w:val="20"/>
          <w:szCs w:val="20"/>
        </w:rPr>
        <w:t>(  Marque con X  )  Declaro que he leído y acepto los términos de esta declaración y autorización de publicación.</w:t>
      </w:r>
      <w:r w:rsidR="002E7B3B">
        <w:rPr>
          <w:rFonts w:ascii="Roboto" w:eastAsia="Roboto" w:hAnsi="Roboto" w:cs="Roboto"/>
          <w:sz w:val="20"/>
          <w:szCs w:val="20"/>
        </w:rPr>
        <w:t xml:space="preserve"> X</w:t>
      </w:r>
    </w:p>
    <w:p w14:paraId="4FA3CDFF" w14:textId="4CE9A4B1" w:rsidR="002F2656" w:rsidRDefault="00515D39">
      <w:pPr>
        <w:spacing w:before="240" w:after="240"/>
        <w:jc w:val="both"/>
        <w:rPr>
          <w:rFonts w:ascii="Roboto" w:eastAsia="Roboto" w:hAnsi="Roboto" w:cs="Roboto"/>
          <w:sz w:val="20"/>
          <w:szCs w:val="20"/>
        </w:rPr>
      </w:pPr>
      <w:r>
        <w:rPr>
          <w:rFonts w:ascii="Roboto" w:eastAsia="Roboto" w:hAnsi="Roboto" w:cs="Roboto"/>
          <w:b/>
          <w:bCs/>
          <w:sz w:val="20"/>
          <w:szCs w:val="20"/>
        </w:rPr>
        <w:lastRenderedPageBreak/>
        <w:t>Autor</w:t>
      </w:r>
      <w:r w:rsidR="002E7B3B">
        <w:rPr>
          <w:rFonts w:ascii="Roboto" w:eastAsia="Roboto" w:hAnsi="Roboto" w:cs="Roboto"/>
          <w:b/>
          <w:bCs/>
          <w:sz w:val="20"/>
          <w:szCs w:val="20"/>
        </w:rPr>
        <w:t xml:space="preserve"> Gina Valeria Vázquez Rodríguez</w:t>
      </w:r>
      <w:r>
        <w:rPr>
          <w:rFonts w:ascii="Roboto" w:eastAsia="Roboto" w:hAnsi="Roboto" w:cs="Roboto"/>
          <w:b/>
          <w:bCs/>
          <w:sz w:val="20"/>
          <w:szCs w:val="20"/>
        </w:rPr>
        <w:t xml:space="preserve">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2E7B3B">
        <w:rPr>
          <w:rFonts w:ascii="Roboto" w:eastAsia="Roboto" w:hAnsi="Roboto" w:cs="Roboto"/>
          <w:b/>
          <w:bCs/>
          <w:sz w:val="20"/>
          <w:szCs w:val="20"/>
        </w:rPr>
        <w:t xml:space="preserve"> Anáhuac Online </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p>
    <w:sectPr w:rsidR="002F2656">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D10468" w14:textId="77777777" w:rsidR="00023E59" w:rsidRDefault="00023E59">
      <w:r>
        <w:separator/>
      </w:r>
    </w:p>
  </w:endnote>
  <w:endnote w:type="continuationSeparator" w:id="0">
    <w:p w14:paraId="6ACCAA66" w14:textId="77777777" w:rsidR="00023E59" w:rsidRDefault="00023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embedRegular r:id="rId1" w:fontKey="{DA86E7F3-65CA-6040-B8EC-B656FFE3441B}"/>
  </w:font>
  <w:font w:name="Times New Roman">
    <w:panose1 w:val="02020603050405020304"/>
    <w:charset w:val="00"/>
    <w:family w:val="roman"/>
    <w:pitch w:val="variable"/>
    <w:sig w:usb0="E0002EFF" w:usb1="C000785B" w:usb2="00000009" w:usb3="00000000" w:csb0="000001FF" w:csb1="00000000"/>
    <w:embedRegular r:id="rId2" w:fontKey="{58B4510C-6D27-B144-BE68-31F2768BAF19}"/>
    <w:embedBold r:id="rId3" w:fontKey="{3CBF4600-C7FC-9A44-9465-1056E9CFE6C3}"/>
    <w:embedItalic r:id="rId4" w:fontKey="{4105B97B-2B2D-5D4E-8425-10131B03EC65}"/>
  </w:font>
  <w:font w:name="Courier New">
    <w:panose1 w:val="02070309020205020404"/>
    <w:charset w:val="00"/>
    <w:family w:val="modern"/>
    <w:pitch w:val="fixed"/>
    <w:sig w:usb0="E0002EFF" w:usb1="C0007843" w:usb2="00000009" w:usb3="00000000" w:csb0="000001FF" w:csb1="00000000"/>
    <w:embedRegular r:id="rId5" w:fontKey="{57A33B9E-DBCA-8545-9349-EBC33537B99C}"/>
  </w:font>
  <w:font w:name="Wingdings">
    <w:panose1 w:val="05000000000000000000"/>
    <w:charset w:val="4D"/>
    <w:family w:val="decorative"/>
    <w:pitch w:val="variable"/>
    <w:sig w:usb0="00000003" w:usb1="00000000" w:usb2="00000000" w:usb3="00000000" w:csb0="80000001" w:csb1="00000000"/>
    <w:embedRegular r:id="rId6" w:fontKey="{B3BF6CE7-0333-1C41-BEBE-D2CC4A203626}"/>
  </w:font>
  <w:font w:name="Calibri">
    <w:panose1 w:val="020F0502020204030204"/>
    <w:charset w:val="00"/>
    <w:family w:val="swiss"/>
    <w:pitch w:val="variable"/>
    <w:sig w:usb0="E0002AFF" w:usb1="C000247B" w:usb2="00000009" w:usb3="00000000" w:csb0="000001FF" w:csb1="00000000"/>
    <w:embedRegular r:id="rId7" w:fontKey="{BC5A9FAB-ED89-9341-9A0C-254FA3B116EE}"/>
  </w:font>
  <w:font w:name="Georgia">
    <w:panose1 w:val="02040502050405020303"/>
    <w:charset w:val="00"/>
    <w:family w:val="roman"/>
    <w:pitch w:val="variable"/>
    <w:sig w:usb0="00000287" w:usb1="00000000" w:usb2="00000000" w:usb3="00000000" w:csb0="0000009F" w:csb1="00000000"/>
    <w:embedItalic r:id="rId8" w:fontKey="{ECB409B7-E21E-F548-BDAB-AD3E404603D5}"/>
  </w:font>
  <w:font w:name="Roboto">
    <w:panose1 w:val="02000000000000000000"/>
    <w:charset w:val="00"/>
    <w:family w:val="auto"/>
    <w:pitch w:val="variable"/>
    <w:sig w:usb0="E0000AFF" w:usb1="5000217F" w:usb2="00000021" w:usb3="00000000" w:csb0="0000019F" w:csb1="00000000"/>
    <w:embedRegular r:id="rId9" w:fontKey="{BECCF4C9-B3B5-144B-82B1-5E3AA24E81AE}"/>
    <w:embedBold r:id="rId10" w:fontKey="{E57DFE8F-881C-364B-9A58-CF29984DEDBF}"/>
  </w:font>
  <w:font w:name="Calibri Light">
    <w:panose1 w:val="020F0302020204030204"/>
    <w:charset w:val="00"/>
    <w:family w:val="swiss"/>
    <w:pitch w:val="variable"/>
    <w:sig w:usb0="E0002AFF" w:usb1="C000247B" w:usb2="00000009" w:usb3="00000000" w:csb0="000001FF" w:csb1="00000000"/>
    <w:embedRegular r:id="rId11" w:fontKey="{FF200908-23D8-2D47-87A1-7AFE1C7BA85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A28AB3" w14:textId="77777777" w:rsidR="00023E59" w:rsidRDefault="00023E59">
      <w:r>
        <w:separator/>
      </w:r>
    </w:p>
  </w:footnote>
  <w:footnote w:type="continuationSeparator" w:id="0">
    <w:p w14:paraId="6C394A86" w14:textId="77777777" w:rsidR="00023E59" w:rsidRDefault="00023E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201346" w14:textId="77777777" w:rsidR="002F2656" w:rsidRDefault="002F265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2F2656" w14:paraId="30A78B57" w14:textId="77777777">
      <w:trPr>
        <w:trHeight w:val="345"/>
        <w:jc w:val="center"/>
      </w:trPr>
      <w:tc>
        <w:tcPr>
          <w:tcW w:w="6306" w:type="dxa"/>
          <w:vAlign w:val="center"/>
        </w:tcPr>
        <w:p w14:paraId="009008A0" w14:textId="77777777" w:rsidR="002F2656" w:rsidRDefault="002F2656">
          <w:pPr>
            <w:jc w:val="center"/>
            <w:rPr>
              <w:i/>
              <w:iCs/>
              <w:sz w:val="18"/>
              <w:szCs w:val="18"/>
            </w:rPr>
          </w:pPr>
        </w:p>
      </w:tc>
    </w:tr>
  </w:tbl>
  <w:p w14:paraId="26994F55" w14:textId="77777777" w:rsidR="002F2656" w:rsidRDefault="002F265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3938FB"/>
    <w:multiLevelType w:val="multilevel"/>
    <w:tmpl w:val="C79A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779051C"/>
    <w:multiLevelType w:val="multilevel"/>
    <w:tmpl w:val="591E5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26698A"/>
    <w:multiLevelType w:val="multilevel"/>
    <w:tmpl w:val="270C7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F6C6093"/>
    <w:multiLevelType w:val="multilevel"/>
    <w:tmpl w:val="7E54C7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121401B"/>
    <w:multiLevelType w:val="multilevel"/>
    <w:tmpl w:val="C79A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24D7E95"/>
    <w:multiLevelType w:val="multilevel"/>
    <w:tmpl w:val="C79A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CEA0985"/>
    <w:multiLevelType w:val="multilevel"/>
    <w:tmpl w:val="C79AE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A76E2C"/>
    <w:multiLevelType w:val="multilevel"/>
    <w:tmpl w:val="9D6CE0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D125E3"/>
    <w:multiLevelType w:val="multilevel"/>
    <w:tmpl w:val="5BFEA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50041814">
    <w:abstractNumId w:val="3"/>
  </w:num>
  <w:num w:numId="2" w16cid:durableId="47195771">
    <w:abstractNumId w:val="7"/>
  </w:num>
  <w:num w:numId="3" w16cid:durableId="625506291">
    <w:abstractNumId w:val="2"/>
  </w:num>
  <w:num w:numId="4" w16cid:durableId="995183988">
    <w:abstractNumId w:val="8"/>
  </w:num>
  <w:num w:numId="5" w16cid:durableId="726682687">
    <w:abstractNumId w:val="1"/>
  </w:num>
  <w:num w:numId="6" w16cid:durableId="870606052">
    <w:abstractNumId w:val="5"/>
  </w:num>
  <w:num w:numId="7" w16cid:durableId="131801163">
    <w:abstractNumId w:val="0"/>
  </w:num>
  <w:num w:numId="8" w16cid:durableId="1627925391">
    <w:abstractNumId w:val="4"/>
  </w:num>
  <w:num w:numId="9" w16cid:durableId="16162805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2656"/>
    <w:rsid w:val="00023E59"/>
    <w:rsid w:val="000D58A1"/>
    <w:rsid w:val="0014375F"/>
    <w:rsid w:val="00163157"/>
    <w:rsid w:val="00187141"/>
    <w:rsid w:val="001D602F"/>
    <w:rsid w:val="001E4FC2"/>
    <w:rsid w:val="00235D09"/>
    <w:rsid w:val="00293B13"/>
    <w:rsid w:val="002E7B3B"/>
    <w:rsid w:val="002F2656"/>
    <w:rsid w:val="003F4942"/>
    <w:rsid w:val="0042019B"/>
    <w:rsid w:val="00487727"/>
    <w:rsid w:val="004C07BC"/>
    <w:rsid w:val="004D504D"/>
    <w:rsid w:val="004D782D"/>
    <w:rsid w:val="00515D39"/>
    <w:rsid w:val="00533A5C"/>
    <w:rsid w:val="005C57D8"/>
    <w:rsid w:val="007634E8"/>
    <w:rsid w:val="007A0856"/>
    <w:rsid w:val="007B2521"/>
    <w:rsid w:val="007B7F08"/>
    <w:rsid w:val="0080178B"/>
    <w:rsid w:val="0082046B"/>
    <w:rsid w:val="008F5124"/>
    <w:rsid w:val="00927E10"/>
    <w:rsid w:val="00934511"/>
    <w:rsid w:val="00A8020B"/>
    <w:rsid w:val="00AA4B78"/>
    <w:rsid w:val="00AA790B"/>
    <w:rsid w:val="00AD690A"/>
    <w:rsid w:val="00AF0F97"/>
    <w:rsid w:val="00AF39FB"/>
    <w:rsid w:val="00B52368"/>
    <w:rsid w:val="00B954C0"/>
    <w:rsid w:val="00BF47C3"/>
    <w:rsid w:val="00C544B0"/>
    <w:rsid w:val="00CF197E"/>
    <w:rsid w:val="00D02633"/>
    <w:rsid w:val="00D21128"/>
    <w:rsid w:val="00D66660"/>
    <w:rsid w:val="00E60966"/>
    <w:rsid w:val="00EE7C4F"/>
    <w:rsid w:val="00EF1E9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8EB928"/>
  <w15:docId w15:val="{1A896465-EAB9-8445-9FE2-F4E2E10DA2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unhideWhenUsed/>
    <w:rsid w:val="001E4FC2"/>
    <w:pPr>
      <w:spacing w:before="100" w:beforeAutospacing="1" w:after="100" w:afterAutospacing="1"/>
    </w:pPr>
  </w:style>
  <w:style w:type="paragraph" w:styleId="Prrafodelista">
    <w:name w:val="List Paragraph"/>
    <w:basedOn w:val="Normal"/>
    <w:uiPriority w:val="34"/>
    <w:qFormat/>
    <w:rsid w:val="00AF0F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16/j.dr.2007.08.003" TargetMode="External"/><Relationship Id="rId18" Type="http://schemas.openxmlformats.org/officeDocument/2006/relationships/hyperlink" Target="https://www.google.com/search?q=https://psycnet.apa.org/record/1996-06161-007" TargetMode="External"/><Relationship Id="rId26" Type="http://schemas.openxmlformats.org/officeDocument/2006/relationships/hyperlink" Target="https://doi.org/10.1016/j.jvb.2009.04.004" TargetMode="External"/><Relationship Id="rId3" Type="http://schemas.openxmlformats.org/officeDocument/2006/relationships/styles" Target="styles.xml"/><Relationship Id="rId21" Type="http://schemas.openxmlformats.org/officeDocument/2006/relationships/hyperlink" Target="https://www.google.com/search?q=https://psycnet.apa.org/record/1996-98185-004" TargetMode="External"/><Relationship Id="rId7" Type="http://schemas.openxmlformats.org/officeDocument/2006/relationships/endnotes" Target="endnotes.xml"/><Relationship Id="rId12" Type="http://schemas.openxmlformats.org/officeDocument/2006/relationships/hyperlink" Target="https://dialnet.unirioja.es/servlet/libro?codigo=156157" TargetMode="External"/><Relationship Id="rId17" Type="http://schemas.openxmlformats.org/officeDocument/2006/relationships/hyperlink" Target="https://dialnet.unirioja.es/servlet/libro?codigo=501552" TargetMode="External"/><Relationship Id="rId25" Type="http://schemas.openxmlformats.org/officeDocument/2006/relationships/hyperlink" Target="https://www.google.com/search?q=https://www.google.com.mx/books/edition/_/kO9iDwAAQBAJ" TargetMode="External"/><Relationship Id="rId2" Type="http://schemas.openxmlformats.org/officeDocument/2006/relationships/numbering" Target="numbering.xml"/><Relationship Id="rId16" Type="http://schemas.openxmlformats.org/officeDocument/2006/relationships/hyperlink" Target="https://www.google.com/search?q=https://www.google.com.mx/books/edition/Man_s_Search_for_Meaning/v-mS9XonY8UC" TargetMode="External"/><Relationship Id="rId20" Type="http://schemas.openxmlformats.org/officeDocument/2006/relationships/hyperlink" Target="https://www.google.com/search?q=https://psycnet.apa.org/record/1997-02380-000" TargetMode="External"/><Relationship Id="rId29" Type="http://schemas.openxmlformats.org/officeDocument/2006/relationships/hyperlink" Target="https://www.sciencedirect.com/science/article/abs/pii/000187918090056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search?q=https://psycnet.apa.org/record/1979-22442-000" TargetMode="External"/><Relationship Id="rId24" Type="http://schemas.openxmlformats.org/officeDocument/2006/relationships/hyperlink" Target="https://www.google.com/search?q=https://dialnet.unirioja.es/servlet/articulo%3Fcodigo%3D3038670"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google.com/search?q=https://psycnet.apa.org/record/1980-09355-001" TargetMode="External"/><Relationship Id="rId23" Type="http://schemas.openxmlformats.org/officeDocument/2006/relationships/hyperlink" Target="https://www.google.com/search?q=https://www.google.com.mx/books/edition/Families_and_Family_Therapy/S36HAAAAIAAJ" TargetMode="External"/><Relationship Id="rId28" Type="http://schemas.openxmlformats.org/officeDocument/2006/relationships/hyperlink" Target="https://doi.org/10.1016/j.dr.2007.08.002" TargetMode="External"/><Relationship Id="rId10" Type="http://schemas.openxmlformats.org/officeDocument/2006/relationships/hyperlink" Target="https://www.google.com/search?q=https://www.google.com.mx/books/edition/Self_Efficacy/eJ-PN9p_v_IC" TargetMode="External"/><Relationship Id="rId19" Type="http://schemas.openxmlformats.org/officeDocument/2006/relationships/hyperlink" Target="https://www.google.com/search?q=https://www.google.com.mx/books/edition/Working_With_Emotional_Intelligence/p9_Y6N6yq_8C"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nuies.mx/informacion-y-servicios/informacion-estadistica-de-educacion-superior/anuario-estadistico-de-educacion-superior" TargetMode="External"/><Relationship Id="rId14" Type="http://schemas.openxmlformats.org/officeDocument/2006/relationships/hyperlink" Target="https://www.google.com/search?q=https://www.google.com.mx/books/edition/Descartes_Error/V_mS9XonY8UC" TargetMode="External"/><Relationship Id="rId22" Type="http://schemas.openxmlformats.org/officeDocument/2006/relationships/hyperlink" Target="https://psycnet.apa.org/record/1966-06480-001" TargetMode="External"/><Relationship Id="rId27" Type="http://schemas.openxmlformats.org/officeDocument/2006/relationships/hyperlink" Target="https://www.planeacion.sep.gob.mx/principalescifras/" TargetMode="External"/><Relationship Id="rId30" Type="http://schemas.openxmlformats.org/officeDocument/2006/relationships/hyperlink" Target="https://www.weforum.org/publications/the-future-of-jobs-report-2023/"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2269</Words>
  <Characters>12485</Characters>
  <Application>Microsoft Office Word</Application>
  <DocSecurity>0</DocSecurity>
  <Lines>104</Lines>
  <Paragraphs>29</Paragraphs>
  <ScaleCrop>false</ScaleCrop>
  <Company/>
  <LinksUpToDate>false</LinksUpToDate>
  <CharactersWithSpaces>14725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Gina Valeria Vázquez Rodríguez</cp:lastModifiedBy>
  <cp:revision>8</cp:revision>
  <dcterms:created xsi:type="dcterms:W3CDTF">2026-03-23T18:39:00Z</dcterms:created>
  <dcterms:modified xsi:type="dcterms:W3CDTF">2026-03-25T17:55:00Z</dcterms:modified>
</cp:coreProperties>
</file>