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626D64" w14:textId="441A1D69" w:rsidR="00840355" w:rsidRDefault="0064583A">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 xml:space="preserve">Gamificación en la experiencia turística </w:t>
      </w:r>
    </w:p>
    <w:p w14:paraId="300B8978" w14:textId="6515EAF8" w:rsidR="00840355" w:rsidRDefault="0064583A">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Peralta</w:t>
      </w:r>
      <w:r w:rsidR="00000000">
        <w:rPr>
          <w:rFonts w:ascii="Roboto" w:eastAsia="Roboto" w:hAnsi="Roboto" w:cs="Roboto"/>
          <w:b/>
          <w:bCs/>
          <w:color w:val="000000"/>
          <w:sz w:val="20"/>
          <w:szCs w:val="20"/>
        </w:rPr>
        <w:t>-</w:t>
      </w:r>
      <w:r>
        <w:rPr>
          <w:rFonts w:ascii="Roboto" w:eastAsia="Roboto" w:hAnsi="Roboto" w:cs="Roboto"/>
          <w:b/>
          <w:bCs/>
          <w:color w:val="000000"/>
          <w:sz w:val="20"/>
          <w:szCs w:val="20"/>
        </w:rPr>
        <w:t>de Legarreta</w:t>
      </w:r>
      <w:r w:rsidR="00000000">
        <w:rPr>
          <w:rFonts w:ascii="Roboto" w:eastAsia="Roboto" w:hAnsi="Roboto" w:cs="Roboto"/>
          <w:b/>
          <w:bCs/>
          <w:color w:val="000000"/>
          <w:sz w:val="20"/>
          <w:szCs w:val="20"/>
        </w:rPr>
        <w:t xml:space="preserve"> </w:t>
      </w:r>
      <w:r>
        <w:rPr>
          <w:rFonts w:ascii="Roboto" w:eastAsia="Roboto" w:hAnsi="Roboto" w:cs="Roboto"/>
          <w:b/>
          <w:bCs/>
          <w:color w:val="000000"/>
          <w:sz w:val="20"/>
          <w:szCs w:val="20"/>
        </w:rPr>
        <w:t>A</w:t>
      </w:r>
      <w:r w:rsidR="00000000">
        <w:rPr>
          <w:rFonts w:ascii="Roboto" w:eastAsia="Roboto" w:hAnsi="Roboto" w:cs="Roboto"/>
          <w:b/>
          <w:bCs/>
          <w:color w:val="000000"/>
          <w:sz w:val="20"/>
          <w:szCs w:val="20"/>
        </w:rPr>
        <w:t>.</w:t>
      </w:r>
      <w:r w:rsidR="00000000">
        <w:rPr>
          <w:rFonts w:ascii="Roboto" w:eastAsia="Roboto" w:hAnsi="Roboto" w:cs="Roboto"/>
          <w:b/>
          <w:bCs/>
          <w:color w:val="000000"/>
          <w:sz w:val="20"/>
          <w:szCs w:val="20"/>
          <w:vertAlign w:val="superscript"/>
        </w:rPr>
        <w:t>1</w:t>
      </w:r>
      <w:r>
        <w:rPr>
          <w:rFonts w:ascii="Roboto" w:eastAsia="Roboto" w:hAnsi="Roboto" w:cs="Roboto"/>
          <w:b/>
          <w:bCs/>
          <w:color w:val="000000"/>
          <w:sz w:val="20"/>
          <w:szCs w:val="20"/>
        </w:rPr>
        <w:t xml:space="preserve"> y Correa</w:t>
      </w:r>
      <w:r w:rsidR="00000000">
        <w:rPr>
          <w:rFonts w:ascii="Roboto" w:eastAsia="Roboto" w:hAnsi="Roboto" w:cs="Roboto"/>
          <w:b/>
          <w:bCs/>
          <w:color w:val="000000"/>
          <w:sz w:val="20"/>
          <w:szCs w:val="20"/>
        </w:rPr>
        <w:t>-</w:t>
      </w:r>
      <w:r>
        <w:rPr>
          <w:rFonts w:ascii="Roboto" w:eastAsia="Roboto" w:hAnsi="Roboto" w:cs="Roboto"/>
          <w:b/>
          <w:bCs/>
          <w:color w:val="000000"/>
          <w:sz w:val="20"/>
          <w:szCs w:val="20"/>
        </w:rPr>
        <w:t>Guevara</w:t>
      </w:r>
      <w:r w:rsidR="00000000">
        <w:rPr>
          <w:rFonts w:ascii="Roboto" w:eastAsia="Roboto" w:hAnsi="Roboto" w:cs="Roboto"/>
          <w:b/>
          <w:bCs/>
          <w:color w:val="000000"/>
          <w:sz w:val="20"/>
          <w:szCs w:val="20"/>
        </w:rPr>
        <w:t xml:space="preserve"> </w:t>
      </w:r>
      <w:r>
        <w:rPr>
          <w:rFonts w:ascii="Roboto" w:eastAsia="Roboto" w:hAnsi="Roboto" w:cs="Roboto"/>
          <w:b/>
          <w:bCs/>
          <w:color w:val="000000"/>
          <w:sz w:val="20"/>
          <w:szCs w:val="20"/>
        </w:rPr>
        <w:t>B</w:t>
      </w:r>
      <w:r w:rsidR="00000000">
        <w:rPr>
          <w:rFonts w:ascii="Roboto" w:eastAsia="Roboto" w:hAnsi="Roboto" w:cs="Roboto"/>
          <w:b/>
          <w:bCs/>
          <w:color w:val="000000"/>
          <w:sz w:val="20"/>
          <w:szCs w:val="20"/>
        </w:rPr>
        <w:t>.</w:t>
      </w:r>
      <w:r w:rsidR="00000000">
        <w:rPr>
          <w:rFonts w:ascii="Roboto" w:eastAsia="Roboto" w:hAnsi="Roboto" w:cs="Roboto"/>
          <w:b/>
          <w:bCs/>
          <w:color w:val="000000"/>
          <w:sz w:val="20"/>
          <w:szCs w:val="20"/>
          <w:vertAlign w:val="superscript"/>
        </w:rPr>
        <w:t>2</w:t>
      </w:r>
    </w:p>
    <w:p w14:paraId="45A588E6" w14:textId="4400B91A" w:rsidR="00840355"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24191E">
        <w:rPr>
          <w:rFonts w:ascii="Roboto" w:eastAsia="Roboto" w:hAnsi="Roboto" w:cs="Roboto"/>
          <w:color w:val="000000"/>
          <w:sz w:val="18"/>
          <w:szCs w:val="18"/>
          <w:vertAlign w:val="superscript"/>
        </w:rPr>
        <w:t xml:space="preserve"> </w:t>
      </w:r>
      <w:r w:rsidR="0064583A">
        <w:rPr>
          <w:rFonts w:ascii="Roboto" w:eastAsia="Roboto" w:hAnsi="Roboto" w:cs="Roboto"/>
          <w:color w:val="000000"/>
          <w:sz w:val="18"/>
          <w:szCs w:val="18"/>
        </w:rPr>
        <w:t xml:space="preserve">Universidad Anáhuac México. ORCID: </w:t>
      </w:r>
      <w:r w:rsidR="0064583A" w:rsidRPr="0064583A">
        <w:rPr>
          <w:rFonts w:ascii="Roboto" w:eastAsia="Roboto" w:hAnsi="Roboto" w:cs="Roboto"/>
          <w:color w:val="000000"/>
          <w:sz w:val="18"/>
          <w:szCs w:val="18"/>
        </w:rPr>
        <w:t>0000-0003-4805-5409</w:t>
      </w:r>
    </w:p>
    <w:p w14:paraId="7A81C441" w14:textId="6AC9E4D9" w:rsidR="00840355" w:rsidRDefault="00000000">
      <w:pPr>
        <w:jc w:val="center"/>
        <w:rPr>
          <w:rFonts w:ascii="Roboto" w:eastAsia="Roboto" w:hAnsi="Roboto" w:cs="Roboto"/>
          <w:sz w:val="18"/>
          <w:szCs w:val="18"/>
        </w:rPr>
      </w:pPr>
      <w:r>
        <w:rPr>
          <w:rFonts w:ascii="Roboto" w:eastAsia="Roboto" w:hAnsi="Roboto" w:cs="Roboto"/>
          <w:sz w:val="18"/>
          <w:szCs w:val="18"/>
          <w:vertAlign w:val="superscript"/>
        </w:rPr>
        <w:t>2</w:t>
      </w:r>
      <w:r w:rsidR="0024191E">
        <w:rPr>
          <w:rFonts w:ascii="Roboto" w:eastAsia="Roboto" w:hAnsi="Roboto" w:cs="Roboto"/>
          <w:sz w:val="18"/>
          <w:szCs w:val="18"/>
          <w:vertAlign w:val="superscript"/>
        </w:rPr>
        <w:t xml:space="preserve"> </w:t>
      </w:r>
      <w:r w:rsidR="0064583A">
        <w:rPr>
          <w:rFonts w:ascii="Roboto" w:eastAsia="Roboto" w:hAnsi="Roboto" w:cs="Roboto"/>
          <w:sz w:val="18"/>
          <w:szCs w:val="18"/>
        </w:rPr>
        <w:t>Universidad Anáhuac México.</w:t>
      </w:r>
      <w:r>
        <w:rPr>
          <w:rFonts w:ascii="Roboto" w:eastAsia="Roboto" w:hAnsi="Roboto" w:cs="Roboto"/>
          <w:sz w:val="18"/>
          <w:szCs w:val="18"/>
        </w:rPr>
        <w:t xml:space="preserve"> ORCID</w:t>
      </w:r>
      <w:r w:rsidR="0064583A">
        <w:rPr>
          <w:rFonts w:ascii="Roboto" w:eastAsia="Roboto" w:hAnsi="Roboto" w:cs="Roboto"/>
          <w:sz w:val="18"/>
          <w:szCs w:val="18"/>
        </w:rPr>
        <w:t xml:space="preserve">: </w:t>
      </w:r>
      <w:r w:rsidR="00DF5BDC" w:rsidRPr="00DF5BDC">
        <w:rPr>
          <w:rFonts w:ascii="Roboto" w:eastAsia="Roboto" w:hAnsi="Roboto" w:cs="Roboto"/>
          <w:sz w:val="18"/>
          <w:szCs w:val="18"/>
        </w:rPr>
        <w:t>0000-0002-8629-5190</w:t>
      </w:r>
    </w:p>
    <w:p w14:paraId="5F52F69C" w14:textId="25BB5B27" w:rsidR="00840355"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64583A">
        <w:rPr>
          <w:rFonts w:ascii="Roboto" w:eastAsia="Roboto" w:hAnsi="Roboto" w:cs="Roboto"/>
          <w:sz w:val="18"/>
          <w:szCs w:val="18"/>
        </w:rPr>
        <w:t>alberto.peralta@anahuac.mx</w:t>
      </w:r>
      <w:r>
        <w:rPr>
          <w:rFonts w:ascii="Roboto" w:eastAsia="Roboto" w:hAnsi="Roboto" w:cs="Roboto"/>
          <w:sz w:val="18"/>
          <w:szCs w:val="18"/>
        </w:rPr>
        <w:t>)</w:t>
      </w:r>
    </w:p>
    <w:p w14:paraId="0CCBA866" w14:textId="77777777" w:rsidR="00840355" w:rsidRDefault="00280E05">
      <w:pPr>
        <w:spacing w:before="60"/>
        <w:jc w:val="center"/>
        <w:rPr>
          <w:rFonts w:ascii="Roboto" w:eastAsia="Roboto" w:hAnsi="Roboto" w:cs="Roboto"/>
          <w:sz w:val="18"/>
          <w:szCs w:val="18"/>
        </w:rPr>
        <w:sectPr w:rsidR="00840355">
          <w:headerReference w:type="default" r:id="rId8"/>
          <w:pgSz w:w="11906" w:h="16838"/>
          <w:pgMar w:top="851" w:right="851" w:bottom="828" w:left="851" w:header="357" w:footer="720" w:gutter="0"/>
          <w:pgNumType w:start="1"/>
          <w:cols w:space="720"/>
        </w:sectPr>
      </w:pPr>
      <w:r>
        <w:rPr>
          <w:noProof/>
        </w:rPr>
        <w:pict w14:anchorId="5E7DB5CE">
          <v:rect id="_x0000_i1025" alt="" style="width:441.9pt;height:.05pt;mso-width-percent:0;mso-height-percent:0;mso-width-percent:0;mso-height-percent:0" o:hralign="center" o:hrstd="t" o:hr="t" fillcolor="#a0a0a0" stroked="f"/>
        </w:pict>
      </w:r>
    </w:p>
    <w:p w14:paraId="0B775412" w14:textId="77777777" w:rsidR="00AE088C" w:rsidRPr="00E876E7" w:rsidRDefault="00AE088C" w:rsidP="00AE088C">
      <w:pPr>
        <w:rPr>
          <w:rFonts w:ascii="Roboto" w:hAnsi="Roboto"/>
          <w:b/>
          <w:bCs/>
          <w:sz w:val="20"/>
          <w:szCs w:val="20"/>
        </w:rPr>
      </w:pPr>
      <w:r w:rsidRPr="00E876E7">
        <w:rPr>
          <w:rFonts w:ascii="Roboto" w:hAnsi="Roboto"/>
          <w:b/>
          <w:bCs/>
          <w:sz w:val="20"/>
          <w:szCs w:val="20"/>
        </w:rPr>
        <w:t>Resumen</w:t>
      </w:r>
    </w:p>
    <w:p w14:paraId="7BE0FBC5" w14:textId="77777777" w:rsidR="00AE088C" w:rsidRDefault="00AE088C" w:rsidP="00AE088C">
      <w:pPr>
        <w:rPr>
          <w:rFonts w:ascii="Roboto" w:hAnsi="Roboto"/>
          <w:sz w:val="20"/>
          <w:szCs w:val="20"/>
        </w:rPr>
      </w:pPr>
    </w:p>
    <w:p w14:paraId="0127AE7B" w14:textId="77777777" w:rsidR="00AE088C" w:rsidRDefault="00AE088C" w:rsidP="00AE088C">
      <w:pPr>
        <w:rPr>
          <w:rFonts w:ascii="Roboto" w:hAnsi="Roboto"/>
          <w:sz w:val="20"/>
          <w:szCs w:val="20"/>
        </w:rPr>
      </w:pPr>
      <w:r w:rsidRPr="00D52735">
        <w:rPr>
          <w:rFonts w:ascii="Roboto" w:hAnsi="Roboto"/>
          <w:sz w:val="20"/>
          <w:szCs w:val="20"/>
        </w:rPr>
        <w:t>Tras la pandemia de COVID-19, el sector turístico ha experimentado una acelerada transformación tecnológica orientada a responder a nuevas exigencias de competitividad, seguridad y diferenciación (Kotsopoulos et al., 2024). Esta transición se manifiesta en la creciente incorporación de herramientas como la realidad virtual, la realidad aumentada y las aplicaciones móviles en el diseño de la experiencia turística (Marques &amp; Pombo, 2023; Wei et al., 2023). Entendida como el espacio de convergencia entre actividades, servicios, productos e interacciones que configuran la vivencia del visitante en un destino (Aho, 2001), la experiencia turística se ha convertido en el eje estratégico de la innovación contemporánea.</w:t>
      </w:r>
    </w:p>
    <w:p w14:paraId="6A5D462D" w14:textId="77777777" w:rsidR="00AE088C" w:rsidRPr="00D52735" w:rsidRDefault="00AE088C" w:rsidP="00AE088C">
      <w:pPr>
        <w:rPr>
          <w:rFonts w:ascii="Roboto" w:hAnsi="Roboto"/>
          <w:sz w:val="20"/>
          <w:szCs w:val="20"/>
        </w:rPr>
      </w:pPr>
    </w:p>
    <w:p w14:paraId="175A0D9C" w14:textId="77777777" w:rsidR="00AE088C" w:rsidRDefault="00AE088C" w:rsidP="00AE088C">
      <w:pPr>
        <w:rPr>
          <w:rFonts w:ascii="Roboto" w:hAnsi="Roboto"/>
          <w:sz w:val="20"/>
          <w:szCs w:val="20"/>
        </w:rPr>
      </w:pPr>
      <w:r w:rsidRPr="00D52735">
        <w:rPr>
          <w:rFonts w:ascii="Roboto" w:hAnsi="Roboto"/>
          <w:sz w:val="20"/>
          <w:szCs w:val="20"/>
        </w:rPr>
        <w:t>En paralelo, el desarrollo global de la industria del videojuego y su consolidación cultural han favorecido la expansión del concepto de gamificación, definido por Deterding et al. (2011) como la incorporación de elementos propios del juego en contextos no lúdicos. Diversos estudios han señalado su potencial para incrementar el aprendizaje, la participación, la generación de contenido por parte de los usuarios, así como la satisfacción, la intención de retorno y la recomendación del destino (Wei et al., 2023). Estas evidencias han impulsado su adopción en múltiples sectores, incluido el turismo.</w:t>
      </w:r>
    </w:p>
    <w:p w14:paraId="74C8CFC4" w14:textId="77777777" w:rsidR="00AE088C" w:rsidRPr="00D52735" w:rsidRDefault="00AE088C" w:rsidP="00AE088C">
      <w:pPr>
        <w:rPr>
          <w:rFonts w:ascii="Roboto" w:hAnsi="Roboto"/>
          <w:sz w:val="20"/>
          <w:szCs w:val="20"/>
        </w:rPr>
      </w:pPr>
    </w:p>
    <w:p w14:paraId="56D797F3" w14:textId="77777777" w:rsidR="00AE088C" w:rsidRDefault="00AE088C" w:rsidP="00AE088C">
      <w:pPr>
        <w:rPr>
          <w:rFonts w:ascii="Roboto" w:hAnsi="Roboto"/>
          <w:sz w:val="20"/>
          <w:szCs w:val="20"/>
        </w:rPr>
      </w:pPr>
      <w:r w:rsidRPr="00D52735">
        <w:rPr>
          <w:rFonts w:ascii="Roboto" w:hAnsi="Roboto"/>
          <w:sz w:val="20"/>
          <w:szCs w:val="20"/>
        </w:rPr>
        <w:t>No obstante, la revisión de la literatura revela un fenómeno significativo: la mayoría de las investigaciones sobre gamificación se originan en campos como las ciencias computacionales, el marketing, la administración o el diseño digital. En consecuencia, los estudios tienden a centrarse en la arquitectura tecnológica, las mecánicas y dinámicas de juego, los procesos de programación o los efectos psicológicos asociados a la motivación y el compromiso. Incluso cuando la gamificación se aplica a contextos turísticos</w:t>
      </w:r>
      <w:r>
        <w:rPr>
          <w:rFonts w:ascii="Roboto" w:hAnsi="Roboto"/>
          <w:sz w:val="20"/>
          <w:szCs w:val="20"/>
        </w:rPr>
        <w:t xml:space="preserve"> como </w:t>
      </w:r>
      <w:r w:rsidRPr="00D52735">
        <w:rPr>
          <w:rFonts w:ascii="Roboto" w:hAnsi="Roboto"/>
          <w:sz w:val="20"/>
          <w:szCs w:val="20"/>
        </w:rPr>
        <w:t>museos, centros de interpretación o espacios patrimoniales</w:t>
      </w:r>
      <w:r>
        <w:rPr>
          <w:rFonts w:ascii="Roboto" w:hAnsi="Roboto"/>
          <w:sz w:val="20"/>
          <w:szCs w:val="20"/>
        </w:rPr>
        <w:t xml:space="preserve">, </w:t>
      </w:r>
      <w:r w:rsidRPr="00D52735">
        <w:rPr>
          <w:rFonts w:ascii="Roboto" w:hAnsi="Roboto"/>
          <w:sz w:val="20"/>
          <w:szCs w:val="20"/>
        </w:rPr>
        <w:t>el énfasis recae predominantemente en el objeto tecnológico (aplicaciones, dispositivos, interfaces) o en la actividad interactiva puntual, más que en la construcción integral de la experiencia turística.</w:t>
      </w:r>
    </w:p>
    <w:p w14:paraId="27ED27F6" w14:textId="77777777" w:rsidR="00AE088C" w:rsidRPr="00D52735" w:rsidRDefault="00AE088C" w:rsidP="00AE088C">
      <w:pPr>
        <w:rPr>
          <w:rFonts w:ascii="Roboto" w:hAnsi="Roboto"/>
          <w:sz w:val="20"/>
          <w:szCs w:val="20"/>
        </w:rPr>
      </w:pPr>
    </w:p>
    <w:p w14:paraId="5022C44F" w14:textId="77777777" w:rsidR="00AE088C" w:rsidRDefault="00AE088C" w:rsidP="00AE088C">
      <w:pPr>
        <w:rPr>
          <w:rFonts w:ascii="Roboto" w:hAnsi="Roboto"/>
          <w:sz w:val="20"/>
          <w:szCs w:val="20"/>
        </w:rPr>
      </w:pPr>
      <w:r w:rsidRPr="00D52735">
        <w:rPr>
          <w:rFonts w:ascii="Roboto" w:hAnsi="Roboto"/>
          <w:sz w:val="20"/>
          <w:szCs w:val="20"/>
        </w:rPr>
        <w:t xml:space="preserve">Este desplazamiento conceptual produce dos vacíos relevantes. Primero, la gamificación suele analizarse bajo la noción de “experiencia del usuario”, propia del diseño digital, sin integrar plenamente el marco conceptual desarrollado por el turismo en torno a la experiencia turística y la economía de la experiencia. </w:t>
      </w:r>
      <w:r w:rsidRPr="00D52735">
        <w:rPr>
          <w:rFonts w:ascii="Roboto" w:hAnsi="Roboto"/>
          <w:sz w:val="20"/>
          <w:szCs w:val="20"/>
        </w:rPr>
        <w:t>Segundo, se l</w:t>
      </w:r>
      <w:r>
        <w:rPr>
          <w:rFonts w:ascii="Roboto" w:hAnsi="Roboto"/>
          <w:sz w:val="20"/>
          <w:szCs w:val="20"/>
        </w:rPr>
        <w:t>e</w:t>
      </w:r>
      <w:r w:rsidRPr="00D52735">
        <w:rPr>
          <w:rFonts w:ascii="Roboto" w:hAnsi="Roboto"/>
          <w:sz w:val="20"/>
          <w:szCs w:val="20"/>
        </w:rPr>
        <w:t xml:space="preserve"> presenta con frecuencia como un producto final</w:t>
      </w:r>
      <w:r>
        <w:rPr>
          <w:rFonts w:ascii="Roboto" w:hAnsi="Roboto"/>
          <w:sz w:val="20"/>
          <w:szCs w:val="20"/>
        </w:rPr>
        <w:t xml:space="preserve">, es decir, </w:t>
      </w:r>
      <w:r w:rsidRPr="00D52735">
        <w:rPr>
          <w:rFonts w:ascii="Roboto" w:hAnsi="Roboto"/>
          <w:sz w:val="20"/>
          <w:szCs w:val="20"/>
        </w:rPr>
        <w:t>una aplicación o actividad interactiva</w:t>
      </w:r>
      <w:r>
        <w:rPr>
          <w:rFonts w:ascii="Roboto" w:hAnsi="Roboto"/>
          <w:sz w:val="20"/>
          <w:szCs w:val="20"/>
        </w:rPr>
        <w:t xml:space="preserve">, </w:t>
      </w:r>
      <w:r w:rsidRPr="00D52735">
        <w:rPr>
          <w:rFonts w:ascii="Roboto" w:hAnsi="Roboto"/>
          <w:sz w:val="20"/>
          <w:szCs w:val="20"/>
        </w:rPr>
        <w:t xml:space="preserve">y no como un recurso estratégico capaz de articularse con la oferta turística para </w:t>
      </w:r>
      <w:r>
        <w:rPr>
          <w:rFonts w:ascii="Roboto" w:hAnsi="Roboto"/>
          <w:sz w:val="20"/>
          <w:szCs w:val="20"/>
        </w:rPr>
        <w:t>el diseño de</w:t>
      </w:r>
      <w:r w:rsidRPr="00D52735">
        <w:rPr>
          <w:rFonts w:ascii="Roboto" w:hAnsi="Roboto"/>
          <w:sz w:val="20"/>
          <w:szCs w:val="20"/>
        </w:rPr>
        <w:t xml:space="preserve"> experiencias memorables.</w:t>
      </w:r>
    </w:p>
    <w:p w14:paraId="60D1F086" w14:textId="77777777" w:rsidR="00AE088C" w:rsidRPr="00D52735" w:rsidRDefault="00AE088C" w:rsidP="00AE088C">
      <w:pPr>
        <w:rPr>
          <w:rFonts w:ascii="Roboto" w:hAnsi="Roboto"/>
          <w:sz w:val="20"/>
          <w:szCs w:val="20"/>
        </w:rPr>
      </w:pPr>
    </w:p>
    <w:p w14:paraId="71053F1C" w14:textId="77777777" w:rsidR="00AE088C" w:rsidRDefault="00AE088C" w:rsidP="00AE088C">
      <w:pPr>
        <w:rPr>
          <w:rFonts w:ascii="Roboto" w:hAnsi="Roboto"/>
          <w:sz w:val="20"/>
          <w:szCs w:val="20"/>
        </w:rPr>
      </w:pPr>
      <w:r w:rsidRPr="00D52735">
        <w:rPr>
          <w:rFonts w:ascii="Roboto" w:hAnsi="Roboto"/>
          <w:sz w:val="20"/>
          <w:szCs w:val="20"/>
        </w:rPr>
        <w:t>En el ámbito turístico la experiencia no se limita a la evaluación global del viaje desde la perspectiva de la demanda, sino que implica también la capacidad de la oferta para innovar y generar productos turísticos experienciales que diferencien al destino y dejen una huella significativa en la memoria del visitante. En este contexto, la gamificación puede funcionar como un recurso habilitador</w:t>
      </w:r>
      <w:r>
        <w:rPr>
          <w:rFonts w:ascii="Roboto" w:hAnsi="Roboto"/>
          <w:sz w:val="20"/>
          <w:szCs w:val="20"/>
        </w:rPr>
        <w:t xml:space="preserve">, de naturaleza </w:t>
      </w:r>
      <w:r w:rsidRPr="00D52735">
        <w:rPr>
          <w:rFonts w:ascii="Roboto" w:hAnsi="Roboto"/>
          <w:sz w:val="20"/>
          <w:szCs w:val="20"/>
        </w:rPr>
        <w:t>tecnológic</w:t>
      </w:r>
      <w:r>
        <w:rPr>
          <w:rFonts w:ascii="Roboto" w:hAnsi="Roboto"/>
          <w:sz w:val="20"/>
          <w:szCs w:val="20"/>
        </w:rPr>
        <w:t>a</w:t>
      </w:r>
      <w:r w:rsidRPr="00D52735">
        <w:rPr>
          <w:rFonts w:ascii="Roboto" w:hAnsi="Roboto"/>
          <w:sz w:val="20"/>
          <w:szCs w:val="20"/>
        </w:rPr>
        <w:t xml:space="preserve"> o no tecnológic</w:t>
      </w:r>
      <w:r>
        <w:rPr>
          <w:rFonts w:ascii="Roboto" w:hAnsi="Roboto"/>
          <w:sz w:val="20"/>
          <w:szCs w:val="20"/>
        </w:rPr>
        <w:t>a, capaz de</w:t>
      </w:r>
      <w:r w:rsidRPr="00D52735">
        <w:rPr>
          <w:rFonts w:ascii="Roboto" w:hAnsi="Roboto"/>
          <w:sz w:val="20"/>
          <w:szCs w:val="20"/>
        </w:rPr>
        <w:t xml:space="preserve"> potencia</w:t>
      </w:r>
      <w:r>
        <w:rPr>
          <w:rFonts w:ascii="Roboto" w:hAnsi="Roboto"/>
          <w:sz w:val="20"/>
          <w:szCs w:val="20"/>
        </w:rPr>
        <w:t>r</w:t>
      </w:r>
      <w:r w:rsidRPr="00D52735">
        <w:rPr>
          <w:rFonts w:ascii="Roboto" w:hAnsi="Roboto"/>
          <w:sz w:val="20"/>
          <w:szCs w:val="20"/>
        </w:rPr>
        <w:t xml:space="preserve"> la participación, el aprendizaje, la co-creación, la construcción de comunidad, el reconocimiento de marca y la puesta en valor del patrimonio. Su implementación estratégica permite transformar una visita convencional en una experiencia </w:t>
      </w:r>
      <w:r>
        <w:rPr>
          <w:rFonts w:ascii="Roboto" w:hAnsi="Roboto"/>
          <w:sz w:val="20"/>
          <w:szCs w:val="20"/>
        </w:rPr>
        <w:t>memorable</w:t>
      </w:r>
      <w:r w:rsidRPr="00D52735">
        <w:rPr>
          <w:rFonts w:ascii="Roboto" w:hAnsi="Roboto"/>
          <w:sz w:val="20"/>
          <w:szCs w:val="20"/>
        </w:rPr>
        <w:t xml:space="preserve"> al integrar emoción, interacción y sentido.</w:t>
      </w:r>
    </w:p>
    <w:p w14:paraId="47ADE926" w14:textId="77777777" w:rsidR="00AE088C" w:rsidRPr="00D52735" w:rsidRDefault="00AE088C" w:rsidP="00AE088C">
      <w:pPr>
        <w:rPr>
          <w:rFonts w:ascii="Roboto" w:hAnsi="Roboto"/>
          <w:sz w:val="20"/>
          <w:szCs w:val="20"/>
        </w:rPr>
      </w:pPr>
    </w:p>
    <w:p w14:paraId="71530DBB" w14:textId="77777777" w:rsidR="00AE088C" w:rsidRDefault="00AE088C" w:rsidP="00AE088C">
      <w:pPr>
        <w:rPr>
          <w:rFonts w:ascii="Roboto" w:hAnsi="Roboto"/>
          <w:sz w:val="20"/>
          <w:szCs w:val="20"/>
        </w:rPr>
      </w:pPr>
      <w:r w:rsidRPr="00D52735">
        <w:rPr>
          <w:rFonts w:ascii="Roboto" w:hAnsi="Roboto"/>
          <w:sz w:val="20"/>
          <w:szCs w:val="20"/>
        </w:rPr>
        <w:t>Sin embargo, pese al creciente número de publicaciones sobre gamificación y a su adopción en espacios culturales y turísticos, la literatura carece todavía de una guía sistemática que oriente su diseño desde la perspectiva específica de la experiencia turística memorable. No existe, hasta el momento, un marco integrador que articule los elementos del juego con los principios de diseño experiencial propios del turismo, superando la fragmentación disciplinaria y el predominio de enfoques tecnológicos.</w:t>
      </w:r>
    </w:p>
    <w:p w14:paraId="1A42A2D1" w14:textId="77777777" w:rsidR="00AE088C" w:rsidRPr="00D52735" w:rsidRDefault="00AE088C" w:rsidP="00AE088C">
      <w:pPr>
        <w:rPr>
          <w:rFonts w:ascii="Roboto" w:hAnsi="Roboto"/>
          <w:sz w:val="20"/>
          <w:szCs w:val="20"/>
        </w:rPr>
      </w:pPr>
    </w:p>
    <w:p w14:paraId="096CE45A" w14:textId="77777777" w:rsidR="00AE088C" w:rsidRPr="00D52735" w:rsidRDefault="00AE088C" w:rsidP="00AE088C">
      <w:pPr>
        <w:rPr>
          <w:rFonts w:ascii="Roboto" w:hAnsi="Roboto"/>
          <w:sz w:val="20"/>
          <w:szCs w:val="20"/>
        </w:rPr>
      </w:pPr>
      <w:r w:rsidRPr="00D52735">
        <w:rPr>
          <w:rFonts w:ascii="Roboto" w:hAnsi="Roboto"/>
          <w:sz w:val="20"/>
          <w:szCs w:val="20"/>
        </w:rPr>
        <w:t xml:space="preserve">Este trabajo parte de </w:t>
      </w:r>
      <w:r>
        <w:rPr>
          <w:rFonts w:ascii="Roboto" w:hAnsi="Roboto"/>
          <w:sz w:val="20"/>
          <w:szCs w:val="20"/>
        </w:rPr>
        <w:t xml:space="preserve">esta </w:t>
      </w:r>
      <w:r w:rsidRPr="00D52735">
        <w:rPr>
          <w:rFonts w:ascii="Roboto" w:hAnsi="Roboto"/>
          <w:sz w:val="20"/>
          <w:szCs w:val="20"/>
        </w:rPr>
        <w:t xml:space="preserve">brecha teórica y metodológica. Su objetivo es desarrollar una propuesta estructurada que permita comprender y operacionalizar la gamificación como herramienta estratégica para la construcción de experiencias turísticas memorables. A través de un análisis crítico de la literatura existente y de la integración conceptual entre gamificación y experiencia turística, la investigación aspira a </w:t>
      </w:r>
      <w:r>
        <w:rPr>
          <w:rFonts w:ascii="Roboto" w:hAnsi="Roboto"/>
          <w:sz w:val="20"/>
          <w:szCs w:val="20"/>
        </w:rPr>
        <w:t xml:space="preserve">construir un </w:t>
      </w:r>
      <w:r w:rsidRPr="00D52735">
        <w:rPr>
          <w:rFonts w:ascii="Roboto" w:hAnsi="Roboto"/>
          <w:sz w:val="20"/>
          <w:szCs w:val="20"/>
        </w:rPr>
        <w:t xml:space="preserve">manual o guía que oriente a gestores, diseñadores y académicos en la implementación coherente, fundamentada y contextualizada de la gamificación en el ámbito </w:t>
      </w:r>
      <w:r>
        <w:rPr>
          <w:rFonts w:ascii="Roboto" w:hAnsi="Roboto"/>
          <w:sz w:val="20"/>
          <w:szCs w:val="20"/>
        </w:rPr>
        <w:t xml:space="preserve">de la experiencia </w:t>
      </w:r>
      <w:r w:rsidRPr="00D52735">
        <w:rPr>
          <w:rFonts w:ascii="Roboto" w:hAnsi="Roboto"/>
          <w:sz w:val="20"/>
          <w:szCs w:val="20"/>
        </w:rPr>
        <w:t>turístic</w:t>
      </w:r>
      <w:r>
        <w:rPr>
          <w:rFonts w:ascii="Roboto" w:hAnsi="Roboto"/>
          <w:sz w:val="20"/>
          <w:szCs w:val="20"/>
        </w:rPr>
        <w:t>a</w:t>
      </w:r>
      <w:r w:rsidRPr="00D52735">
        <w:rPr>
          <w:rFonts w:ascii="Roboto" w:hAnsi="Roboto"/>
          <w:sz w:val="20"/>
          <w:szCs w:val="20"/>
        </w:rPr>
        <w:t xml:space="preserve">. De este modo, se contribuye a desplazar el foco desde la tecnología en sí misma hacia la experiencia </w:t>
      </w:r>
      <w:r>
        <w:rPr>
          <w:rFonts w:ascii="Roboto" w:hAnsi="Roboto"/>
          <w:sz w:val="20"/>
          <w:szCs w:val="20"/>
        </w:rPr>
        <w:t>memorable</w:t>
      </w:r>
      <w:r w:rsidRPr="00D52735">
        <w:rPr>
          <w:rFonts w:ascii="Roboto" w:hAnsi="Roboto"/>
          <w:sz w:val="20"/>
          <w:szCs w:val="20"/>
        </w:rPr>
        <w:t xml:space="preserve"> que esta puede facilitar.</w:t>
      </w:r>
    </w:p>
    <w:p w14:paraId="64455E85" w14:textId="77777777" w:rsidR="00840355" w:rsidRDefault="00840355">
      <w:pPr>
        <w:jc w:val="both"/>
        <w:rPr>
          <w:rFonts w:ascii="Roboto" w:eastAsia="Roboto" w:hAnsi="Roboto" w:cs="Roboto"/>
          <w:sz w:val="20"/>
          <w:szCs w:val="20"/>
        </w:rPr>
      </w:pPr>
    </w:p>
    <w:p w14:paraId="5447F1AD" w14:textId="28FC83C7" w:rsidR="00840355" w:rsidRDefault="00000000">
      <w:pPr>
        <w:jc w:val="both"/>
        <w:rPr>
          <w:rFonts w:ascii="Roboto" w:eastAsia="Roboto" w:hAnsi="Roboto" w:cs="Roboto"/>
          <w:b/>
          <w:bCs/>
          <w:sz w:val="20"/>
          <w:szCs w:val="20"/>
        </w:rPr>
      </w:pPr>
      <w:r>
        <w:rPr>
          <w:rFonts w:ascii="Roboto" w:eastAsia="Roboto" w:hAnsi="Roboto" w:cs="Roboto"/>
          <w:b/>
          <w:bCs/>
          <w:sz w:val="20"/>
          <w:szCs w:val="20"/>
        </w:rPr>
        <w:t xml:space="preserve">AGRADECIMIENTOS </w:t>
      </w:r>
    </w:p>
    <w:p w14:paraId="670F601F" w14:textId="7EA8D8C5" w:rsidR="00840355" w:rsidRDefault="006A6831">
      <w:pPr>
        <w:jc w:val="both"/>
        <w:rPr>
          <w:rFonts w:ascii="Roboto" w:eastAsia="Roboto" w:hAnsi="Roboto" w:cs="Roboto"/>
          <w:sz w:val="20"/>
          <w:szCs w:val="20"/>
        </w:rPr>
      </w:pPr>
      <w:r>
        <w:rPr>
          <w:rFonts w:ascii="Roboto" w:eastAsia="Roboto" w:hAnsi="Roboto" w:cs="Roboto"/>
          <w:sz w:val="20"/>
          <w:szCs w:val="20"/>
        </w:rPr>
        <w:t xml:space="preserve">A mi colega y compañera de trabajo, la Dra. Blanca Estela Correa Guevara, Coordinadora bicampus de la </w:t>
      </w:r>
      <w:r>
        <w:rPr>
          <w:rFonts w:ascii="Roboto" w:eastAsia="Roboto" w:hAnsi="Roboto" w:cs="Roboto"/>
          <w:sz w:val="20"/>
          <w:szCs w:val="20"/>
        </w:rPr>
        <w:lastRenderedPageBreak/>
        <w:t>Licenciatura en Administración turística en la Universidad Anáhuac México.</w:t>
      </w:r>
    </w:p>
    <w:p w14:paraId="53E78324" w14:textId="77777777" w:rsidR="00840355" w:rsidRDefault="00840355">
      <w:pPr>
        <w:jc w:val="both"/>
        <w:rPr>
          <w:rFonts w:ascii="Roboto" w:eastAsia="Roboto" w:hAnsi="Roboto" w:cs="Roboto"/>
          <w:sz w:val="20"/>
          <w:szCs w:val="20"/>
        </w:rPr>
      </w:pPr>
    </w:p>
    <w:p w14:paraId="739EDBE9" w14:textId="66C2CFEB" w:rsidR="00840355" w:rsidRDefault="00000000">
      <w:pPr>
        <w:jc w:val="both"/>
        <w:rPr>
          <w:rFonts w:ascii="Roboto" w:eastAsia="Roboto" w:hAnsi="Roboto" w:cs="Roboto"/>
          <w:b/>
          <w:bCs/>
          <w:sz w:val="20"/>
          <w:szCs w:val="20"/>
        </w:rPr>
      </w:pPr>
      <w:r>
        <w:rPr>
          <w:rFonts w:ascii="Roboto" w:eastAsia="Roboto" w:hAnsi="Roboto" w:cs="Roboto"/>
          <w:b/>
          <w:bCs/>
          <w:sz w:val="20"/>
          <w:szCs w:val="20"/>
        </w:rPr>
        <w:t xml:space="preserve">REFERENCIAS </w:t>
      </w:r>
    </w:p>
    <w:p w14:paraId="64867A4D" w14:textId="77777777" w:rsidR="006A6831" w:rsidRDefault="006A6831" w:rsidP="006A6831">
      <w:pPr>
        <w:rPr>
          <w:rFonts w:ascii="Roboto" w:eastAsia="Roboto" w:hAnsi="Roboto" w:cs="Roboto"/>
          <w:sz w:val="20"/>
          <w:szCs w:val="20"/>
          <w:lang w:val="en-US"/>
        </w:rPr>
      </w:pPr>
    </w:p>
    <w:p w14:paraId="52DF5EFE" w14:textId="6C3D81C0" w:rsidR="006A6831" w:rsidRDefault="0041480A" w:rsidP="006A6831">
      <w:pPr>
        <w:rPr>
          <w:rFonts w:ascii="Roboto" w:hAnsi="Roboto"/>
          <w:sz w:val="20"/>
          <w:szCs w:val="20"/>
          <w:lang w:val="en-US"/>
        </w:rPr>
      </w:pPr>
      <w:proofErr w:type="spellStart"/>
      <w:r w:rsidRPr="0041480A">
        <w:rPr>
          <w:rFonts w:ascii="Roboto" w:hAnsi="Roboto"/>
          <w:sz w:val="20"/>
          <w:szCs w:val="20"/>
          <w:lang w:val="en-US"/>
        </w:rPr>
        <w:t>Aho</w:t>
      </w:r>
      <w:proofErr w:type="spellEnd"/>
      <w:r w:rsidRPr="0041480A">
        <w:rPr>
          <w:rFonts w:ascii="Roboto" w:hAnsi="Roboto"/>
          <w:sz w:val="20"/>
          <w:szCs w:val="20"/>
          <w:lang w:val="en-US"/>
        </w:rPr>
        <w:t>, S. K. (2001). Towards a general theory of touristic experiences: Modelling experience process in tourism. Tourism Review, 56(3), 33–37. https://doi.org/10.1108/eb058368</w:t>
      </w:r>
    </w:p>
    <w:p w14:paraId="14948DB9" w14:textId="77777777" w:rsidR="0041480A" w:rsidRPr="0041480A" w:rsidRDefault="0041480A" w:rsidP="006A6831">
      <w:pPr>
        <w:rPr>
          <w:rFonts w:ascii="Roboto" w:hAnsi="Roboto"/>
          <w:sz w:val="20"/>
          <w:szCs w:val="20"/>
          <w:lang w:val="en-US"/>
        </w:rPr>
      </w:pPr>
    </w:p>
    <w:p w14:paraId="127C1D9D" w14:textId="2CE0B033" w:rsidR="0041480A" w:rsidRDefault="0041480A" w:rsidP="006A6831">
      <w:pPr>
        <w:rPr>
          <w:rFonts w:ascii="Roboto" w:hAnsi="Roboto"/>
          <w:sz w:val="20"/>
          <w:szCs w:val="20"/>
          <w:lang w:val="en-US"/>
        </w:rPr>
      </w:pPr>
      <w:proofErr w:type="spellStart"/>
      <w:r w:rsidRPr="0041480A">
        <w:rPr>
          <w:rFonts w:ascii="Roboto" w:hAnsi="Roboto"/>
          <w:sz w:val="20"/>
          <w:szCs w:val="20"/>
          <w:lang w:val="en-US"/>
        </w:rPr>
        <w:t>Deterding</w:t>
      </w:r>
      <w:proofErr w:type="spellEnd"/>
      <w:r w:rsidRPr="0041480A">
        <w:rPr>
          <w:rFonts w:ascii="Roboto" w:hAnsi="Roboto"/>
          <w:sz w:val="20"/>
          <w:szCs w:val="20"/>
          <w:lang w:val="en-US"/>
        </w:rPr>
        <w:t xml:space="preserve">, S. et al. (2011). From game design elements to </w:t>
      </w:r>
      <w:proofErr w:type="spellStart"/>
      <w:r w:rsidRPr="0041480A">
        <w:rPr>
          <w:rFonts w:ascii="Roboto" w:hAnsi="Roboto"/>
          <w:sz w:val="20"/>
          <w:szCs w:val="20"/>
          <w:lang w:val="en-US"/>
        </w:rPr>
        <w:t>gamefulness</w:t>
      </w:r>
      <w:proofErr w:type="spellEnd"/>
      <w:r w:rsidRPr="0041480A">
        <w:rPr>
          <w:rFonts w:ascii="Roboto" w:hAnsi="Roboto"/>
          <w:sz w:val="20"/>
          <w:szCs w:val="20"/>
          <w:lang w:val="en-US"/>
        </w:rPr>
        <w:t xml:space="preserve">: Defining gamification. </w:t>
      </w:r>
      <w:proofErr w:type="spellStart"/>
      <w:r w:rsidRPr="0041480A">
        <w:rPr>
          <w:rFonts w:ascii="Roboto" w:hAnsi="Roboto"/>
          <w:sz w:val="20"/>
          <w:szCs w:val="20"/>
          <w:lang w:val="en-US"/>
        </w:rPr>
        <w:t>MindTrek</w:t>
      </w:r>
      <w:proofErr w:type="spellEnd"/>
      <w:r w:rsidRPr="0041480A">
        <w:rPr>
          <w:rFonts w:ascii="Roboto" w:hAnsi="Roboto"/>
          <w:sz w:val="20"/>
          <w:szCs w:val="20"/>
          <w:lang w:val="en-US"/>
        </w:rPr>
        <w:t xml:space="preserve"> Conference.</w:t>
      </w:r>
    </w:p>
    <w:p w14:paraId="688435DF" w14:textId="77777777" w:rsidR="0041480A" w:rsidRDefault="0041480A" w:rsidP="006A6831">
      <w:pPr>
        <w:rPr>
          <w:rFonts w:ascii="Roboto" w:hAnsi="Roboto"/>
          <w:sz w:val="20"/>
          <w:szCs w:val="20"/>
          <w:lang w:val="en-US"/>
        </w:rPr>
      </w:pPr>
    </w:p>
    <w:p w14:paraId="6C618949" w14:textId="105E735B" w:rsidR="0041480A" w:rsidRDefault="0041480A" w:rsidP="006A6831">
      <w:pPr>
        <w:rPr>
          <w:rFonts w:ascii="Roboto" w:hAnsi="Roboto"/>
          <w:sz w:val="20"/>
          <w:szCs w:val="20"/>
          <w:lang w:val="en-US"/>
        </w:rPr>
      </w:pPr>
      <w:proofErr w:type="spellStart"/>
      <w:r w:rsidRPr="0041480A">
        <w:rPr>
          <w:rFonts w:ascii="Roboto" w:hAnsi="Roboto"/>
          <w:sz w:val="20"/>
          <w:szCs w:val="20"/>
          <w:lang w:val="en-US"/>
        </w:rPr>
        <w:t>Kotsopoulos</w:t>
      </w:r>
      <w:proofErr w:type="spellEnd"/>
      <w:r w:rsidRPr="0041480A">
        <w:rPr>
          <w:rFonts w:ascii="Roboto" w:hAnsi="Roboto"/>
          <w:sz w:val="20"/>
          <w:szCs w:val="20"/>
          <w:lang w:val="en-US"/>
        </w:rPr>
        <w:t xml:space="preserve">, K. I., </w:t>
      </w:r>
      <w:proofErr w:type="spellStart"/>
      <w:r w:rsidRPr="0041480A">
        <w:rPr>
          <w:rFonts w:ascii="Roboto" w:hAnsi="Roboto"/>
          <w:sz w:val="20"/>
          <w:szCs w:val="20"/>
          <w:lang w:val="en-US"/>
        </w:rPr>
        <w:t>Chourdaki</w:t>
      </w:r>
      <w:proofErr w:type="spellEnd"/>
      <w:r w:rsidRPr="0041480A">
        <w:rPr>
          <w:rFonts w:ascii="Roboto" w:hAnsi="Roboto"/>
          <w:sz w:val="20"/>
          <w:szCs w:val="20"/>
          <w:lang w:val="en-US"/>
        </w:rPr>
        <w:t xml:space="preserve">, P., </w:t>
      </w:r>
      <w:proofErr w:type="spellStart"/>
      <w:r w:rsidRPr="0041480A">
        <w:rPr>
          <w:rFonts w:ascii="Roboto" w:hAnsi="Roboto"/>
          <w:sz w:val="20"/>
          <w:szCs w:val="20"/>
          <w:lang w:val="en-US"/>
        </w:rPr>
        <w:t>Tsolis</w:t>
      </w:r>
      <w:proofErr w:type="spellEnd"/>
      <w:r w:rsidRPr="0041480A">
        <w:rPr>
          <w:rFonts w:ascii="Roboto" w:hAnsi="Roboto"/>
          <w:sz w:val="20"/>
          <w:szCs w:val="20"/>
          <w:lang w:val="en-US"/>
        </w:rPr>
        <w:t xml:space="preserve">, D., Antoniadis, R., </w:t>
      </w:r>
      <w:proofErr w:type="spellStart"/>
      <w:r w:rsidRPr="0041480A">
        <w:rPr>
          <w:rFonts w:ascii="Roboto" w:hAnsi="Roboto"/>
          <w:sz w:val="20"/>
          <w:szCs w:val="20"/>
          <w:lang w:val="en-US"/>
        </w:rPr>
        <w:t>Pavlidis</w:t>
      </w:r>
      <w:proofErr w:type="spellEnd"/>
      <w:r w:rsidRPr="0041480A">
        <w:rPr>
          <w:rFonts w:ascii="Roboto" w:hAnsi="Roboto"/>
          <w:sz w:val="20"/>
          <w:szCs w:val="20"/>
          <w:lang w:val="en-US"/>
        </w:rPr>
        <w:t xml:space="preserve">, G., &amp; </w:t>
      </w:r>
      <w:proofErr w:type="spellStart"/>
      <w:r w:rsidRPr="0041480A">
        <w:rPr>
          <w:rFonts w:ascii="Roboto" w:hAnsi="Roboto"/>
          <w:sz w:val="20"/>
          <w:szCs w:val="20"/>
          <w:lang w:val="en-US"/>
        </w:rPr>
        <w:t>Assimakopoulos</w:t>
      </w:r>
      <w:proofErr w:type="spellEnd"/>
      <w:r w:rsidRPr="0041480A">
        <w:rPr>
          <w:rFonts w:ascii="Roboto" w:hAnsi="Roboto"/>
          <w:sz w:val="20"/>
          <w:szCs w:val="20"/>
          <w:lang w:val="en-US"/>
        </w:rPr>
        <w:t>, N. (2024). An authoring platform for developing smart apps which elevate cultural heritage experiences: A system dynamics approach in gamification. Journal of Ambient Intelligence and Humanized Computing, 15(2), 1679–1695. https://doi.org/10.1007/s12652-019-01505-w</w:t>
      </w:r>
    </w:p>
    <w:p w14:paraId="4FB628AA" w14:textId="77777777" w:rsidR="0041480A" w:rsidRDefault="0041480A" w:rsidP="006A6831">
      <w:pPr>
        <w:rPr>
          <w:rFonts w:ascii="Roboto" w:hAnsi="Roboto"/>
          <w:sz w:val="20"/>
          <w:szCs w:val="20"/>
          <w:lang w:val="en-US"/>
        </w:rPr>
      </w:pPr>
    </w:p>
    <w:p w14:paraId="04AA8D6F" w14:textId="7B661606" w:rsidR="0041480A" w:rsidRDefault="0041480A" w:rsidP="006A6831">
      <w:pPr>
        <w:rPr>
          <w:rFonts w:ascii="Roboto" w:hAnsi="Roboto"/>
          <w:sz w:val="20"/>
          <w:szCs w:val="20"/>
        </w:rPr>
      </w:pPr>
      <w:r w:rsidRPr="0041480A">
        <w:rPr>
          <w:rFonts w:ascii="Roboto" w:hAnsi="Roboto"/>
          <w:sz w:val="20"/>
          <w:szCs w:val="20"/>
        </w:rPr>
        <w:t xml:space="preserve">Marques, M. M., &amp; Pombo, L. (2023). </w:t>
      </w:r>
      <w:r w:rsidRPr="0041480A">
        <w:rPr>
          <w:rFonts w:ascii="Roboto" w:hAnsi="Roboto"/>
          <w:sz w:val="20"/>
          <w:szCs w:val="20"/>
          <w:lang w:val="en-US"/>
        </w:rPr>
        <w:t xml:space="preserve">User Experience of a Mobile App in a City Tour Game for International Doctoral Students. </w:t>
      </w:r>
      <w:r w:rsidRPr="0041480A">
        <w:rPr>
          <w:rFonts w:ascii="Roboto" w:hAnsi="Roboto"/>
          <w:sz w:val="20"/>
          <w:szCs w:val="20"/>
        </w:rPr>
        <w:t>Education Sciences, 13(12). https://doi.org/10.3390/educsci13121221</w:t>
      </w:r>
    </w:p>
    <w:p w14:paraId="2B6C2CDE" w14:textId="77777777" w:rsidR="0041480A" w:rsidRDefault="0041480A" w:rsidP="006A6831">
      <w:pPr>
        <w:rPr>
          <w:rFonts w:ascii="Roboto" w:hAnsi="Roboto"/>
          <w:sz w:val="20"/>
          <w:szCs w:val="20"/>
        </w:rPr>
      </w:pPr>
    </w:p>
    <w:p w14:paraId="782DCE57" w14:textId="2010F05B" w:rsidR="006A6831" w:rsidRPr="0041480A" w:rsidRDefault="0041480A" w:rsidP="006A6831">
      <w:pPr>
        <w:rPr>
          <w:rFonts w:ascii="Roboto" w:eastAsia="Roboto" w:hAnsi="Roboto" w:cs="Roboto"/>
          <w:sz w:val="20"/>
          <w:szCs w:val="20"/>
          <w:lang w:val="en-US"/>
        </w:rPr>
        <w:sectPr w:rsidR="006A6831" w:rsidRPr="0041480A">
          <w:type w:val="continuous"/>
          <w:pgSz w:w="11906" w:h="16838"/>
          <w:pgMar w:top="1134" w:right="851" w:bottom="1134" w:left="851" w:header="357" w:footer="720" w:gutter="0"/>
          <w:cols w:num="2" w:space="720" w:equalWidth="0">
            <w:col w:w="4934" w:space="335"/>
            <w:col w:w="4934" w:space="0"/>
          </w:cols>
        </w:sectPr>
      </w:pPr>
      <w:r w:rsidRPr="0041480A">
        <w:rPr>
          <w:rFonts w:ascii="Roboto" w:eastAsia="Roboto" w:hAnsi="Roboto" w:cs="Roboto"/>
          <w:sz w:val="20"/>
          <w:szCs w:val="20"/>
          <w:lang w:val="en-US"/>
        </w:rPr>
        <w:t>Wei, Z., Zhang, J., Huang, X., &amp; Qiu, H. (2023). Can gamification improve the virtual reality tourism experience? Analyzing the mediating role of tourism fatigue. Tourism Management, 96. https://doi.org/10.1016/j.tourman.2022.104715</w:t>
      </w:r>
    </w:p>
    <w:p w14:paraId="30DE501E" w14:textId="77777777" w:rsidR="00840355"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Declaración de originalidad y autorización de publicación</w:t>
      </w:r>
    </w:p>
    <w:p w14:paraId="5BB468F6" w14:textId="77777777" w:rsidR="00840355"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332B8BF2"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28A48FF1" w14:textId="77777777" w:rsidR="0084035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4C32DFE6"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56C4621B" w14:textId="77777777" w:rsidR="0084035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46F480B2"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2CFA132B" w14:textId="77777777" w:rsidR="0084035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10BE1EAF"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68ABCCAE" w14:textId="77777777" w:rsidR="00840355"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21D81664" w14:textId="77777777" w:rsidR="00840355"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79DFB25F" w14:textId="77777777" w:rsidR="00840355"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15CAE19F" w14:textId="77777777" w:rsidR="00840355"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233E5506" w14:textId="77777777" w:rsidR="0084035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29508CDD"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1238D148" w14:textId="77777777" w:rsidR="00840355"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28C16637" w14:textId="77777777" w:rsidR="00840355"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1E7B0228" w14:textId="77777777" w:rsidR="00840355"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700E7884" w14:textId="77777777" w:rsidR="0084035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763264CC"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0651E843" w14:textId="77777777" w:rsidR="00840355"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0F481973" w14:textId="77777777"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5C0512B6" w14:textId="34AB6EFD" w:rsidR="00840355"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  </w:t>
      </w:r>
      <w:r w:rsidRPr="00B71D23">
        <w:rPr>
          <w:rFonts w:ascii="Roboto" w:eastAsia="Roboto" w:hAnsi="Roboto" w:cs="Roboto"/>
          <w:b/>
          <w:bCs/>
          <w:color w:val="C00000"/>
          <w:sz w:val="20"/>
          <w:szCs w:val="20"/>
        </w:rPr>
        <w:t>X</w:t>
      </w:r>
      <w:r>
        <w:rPr>
          <w:rFonts w:ascii="Roboto" w:eastAsia="Roboto" w:hAnsi="Roboto" w:cs="Roboto"/>
          <w:sz w:val="20"/>
          <w:szCs w:val="20"/>
        </w:rPr>
        <w:t xml:space="preserve">  )  Declaro que he leído y acepto los términos de esta declaración y autorización de publicación.</w:t>
      </w:r>
    </w:p>
    <w:p w14:paraId="49ABCA53" w14:textId="0EA78E80" w:rsidR="00840355" w:rsidRPr="0041480A" w:rsidRDefault="00000000" w:rsidP="0041480A">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sz w:val="20"/>
          <w:szCs w:val="20"/>
        </w:rPr>
        <w:t>Autor responsable:</w:t>
      </w:r>
      <w:r w:rsidR="00B71D23">
        <w:rPr>
          <w:rFonts w:ascii="Roboto" w:eastAsia="Roboto" w:hAnsi="Roboto" w:cs="Roboto"/>
          <w:b/>
          <w:bCs/>
          <w:sz w:val="20"/>
          <w:szCs w:val="20"/>
        </w:rPr>
        <w:t xml:space="preserve"> </w:t>
      </w:r>
      <w:r w:rsidR="00B71D23" w:rsidRPr="00B71D23">
        <w:rPr>
          <w:rFonts w:ascii="Roboto" w:eastAsia="Roboto" w:hAnsi="Roboto" w:cs="Roboto"/>
          <w:sz w:val="20"/>
          <w:szCs w:val="20"/>
        </w:rPr>
        <w:t>Dr. Alberto Peralta de Legarreta</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B71D23">
        <w:rPr>
          <w:rFonts w:ascii="Roboto" w:eastAsia="Roboto" w:hAnsi="Roboto" w:cs="Roboto"/>
          <w:b/>
          <w:bCs/>
          <w:sz w:val="20"/>
          <w:szCs w:val="20"/>
        </w:rPr>
        <w:t xml:space="preserve"> </w:t>
      </w:r>
      <w:r w:rsidR="00B71D23" w:rsidRPr="00B71D23">
        <w:rPr>
          <w:rFonts w:ascii="Roboto" w:eastAsia="Roboto" w:hAnsi="Roboto" w:cs="Roboto"/>
          <w:sz w:val="20"/>
          <w:szCs w:val="20"/>
        </w:rPr>
        <w:t>Universidad Anáhuac México/Facultad de Turismo y Gastronomía</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r w:rsidR="00B71D23" w:rsidRPr="00B71D23">
        <w:rPr>
          <w:rFonts w:ascii="Roboto" w:eastAsia="Roboto" w:hAnsi="Roboto" w:cs="Roboto"/>
          <w:b/>
          <w:bCs/>
          <w:color w:val="000000"/>
        </w:rPr>
        <w:t xml:space="preserve"> </w:t>
      </w:r>
      <w:r w:rsidR="00B71D23" w:rsidRPr="00B71D23">
        <w:rPr>
          <w:rFonts w:ascii="Roboto" w:eastAsia="Roboto" w:hAnsi="Roboto" w:cs="Roboto"/>
          <w:color w:val="000000"/>
          <w:sz w:val="20"/>
          <w:szCs w:val="20"/>
        </w:rPr>
        <w:t>Gamificación en la experiencia turística</w:t>
      </w:r>
      <w:r w:rsidR="00B71D23" w:rsidRPr="00B71D23">
        <w:rPr>
          <w:rFonts w:ascii="Roboto" w:eastAsia="Roboto" w:hAnsi="Roboto" w:cs="Roboto"/>
          <w:color w:val="000000"/>
          <w:sz w:val="20"/>
          <w:szCs w:val="20"/>
        </w:rPr>
        <w:t>. Dr. Alberto Peralta de Legarreta y Dra. Blanca Estela Correa Guevara</w:t>
      </w:r>
      <w:r w:rsidR="00B71D23" w:rsidRPr="00B71D23">
        <w:rPr>
          <w:rFonts w:ascii="Roboto" w:eastAsia="Roboto" w:hAnsi="Roboto" w:cs="Roboto"/>
          <w:b/>
          <w:bCs/>
          <w:color w:val="000000"/>
          <w:sz w:val="20"/>
          <w:szCs w:val="20"/>
        </w:rPr>
        <w:t xml:space="preserve"> </w:t>
      </w:r>
    </w:p>
    <w:sectPr w:rsidR="00840355" w:rsidRPr="0041480A">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D36277" w14:textId="77777777" w:rsidR="00280E05" w:rsidRDefault="00280E05">
      <w:r>
        <w:separator/>
      </w:r>
    </w:p>
  </w:endnote>
  <w:endnote w:type="continuationSeparator" w:id="0">
    <w:p w14:paraId="6111F350" w14:textId="77777777" w:rsidR="00280E05" w:rsidRDefault="00280E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embedRegular r:id="rId1" w:fontKey="{10A2BA99-9A0E-8340-9387-4D083A48F58A}"/>
    <w:embedBold r:id="rId2" w:fontKey="{6A771042-A59B-3744-AF51-A6928EFE02BF}"/>
    <w:embedItalic r:id="rId3" w:fontKey="{D49F57DD-1264-AD48-8973-49791ADD5A69}"/>
  </w:font>
  <w:font w:name="Calibri">
    <w:panose1 w:val="020F0502020204030204"/>
    <w:charset w:val="00"/>
    <w:family w:val="swiss"/>
    <w:pitch w:val="variable"/>
    <w:sig w:usb0="E0002AFF" w:usb1="C000247B" w:usb2="00000009" w:usb3="00000000" w:csb0="000001FF" w:csb1="00000000"/>
    <w:embedRegular r:id="rId4" w:fontKey="{CBC87A48-4766-6D4B-B1F3-F1460F0BE07C}"/>
  </w:font>
  <w:font w:name="Georgia">
    <w:panose1 w:val="02040502050405020303"/>
    <w:charset w:val="00"/>
    <w:family w:val="roman"/>
    <w:pitch w:val="variable"/>
    <w:sig w:usb0="00000287" w:usb1="00000000" w:usb2="00000000" w:usb3="00000000" w:csb0="0000009F" w:csb1="00000000"/>
    <w:embedItalic r:id="rId5" w:fontKey="{CC972928-1DAC-CF4E-879B-A11CC4BB7556}"/>
  </w:font>
  <w:font w:name="Roboto">
    <w:panose1 w:val="020B0604020202020204"/>
    <w:charset w:val="00"/>
    <w:family w:val="auto"/>
    <w:pitch w:val="variable"/>
    <w:sig w:usb0="E0000AFF" w:usb1="5000217F" w:usb2="00000021" w:usb3="00000000" w:csb0="0000019F" w:csb1="00000000"/>
    <w:embedRegular r:id="rId6" w:fontKey="{C1FD8EEB-D8D5-514C-BE8F-B3EE3C900EE2}"/>
    <w:embedBold r:id="rId7" w:fontKey="{77A66FC1-366E-C246-874E-C5FBFF25C6A4}"/>
  </w:font>
  <w:font w:name="Calibri Light">
    <w:panose1 w:val="020F0302020204030204"/>
    <w:charset w:val="00"/>
    <w:family w:val="swiss"/>
    <w:pitch w:val="variable"/>
    <w:sig w:usb0="E0002AFF" w:usb1="C000247B" w:usb2="00000009" w:usb3="00000000" w:csb0="000001FF" w:csb1="00000000"/>
    <w:embedRegular r:id="rId8" w:fontKey="{7E1ECEE6-1151-4B4D-B191-922CD7D89131}"/>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3F0737" w14:textId="77777777" w:rsidR="00280E05" w:rsidRDefault="00280E05">
      <w:r>
        <w:separator/>
      </w:r>
    </w:p>
  </w:footnote>
  <w:footnote w:type="continuationSeparator" w:id="0">
    <w:p w14:paraId="79CF4B71" w14:textId="77777777" w:rsidR="00280E05" w:rsidRDefault="00280E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624CF6" w14:textId="77777777" w:rsidR="00840355" w:rsidRDefault="00840355">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840355" w14:paraId="32CB7C17" w14:textId="77777777">
      <w:trPr>
        <w:trHeight w:val="345"/>
        <w:jc w:val="center"/>
      </w:trPr>
      <w:tc>
        <w:tcPr>
          <w:tcW w:w="6306" w:type="dxa"/>
          <w:vAlign w:val="center"/>
        </w:tcPr>
        <w:p w14:paraId="0B2F5B3A" w14:textId="77777777" w:rsidR="00840355" w:rsidRDefault="00840355">
          <w:pPr>
            <w:jc w:val="center"/>
            <w:rPr>
              <w:i/>
              <w:iCs/>
              <w:sz w:val="18"/>
              <w:szCs w:val="18"/>
            </w:rPr>
          </w:pPr>
        </w:p>
      </w:tc>
    </w:tr>
  </w:tbl>
  <w:p w14:paraId="436444CA" w14:textId="77777777" w:rsidR="00840355" w:rsidRDefault="00840355">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7221E00"/>
    <w:multiLevelType w:val="multilevel"/>
    <w:tmpl w:val="49A808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E4164F4"/>
    <w:multiLevelType w:val="multilevel"/>
    <w:tmpl w:val="42E24A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31980870">
    <w:abstractNumId w:val="0"/>
  </w:num>
  <w:num w:numId="2" w16cid:durableId="5846057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2"/>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0355"/>
    <w:rsid w:val="0024191E"/>
    <w:rsid w:val="00280E05"/>
    <w:rsid w:val="0041480A"/>
    <w:rsid w:val="0064583A"/>
    <w:rsid w:val="006A6831"/>
    <w:rsid w:val="00840355"/>
    <w:rsid w:val="00975C8C"/>
    <w:rsid w:val="00AE088C"/>
    <w:rsid w:val="00B71D23"/>
    <w:rsid w:val="00DF5BDC"/>
    <w:rsid w:val="00E81C5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4848B1"/>
  <w15:docId w15:val="{E7D56953-EF2D-D64B-BD3A-1816A36EC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86949502">
      <w:bodyDiv w:val="1"/>
      <w:marLeft w:val="0"/>
      <w:marRight w:val="0"/>
      <w:marTop w:val="0"/>
      <w:marBottom w:val="0"/>
      <w:divBdr>
        <w:top w:val="none" w:sz="0" w:space="0" w:color="auto"/>
        <w:left w:val="none" w:sz="0" w:space="0" w:color="auto"/>
        <w:bottom w:val="none" w:sz="0" w:space="0" w:color="auto"/>
        <w:right w:val="none" w:sz="0" w:space="0" w:color="auto"/>
      </w:divBdr>
      <w:divsChild>
        <w:div w:id="1338193396">
          <w:marLeft w:val="0"/>
          <w:marRight w:val="0"/>
          <w:marTop w:val="0"/>
          <w:marBottom w:val="0"/>
          <w:divBdr>
            <w:top w:val="none" w:sz="0" w:space="0" w:color="auto"/>
            <w:left w:val="none" w:sz="0" w:space="0" w:color="auto"/>
            <w:bottom w:val="none" w:sz="0" w:space="0" w:color="auto"/>
            <w:right w:val="none" w:sz="0" w:space="0" w:color="auto"/>
          </w:divBdr>
        </w:div>
        <w:div w:id="1754819996">
          <w:marLeft w:val="0"/>
          <w:marRight w:val="0"/>
          <w:marTop w:val="0"/>
          <w:marBottom w:val="0"/>
          <w:divBdr>
            <w:top w:val="none" w:sz="0" w:space="0" w:color="auto"/>
            <w:left w:val="none" w:sz="0" w:space="0" w:color="auto"/>
            <w:bottom w:val="none" w:sz="0" w:space="0" w:color="auto"/>
            <w:right w:val="none" w:sz="0" w:space="0" w:color="auto"/>
          </w:divBdr>
        </w:div>
      </w:divsChild>
    </w:div>
    <w:div w:id="837693274">
      <w:bodyDiv w:val="1"/>
      <w:marLeft w:val="0"/>
      <w:marRight w:val="0"/>
      <w:marTop w:val="0"/>
      <w:marBottom w:val="0"/>
      <w:divBdr>
        <w:top w:val="none" w:sz="0" w:space="0" w:color="auto"/>
        <w:left w:val="none" w:sz="0" w:space="0" w:color="auto"/>
        <w:bottom w:val="none" w:sz="0" w:space="0" w:color="auto"/>
        <w:right w:val="none" w:sz="0" w:space="0" w:color="auto"/>
      </w:divBdr>
      <w:divsChild>
        <w:div w:id="1787500496">
          <w:marLeft w:val="0"/>
          <w:marRight w:val="0"/>
          <w:marTop w:val="0"/>
          <w:marBottom w:val="0"/>
          <w:divBdr>
            <w:top w:val="none" w:sz="0" w:space="0" w:color="auto"/>
            <w:left w:val="none" w:sz="0" w:space="0" w:color="auto"/>
            <w:bottom w:val="none" w:sz="0" w:space="0" w:color="auto"/>
            <w:right w:val="none" w:sz="0" w:space="0" w:color="auto"/>
          </w:divBdr>
        </w:div>
        <w:div w:id="54502341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3</Pages>
  <Words>1478</Words>
  <Characters>8130</Characters>
  <Application>Microsoft Office Word</Application>
  <DocSecurity>0</DocSecurity>
  <Lines>67</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Alberto Peralta De Legarreta</cp:lastModifiedBy>
  <cp:revision>4</cp:revision>
  <dcterms:created xsi:type="dcterms:W3CDTF">2025-09-09T17:06:00Z</dcterms:created>
  <dcterms:modified xsi:type="dcterms:W3CDTF">2026-03-24T23:27:00Z</dcterms:modified>
</cp:coreProperties>
</file>