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340F1" w:rsidRDefault="004647E1">
      <w:pPr>
        <w:pBdr>
          <w:top w:val="nil"/>
          <w:left w:val="nil"/>
          <w:bottom w:val="nil"/>
          <w:right w:val="nil"/>
          <w:between w:val="nil"/>
        </w:pBdr>
        <w:spacing w:before="120" w:after="120"/>
        <w:jc w:val="center"/>
        <w:rPr>
          <w:rFonts w:ascii="Roboto" w:eastAsia="Roboto" w:hAnsi="Roboto" w:cs="Roboto"/>
          <w:b/>
          <w:color w:val="000000"/>
        </w:rPr>
      </w:pPr>
      <w:bookmarkStart w:id="0" w:name="_Hlk224745375"/>
      <w:bookmarkStart w:id="1" w:name="_Hlk224747164"/>
      <w:bookmarkStart w:id="2" w:name="_Hlk224746899"/>
      <w:bookmarkEnd w:id="0"/>
      <w:r>
        <w:rPr>
          <w:rFonts w:ascii="Roboto" w:eastAsia="Roboto" w:hAnsi="Roboto" w:cs="Roboto"/>
          <w:b/>
          <w:color w:val="000000"/>
        </w:rPr>
        <w:t xml:space="preserve">Neuromodulación no invasiva para el tratamiento de la espasticidad en </w:t>
      </w:r>
      <w:r w:rsidR="005074C2">
        <w:rPr>
          <w:rFonts w:ascii="Roboto" w:eastAsia="Roboto" w:hAnsi="Roboto" w:cs="Roboto"/>
          <w:b/>
          <w:color w:val="000000"/>
        </w:rPr>
        <w:t>sujetos con</w:t>
      </w:r>
      <w:r>
        <w:rPr>
          <w:rFonts w:ascii="Roboto" w:eastAsia="Roboto" w:hAnsi="Roboto" w:cs="Roboto"/>
          <w:b/>
          <w:color w:val="000000"/>
        </w:rPr>
        <w:t xml:space="preserve"> lesión de médula espinal crónica</w:t>
      </w:r>
    </w:p>
    <w:p w:rsidR="004340F1" w:rsidRDefault="006D3053">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Bailey-Douek J.</w:t>
      </w:r>
      <w:r>
        <w:rPr>
          <w:rFonts w:ascii="Roboto" w:eastAsia="Roboto" w:hAnsi="Roboto" w:cs="Roboto"/>
          <w:b/>
          <w:color w:val="000000"/>
          <w:sz w:val="20"/>
          <w:szCs w:val="20"/>
          <w:vertAlign w:val="superscript"/>
        </w:rPr>
        <w:t>1</w:t>
      </w:r>
      <w:r>
        <w:rPr>
          <w:rFonts w:ascii="Roboto" w:eastAsia="Roboto" w:hAnsi="Roboto" w:cs="Roboto"/>
          <w:b/>
          <w:color w:val="000000"/>
          <w:sz w:val="20"/>
          <w:szCs w:val="20"/>
        </w:rPr>
        <w:t xml:space="preserve">, </w:t>
      </w:r>
      <w:r w:rsidR="00B90E53">
        <w:rPr>
          <w:rFonts w:ascii="Roboto" w:eastAsia="Roboto" w:hAnsi="Roboto" w:cs="Roboto"/>
          <w:b/>
          <w:color w:val="000000"/>
          <w:sz w:val="20"/>
          <w:szCs w:val="20"/>
        </w:rPr>
        <w:t>Reyes-Arellano F.</w:t>
      </w:r>
      <w:r w:rsidR="00B90E53">
        <w:rPr>
          <w:rFonts w:ascii="Roboto" w:eastAsia="Roboto" w:hAnsi="Roboto" w:cs="Roboto"/>
          <w:b/>
          <w:color w:val="000000"/>
          <w:sz w:val="20"/>
          <w:szCs w:val="20"/>
          <w:vertAlign w:val="superscript"/>
        </w:rPr>
        <w:t>1</w:t>
      </w:r>
      <w:r w:rsidR="00B90E53">
        <w:rPr>
          <w:rFonts w:ascii="Roboto" w:eastAsia="Roboto" w:hAnsi="Roboto" w:cs="Roboto"/>
          <w:b/>
          <w:color w:val="000000"/>
          <w:sz w:val="20"/>
          <w:szCs w:val="20"/>
        </w:rPr>
        <w:t>Sampieri-</w:t>
      </w:r>
      <w:r w:rsidR="00732856">
        <w:rPr>
          <w:rFonts w:ascii="Roboto" w:eastAsia="Roboto" w:hAnsi="Roboto" w:cs="Roboto"/>
          <w:b/>
          <w:color w:val="000000"/>
          <w:sz w:val="20"/>
          <w:szCs w:val="20"/>
        </w:rPr>
        <w:t>Zermeño</w:t>
      </w:r>
      <w:bookmarkStart w:id="3" w:name="_GoBack"/>
      <w:bookmarkEnd w:id="3"/>
      <w:r w:rsidR="00B90E53">
        <w:rPr>
          <w:rFonts w:ascii="Roboto" w:eastAsia="Roboto" w:hAnsi="Roboto" w:cs="Roboto"/>
          <w:b/>
          <w:color w:val="000000"/>
          <w:sz w:val="20"/>
          <w:szCs w:val="20"/>
        </w:rPr>
        <w:t xml:space="preserve"> E.</w:t>
      </w:r>
      <w:r w:rsidR="00B90E53">
        <w:rPr>
          <w:rFonts w:ascii="Roboto" w:eastAsia="Roboto" w:hAnsi="Roboto" w:cs="Roboto"/>
          <w:b/>
          <w:color w:val="000000"/>
          <w:sz w:val="20"/>
          <w:szCs w:val="20"/>
          <w:vertAlign w:val="superscript"/>
        </w:rPr>
        <w:t>1</w:t>
      </w:r>
      <w:r w:rsidR="00B90E53">
        <w:rPr>
          <w:rFonts w:ascii="Roboto" w:eastAsia="Roboto" w:hAnsi="Roboto" w:cs="Roboto"/>
          <w:b/>
          <w:color w:val="000000"/>
          <w:sz w:val="20"/>
          <w:szCs w:val="20"/>
        </w:rPr>
        <w:t>,</w:t>
      </w:r>
      <w:r w:rsidR="006B1112">
        <w:rPr>
          <w:rFonts w:ascii="Roboto" w:eastAsia="Roboto" w:hAnsi="Roboto" w:cs="Roboto"/>
          <w:b/>
          <w:color w:val="000000"/>
          <w:sz w:val="20"/>
          <w:szCs w:val="20"/>
        </w:rPr>
        <w:t xml:space="preserve"> </w:t>
      </w:r>
      <w:r w:rsidR="00B90E53">
        <w:rPr>
          <w:rFonts w:ascii="Roboto" w:eastAsia="Roboto" w:hAnsi="Roboto" w:cs="Roboto"/>
          <w:b/>
          <w:color w:val="000000"/>
          <w:sz w:val="20"/>
          <w:szCs w:val="20"/>
        </w:rPr>
        <w:t>Bailey-Douek F.</w:t>
      </w:r>
      <w:r w:rsidR="00B90E53">
        <w:rPr>
          <w:rFonts w:ascii="Roboto" w:eastAsia="Roboto" w:hAnsi="Roboto" w:cs="Roboto"/>
          <w:b/>
          <w:color w:val="000000"/>
          <w:sz w:val="20"/>
          <w:szCs w:val="20"/>
          <w:vertAlign w:val="superscript"/>
        </w:rPr>
        <w:t>1</w:t>
      </w:r>
      <w:r w:rsidR="006A5DF5">
        <w:rPr>
          <w:rFonts w:ascii="Roboto" w:eastAsia="Roboto" w:hAnsi="Roboto" w:cs="Roboto"/>
          <w:b/>
          <w:color w:val="000000"/>
          <w:sz w:val="20"/>
          <w:szCs w:val="20"/>
        </w:rPr>
        <w:t xml:space="preserve">, y </w:t>
      </w:r>
      <w:r w:rsidR="004647E1">
        <w:rPr>
          <w:rFonts w:ascii="Roboto" w:eastAsia="Roboto" w:hAnsi="Roboto" w:cs="Roboto"/>
          <w:b/>
          <w:color w:val="000000"/>
          <w:sz w:val="20"/>
          <w:szCs w:val="20"/>
        </w:rPr>
        <w:t>Cuellar-Ramos C.</w:t>
      </w:r>
      <w:r w:rsidR="00D35300">
        <w:rPr>
          <w:rFonts w:ascii="Roboto" w:eastAsia="Roboto" w:hAnsi="Roboto" w:cs="Roboto"/>
          <w:b/>
          <w:color w:val="000000"/>
          <w:sz w:val="20"/>
          <w:szCs w:val="20"/>
          <w:vertAlign w:val="superscript"/>
        </w:rPr>
        <w:t>2</w:t>
      </w:r>
      <w:r w:rsidR="006A5DF5">
        <w:rPr>
          <w:rFonts w:ascii="Roboto" w:eastAsia="Roboto" w:hAnsi="Roboto" w:cs="Roboto"/>
          <w:b/>
          <w:color w:val="000000"/>
          <w:sz w:val="20"/>
          <w:szCs w:val="20"/>
          <w:vertAlign w:val="superscript"/>
        </w:rPr>
        <w:t>*</w:t>
      </w:r>
    </w:p>
    <w:bookmarkEnd w:id="1"/>
    <w:p w:rsidR="004340F1" w:rsidRDefault="006A5DF5">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D35300">
        <w:rPr>
          <w:rFonts w:ascii="Roboto" w:eastAsia="Roboto" w:hAnsi="Roboto" w:cs="Roboto"/>
          <w:color w:val="000000"/>
          <w:sz w:val="18"/>
          <w:szCs w:val="18"/>
        </w:rPr>
        <w:t>Facultad de Ciencias de la Salud, Universidad Anáhuac México</w:t>
      </w:r>
      <w:r>
        <w:rPr>
          <w:rFonts w:ascii="Roboto" w:eastAsia="Roboto" w:hAnsi="Roboto" w:cs="Roboto"/>
          <w:color w:val="000000"/>
          <w:sz w:val="18"/>
          <w:szCs w:val="18"/>
        </w:rPr>
        <w:t>, ORCID</w:t>
      </w:r>
      <w:r w:rsidR="00E22313">
        <w:rPr>
          <w:rFonts w:ascii="Roboto" w:eastAsia="Roboto" w:hAnsi="Roboto" w:cs="Roboto"/>
          <w:color w:val="000000"/>
          <w:sz w:val="18"/>
          <w:szCs w:val="18"/>
        </w:rPr>
        <w:t xml:space="preserve"> </w:t>
      </w:r>
      <w:r w:rsidR="00E22313" w:rsidRPr="00E22313">
        <w:rPr>
          <w:rFonts w:ascii="Roboto" w:eastAsia="Roboto" w:hAnsi="Roboto" w:cs="Roboto"/>
          <w:color w:val="000000"/>
          <w:sz w:val="18"/>
          <w:szCs w:val="18"/>
        </w:rPr>
        <w:t>0009-0000-4016-9888</w:t>
      </w:r>
      <w:r w:rsidR="00E22313">
        <w:rPr>
          <w:rFonts w:ascii="Roboto" w:eastAsia="Roboto" w:hAnsi="Roboto" w:cs="Roboto"/>
          <w:color w:val="000000"/>
          <w:sz w:val="18"/>
          <w:szCs w:val="18"/>
        </w:rPr>
        <w:t xml:space="preserve">, </w:t>
      </w:r>
      <w:r w:rsidR="0057006C" w:rsidRPr="0057006C">
        <w:rPr>
          <w:rFonts w:ascii="Roboto" w:eastAsia="Roboto" w:hAnsi="Roboto" w:cs="Roboto"/>
          <w:color w:val="000000"/>
          <w:sz w:val="18"/>
          <w:szCs w:val="18"/>
        </w:rPr>
        <w:t>0009-0005-9367-2045</w:t>
      </w:r>
      <w:r w:rsidR="00413357">
        <w:rPr>
          <w:rFonts w:ascii="Roboto" w:eastAsia="Roboto" w:hAnsi="Roboto" w:cs="Roboto"/>
          <w:color w:val="000000"/>
          <w:sz w:val="18"/>
          <w:szCs w:val="18"/>
        </w:rPr>
        <w:t>,</w:t>
      </w:r>
      <w:r w:rsidR="0057006C">
        <w:rPr>
          <w:rFonts w:ascii="Roboto" w:eastAsia="Roboto" w:hAnsi="Roboto" w:cs="Roboto"/>
          <w:color w:val="000000"/>
          <w:sz w:val="18"/>
          <w:szCs w:val="18"/>
        </w:rPr>
        <w:t xml:space="preserve"> </w:t>
      </w:r>
      <w:r w:rsidR="00160462" w:rsidRPr="00160462">
        <w:rPr>
          <w:rFonts w:ascii="Roboto" w:eastAsia="Roboto" w:hAnsi="Roboto" w:cs="Roboto"/>
          <w:color w:val="000000"/>
          <w:sz w:val="18"/>
          <w:szCs w:val="18"/>
        </w:rPr>
        <w:t>0009-0006-5158-4837</w:t>
      </w:r>
      <w:r w:rsidR="00160462">
        <w:rPr>
          <w:rFonts w:ascii="Roboto" w:eastAsia="Roboto" w:hAnsi="Roboto" w:cs="Roboto"/>
          <w:color w:val="000000"/>
          <w:sz w:val="18"/>
          <w:szCs w:val="18"/>
        </w:rPr>
        <w:t>,</w:t>
      </w:r>
      <w:r w:rsidR="00413357">
        <w:rPr>
          <w:rFonts w:ascii="Roboto" w:eastAsia="Roboto" w:hAnsi="Roboto" w:cs="Roboto"/>
          <w:color w:val="000000"/>
          <w:sz w:val="18"/>
          <w:szCs w:val="18"/>
        </w:rPr>
        <w:t xml:space="preserve"> 0009-0008-6568-5131</w:t>
      </w:r>
    </w:p>
    <w:p w:rsidR="004340F1" w:rsidRDefault="006A5DF5">
      <w:pPr>
        <w:jc w:val="center"/>
        <w:rPr>
          <w:rFonts w:ascii="Roboto" w:eastAsia="Roboto" w:hAnsi="Roboto" w:cs="Roboto"/>
          <w:sz w:val="18"/>
          <w:szCs w:val="18"/>
        </w:rPr>
      </w:pPr>
      <w:r>
        <w:rPr>
          <w:rFonts w:ascii="Roboto" w:eastAsia="Roboto" w:hAnsi="Roboto" w:cs="Roboto"/>
          <w:sz w:val="18"/>
          <w:szCs w:val="18"/>
          <w:vertAlign w:val="superscript"/>
        </w:rPr>
        <w:t>2</w:t>
      </w:r>
      <w:r w:rsidR="00D35300">
        <w:rPr>
          <w:rFonts w:ascii="Roboto" w:eastAsia="Roboto" w:hAnsi="Roboto" w:cs="Roboto"/>
          <w:sz w:val="18"/>
          <w:szCs w:val="18"/>
        </w:rPr>
        <w:t>Escuela de Ciencias del Deporte, Universidad Anáhuac México</w:t>
      </w:r>
      <w:r>
        <w:rPr>
          <w:rFonts w:ascii="Roboto" w:eastAsia="Roboto" w:hAnsi="Roboto" w:cs="Roboto"/>
          <w:sz w:val="18"/>
          <w:szCs w:val="18"/>
        </w:rPr>
        <w:t xml:space="preserve">, </w:t>
      </w:r>
      <w:r w:rsidR="0025666F">
        <w:rPr>
          <w:rFonts w:ascii="Roboto" w:eastAsia="Roboto" w:hAnsi="Roboto" w:cs="Roboto"/>
          <w:sz w:val="18"/>
          <w:szCs w:val="18"/>
        </w:rPr>
        <w:t xml:space="preserve">ORCID </w:t>
      </w:r>
      <w:r w:rsidR="0023341C" w:rsidRPr="0023341C">
        <w:rPr>
          <w:rFonts w:ascii="Roboto" w:eastAsia="Roboto" w:hAnsi="Roboto" w:cs="Roboto"/>
          <w:sz w:val="18"/>
          <w:szCs w:val="18"/>
        </w:rPr>
        <w:t>0000-0001-9404-3914</w:t>
      </w:r>
    </w:p>
    <w:p w:rsidR="004340F1" w:rsidRDefault="006A5DF5">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D35300">
        <w:rPr>
          <w:rFonts w:ascii="Roboto" w:eastAsia="Roboto" w:hAnsi="Roboto" w:cs="Roboto"/>
          <w:sz w:val="18"/>
          <w:szCs w:val="18"/>
        </w:rPr>
        <w:t>carlos.cuellarra@anahuac.mx</w:t>
      </w:r>
      <w:r>
        <w:rPr>
          <w:rFonts w:ascii="Roboto" w:eastAsia="Roboto" w:hAnsi="Roboto" w:cs="Roboto"/>
          <w:sz w:val="18"/>
          <w:szCs w:val="18"/>
        </w:rPr>
        <w:t>)</w:t>
      </w:r>
    </w:p>
    <w:p w:rsidR="004340F1" w:rsidRDefault="00426AD1">
      <w:pPr>
        <w:spacing w:before="60"/>
        <w:jc w:val="center"/>
        <w:rPr>
          <w:rFonts w:ascii="Roboto" w:eastAsia="Roboto" w:hAnsi="Roboto" w:cs="Roboto"/>
          <w:sz w:val="18"/>
          <w:szCs w:val="18"/>
        </w:rPr>
        <w:sectPr w:rsidR="004340F1">
          <w:headerReference w:type="default" r:id="rId8"/>
          <w:pgSz w:w="11906" w:h="16838"/>
          <w:pgMar w:top="851" w:right="851" w:bottom="828" w:left="851" w:header="357" w:footer="720" w:gutter="0"/>
          <w:pgNumType w:start="1"/>
          <w:cols w:space="720"/>
        </w:sectPr>
      </w:pPr>
      <w:r>
        <w:pict>
          <v:rect id="_x0000_i1025" style="width:0;height:1.5pt" o:hralign="center" o:hrstd="t" o:hr="t" fillcolor="#a0a0a0" stroked="f"/>
        </w:pict>
      </w:r>
    </w:p>
    <w:p w:rsidR="004340F1" w:rsidRDefault="00D35300">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rsidR="00553D78" w:rsidRDefault="00553D78">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La espasticidad es una manifestación común de la </w:t>
      </w:r>
      <w:r w:rsidR="00AD7E70">
        <w:rPr>
          <w:rFonts w:ascii="Roboto" w:eastAsia="Roboto" w:hAnsi="Roboto" w:cs="Roboto"/>
          <w:color w:val="000000"/>
          <w:sz w:val="20"/>
          <w:szCs w:val="20"/>
        </w:rPr>
        <w:t>lesión de médula espinal (L</w:t>
      </w:r>
      <w:r>
        <w:rPr>
          <w:rFonts w:ascii="Roboto" w:eastAsia="Roboto" w:hAnsi="Roboto" w:cs="Roboto"/>
          <w:color w:val="000000"/>
          <w:sz w:val="20"/>
          <w:szCs w:val="20"/>
        </w:rPr>
        <w:t>ME</w:t>
      </w:r>
      <w:r w:rsidR="00AD7E70">
        <w:rPr>
          <w:rFonts w:ascii="Roboto" w:eastAsia="Roboto" w:hAnsi="Roboto" w:cs="Roboto"/>
          <w:color w:val="000000"/>
          <w:sz w:val="20"/>
          <w:szCs w:val="20"/>
        </w:rPr>
        <w:t>), la cual</w:t>
      </w:r>
      <w:r>
        <w:rPr>
          <w:rFonts w:ascii="Roboto" w:eastAsia="Roboto" w:hAnsi="Roboto" w:cs="Roboto"/>
          <w:color w:val="000000"/>
          <w:sz w:val="20"/>
          <w:szCs w:val="20"/>
        </w:rPr>
        <w:t xml:space="preserve"> se caracteriza por resistencia al movimiento y rigidez, por lo que afecta la posibilidad de realizar terapia física</w:t>
      </w:r>
      <w:r w:rsidR="00185FC5">
        <w:rPr>
          <w:rFonts w:ascii="Roboto" w:eastAsia="Roboto" w:hAnsi="Roboto" w:cs="Roboto"/>
          <w:color w:val="000000"/>
          <w:sz w:val="20"/>
          <w:szCs w:val="20"/>
        </w:rPr>
        <w:t xml:space="preserve"> y</w:t>
      </w:r>
      <w:r>
        <w:rPr>
          <w:rFonts w:ascii="Roboto" w:eastAsia="Roboto" w:hAnsi="Roboto" w:cs="Roboto"/>
          <w:color w:val="000000"/>
          <w:sz w:val="20"/>
          <w:szCs w:val="20"/>
        </w:rPr>
        <w:t xml:space="preserve"> traslados. El tratamiento es farmacológico, aunque muchos pacientes desarrollan resistencia, o manifiestan efectos adversos</w:t>
      </w:r>
      <w:r w:rsidR="0057006C">
        <w:rPr>
          <w:rFonts w:ascii="Roboto" w:eastAsia="Roboto" w:hAnsi="Roboto" w:cs="Roboto"/>
          <w:color w:val="000000"/>
          <w:sz w:val="20"/>
          <w:szCs w:val="20"/>
        </w:rPr>
        <w:t xml:space="preserve"> (</w:t>
      </w:r>
      <w:r w:rsidR="00160462">
        <w:rPr>
          <w:rFonts w:ascii="Roboto" w:eastAsia="Roboto" w:hAnsi="Roboto" w:cs="Roboto"/>
          <w:color w:val="000000"/>
          <w:sz w:val="20"/>
          <w:szCs w:val="20"/>
        </w:rPr>
        <w:fldChar w:fldCharType="begin"/>
      </w:r>
      <w:r w:rsidR="00160462">
        <w:rPr>
          <w:rFonts w:ascii="Roboto" w:eastAsia="Roboto" w:hAnsi="Roboto" w:cs="Roboto"/>
          <w:color w:val="000000"/>
          <w:sz w:val="20"/>
          <w:szCs w:val="20"/>
        </w:rPr>
        <w:instrText xml:space="preserve"> ADDIN ZOTERO_ITEM CSL_CITATION {"citationID":"hvGGYaJ5","properties":{"formattedCitation":"(Nielsen et al., 2007)","plainCitation":"(Nielsen et al., 2007)","noteIndex":0},"citationItems":[{"id":882,"uris":["http://zotero.org/users/local/N4kKongb/items/7SWJ36QF"],"itemData":{"id":882,"type":"article-journal","abstract":"Abstract\n            Spasticity is a term, which was introduced to describe the velocity</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sensitive increased resistance of a limb to manipulation in subjects with lesions of descending motor pathways. This distinguishes spasticity from the changes in passive muscle properties, which are often seen in these patients, but are not velocity</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sensitive. Increased excitability of the stretch reflex is thus a central component of the definition of spasticity. This review describes changes in cellular properties and transmission in a number of spinal reflex pathways, which may explain the increased stretch reflex excitability. The review focuses mainly on results derived from the use of non</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invasive electrophysiological techniques, which have been developed during the past 20–30 years to investigate spinal neuronal networks in human subjects, but work from animal models is also considered. The reflex hyperexcitability develops over several months following the primary lesion and involves adaptation in the spinal neuronal circuitries caudal to the lesion. In animal models, changes in cellular properties (such as ‘plateau potentials’) have been reported, but the relevance of these changes to human spasticity has not been clarified. In humans, numerous studies have suggested that reduction of spinal inhibitory mechanisms (in particular that of disynaptic reciprocal inhibition) is involved. The inter</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 xml:space="preserve">subject variability of these mechanisms and the lack of objective quantitative measures of spasticity have impeded disclosure of a clear causal relationship between the alterations in the inhibitory mechanisms and the stretch reflex hyperexcitability. Techniques which make such a quantitative measure possible as well as longitudinal studies where development of reflex excitability and changes in the inhibitory mechanisms are followed over time are in great demand.","container-title":"Acta Physiologica","DOI":"10.1111/j.1748-1716.2006.01652.x","ISSN":"1748-1708, 1748-1716","issue":"2","journalAbbreviation":"Acta Physiologica","language":"en","license":"http://onlinelibrary.wiley.com/termsAndConditions#vor","page":"171-180","source":"DOI.org (Crossref)","title":"The spinal pathophysiology of spasticity – from a basic science point of view","volume":"189","author":[{"family":"Nielsen","given":"J. B."},{"family":"Crone","given":"C."},{"family":"Hultborn","given":"H."}],"issued":{"date-parts":[["2007",2]]}}}],"schema":"https://github.com/citation-style-language/schema/raw/master/csl-citation.json"} </w:instrText>
      </w:r>
      <w:r w:rsidR="00160462">
        <w:rPr>
          <w:rFonts w:ascii="Roboto" w:eastAsia="Roboto" w:hAnsi="Roboto" w:cs="Roboto"/>
          <w:color w:val="000000"/>
          <w:sz w:val="20"/>
          <w:szCs w:val="20"/>
        </w:rPr>
        <w:fldChar w:fldCharType="separate"/>
      </w:r>
      <w:r w:rsidR="00160462" w:rsidRPr="00160462">
        <w:rPr>
          <w:rFonts w:ascii="Roboto" w:eastAsia="Roboto" w:hAnsi="Roboto"/>
          <w:sz w:val="20"/>
        </w:rPr>
        <w:t>Nielsen et al., 2007)</w:t>
      </w:r>
      <w:r w:rsidR="00160462">
        <w:rPr>
          <w:rFonts w:ascii="Roboto" w:eastAsia="Roboto" w:hAnsi="Roboto" w:cs="Roboto"/>
          <w:color w:val="000000"/>
          <w:sz w:val="20"/>
          <w:szCs w:val="20"/>
        </w:rPr>
        <w:fldChar w:fldCharType="end"/>
      </w:r>
      <w:r>
        <w:rPr>
          <w:rFonts w:ascii="Roboto" w:eastAsia="Roboto" w:hAnsi="Roboto" w:cs="Roboto"/>
          <w:color w:val="000000"/>
          <w:sz w:val="20"/>
          <w:szCs w:val="20"/>
        </w:rPr>
        <w:t xml:space="preserve">. </w:t>
      </w:r>
      <w:r w:rsidR="00AD7E70">
        <w:rPr>
          <w:rFonts w:ascii="Roboto" w:eastAsia="Roboto" w:hAnsi="Roboto" w:cs="Roboto"/>
          <w:color w:val="000000"/>
          <w:sz w:val="20"/>
          <w:szCs w:val="20"/>
        </w:rPr>
        <w:t>Se ha reportado que la espasticidad tiene una prevalencia de entre el 65 al 78% entre los sujetos con LME</w:t>
      </w:r>
      <w:r w:rsidR="00160462">
        <w:rPr>
          <w:rFonts w:ascii="Roboto" w:eastAsia="Roboto" w:hAnsi="Roboto" w:cs="Roboto"/>
          <w:color w:val="000000"/>
          <w:sz w:val="20"/>
          <w:szCs w:val="20"/>
        </w:rPr>
        <w:t xml:space="preserve"> </w:t>
      </w:r>
      <w:r w:rsidR="00160462">
        <w:rPr>
          <w:rFonts w:ascii="Roboto" w:eastAsia="Roboto" w:hAnsi="Roboto" w:cs="Roboto"/>
          <w:color w:val="000000"/>
          <w:sz w:val="20"/>
          <w:szCs w:val="20"/>
        </w:rPr>
        <w:fldChar w:fldCharType="begin"/>
      </w:r>
      <w:r w:rsidR="00160462">
        <w:rPr>
          <w:rFonts w:ascii="Roboto" w:eastAsia="Roboto" w:hAnsi="Roboto" w:cs="Roboto"/>
          <w:color w:val="000000"/>
          <w:sz w:val="20"/>
          <w:szCs w:val="20"/>
        </w:rPr>
        <w:instrText xml:space="preserve"> ADDIN ZOTERO_ITEM CSL_CITATION {"citationID":"cUdzJDxN","properties":{"formattedCitation":"(Maynard et al., 1990)","plainCitation":"(Maynard et al., 1990)","noteIndex":0},"citationItems":[{"id":883,"uris":["http://zotero.org/users/local/N4kKongb/items/HRZFNZ7E"],"itemData":{"id":883,"type":"article-journal","abstract":"Two epidemiologic studies of spasticity at discharge and first annual follow-up in patients with traumatic spinal cord injury (SCI) are reported. Study 1 analyzed occurrence of spasticity and its severity for 96 subjects at one SCI center, with 67% of subjects developing spasticity by discharge and 37% receiving antispasticity medication. By follow-up, these figures were 78% and 49%, respectively. Incidence of spasticity was higher among cervical and upper thoracic than lower thoracic and lumbosacral levels of injury groups (p less than 0.001). Study 2 analyzed presence of spasticity severe enough to have warranted treatment on 466 subjects at 13 collaborating SCI centers, where 26% of subjects received treatment by discharge and 46% by follow-up. Probability of spasticity treatment was significantly related (p less than 0.05) to days from injury to discharge and level of injury group, whereas age, gender, and Frankel grade were not related. Among only cervical and upper thoracic subjects, Frankel grade was significantly related (p less than 0.01), with grades A (27%) and D (29%) being less frequently treated than grades B (50%) and C (52%). Importance of controlling the above significantly related factors is emphasized for future studies of methods to reduce incidence or severity of spasticity.","container-title":"Archives of Physical Medicine and Rehabilitation","ISSN":"0003-9993","issue":"8","journalAbbreviation":"Arch Phys Med Rehabil","language":"eng","page":"566-569","PMID":"2369291","source":"PubMed","title":"Epidemiology of spasticity following traumatic spinal cord injury","volume":"71","author":[{"family":"Maynard","given":"F. M."},{"family":"Karunas","given":"R. S."},{"family":"Waring","given":"W. P."}],"issued":{"date-parts":[["1990",7]]}}}],"schema":"https://github.com/citation-style-language/schema/raw/master/csl-citation.json"} </w:instrText>
      </w:r>
      <w:r w:rsidR="00160462">
        <w:rPr>
          <w:rFonts w:ascii="Roboto" w:eastAsia="Roboto" w:hAnsi="Roboto" w:cs="Roboto"/>
          <w:color w:val="000000"/>
          <w:sz w:val="20"/>
          <w:szCs w:val="20"/>
        </w:rPr>
        <w:fldChar w:fldCharType="separate"/>
      </w:r>
      <w:r w:rsidR="00160462" w:rsidRPr="00160462">
        <w:rPr>
          <w:rFonts w:ascii="Roboto" w:eastAsia="Roboto" w:hAnsi="Roboto"/>
          <w:sz w:val="20"/>
        </w:rPr>
        <w:t>(Maynard et al., 1990)</w:t>
      </w:r>
      <w:r w:rsidR="00160462">
        <w:rPr>
          <w:rFonts w:ascii="Roboto" w:eastAsia="Roboto" w:hAnsi="Roboto" w:cs="Roboto"/>
          <w:color w:val="000000"/>
          <w:sz w:val="20"/>
          <w:szCs w:val="20"/>
        </w:rPr>
        <w:fldChar w:fldCharType="end"/>
      </w:r>
      <w:r w:rsidR="00AD7E70">
        <w:rPr>
          <w:rFonts w:ascii="Roboto" w:eastAsia="Roboto" w:hAnsi="Roboto" w:cs="Roboto"/>
          <w:color w:val="000000"/>
          <w:sz w:val="20"/>
          <w:szCs w:val="20"/>
        </w:rPr>
        <w:t xml:space="preserve">. </w:t>
      </w:r>
      <w:r>
        <w:rPr>
          <w:rFonts w:ascii="Roboto" w:eastAsia="Roboto" w:hAnsi="Roboto" w:cs="Roboto"/>
          <w:color w:val="000000"/>
          <w:sz w:val="20"/>
          <w:szCs w:val="20"/>
        </w:rPr>
        <w:t>Recientemente, se ha reportado que la estimulación eléctrica transespinal</w:t>
      </w:r>
      <w:r w:rsidR="004741D4">
        <w:rPr>
          <w:rFonts w:ascii="Roboto" w:eastAsia="Roboto" w:hAnsi="Roboto" w:cs="Roboto"/>
          <w:color w:val="000000"/>
          <w:sz w:val="20"/>
          <w:szCs w:val="20"/>
        </w:rPr>
        <w:t xml:space="preserve"> (EET)</w:t>
      </w:r>
      <w:r w:rsidR="004E202D">
        <w:rPr>
          <w:rFonts w:ascii="Roboto" w:eastAsia="Roboto" w:hAnsi="Roboto" w:cs="Roboto"/>
          <w:color w:val="000000"/>
          <w:sz w:val="20"/>
          <w:szCs w:val="20"/>
        </w:rPr>
        <w:t xml:space="preserve"> aplicada a 50 Hz</w:t>
      </w:r>
      <w:r>
        <w:rPr>
          <w:rFonts w:ascii="Roboto" w:eastAsia="Roboto" w:hAnsi="Roboto" w:cs="Roboto"/>
          <w:color w:val="000000"/>
          <w:sz w:val="20"/>
          <w:szCs w:val="20"/>
        </w:rPr>
        <w:t>, es una estrategia de neuromodulación no invasiva</w:t>
      </w:r>
      <w:r w:rsidR="004E202D">
        <w:rPr>
          <w:rFonts w:ascii="Roboto" w:eastAsia="Roboto" w:hAnsi="Roboto" w:cs="Roboto"/>
          <w:color w:val="000000"/>
          <w:sz w:val="20"/>
          <w:szCs w:val="20"/>
        </w:rPr>
        <w:t xml:space="preserve"> que</w:t>
      </w:r>
      <w:r>
        <w:rPr>
          <w:rFonts w:ascii="Roboto" w:eastAsia="Roboto" w:hAnsi="Roboto" w:cs="Roboto"/>
          <w:color w:val="000000"/>
          <w:sz w:val="20"/>
          <w:szCs w:val="20"/>
        </w:rPr>
        <w:t xml:space="preserve"> disminuye la espasticidad en humanos</w:t>
      </w:r>
      <w:r w:rsidR="00160462">
        <w:rPr>
          <w:rFonts w:ascii="Roboto" w:eastAsia="Roboto" w:hAnsi="Roboto" w:cs="Roboto"/>
          <w:color w:val="000000"/>
          <w:sz w:val="20"/>
          <w:szCs w:val="20"/>
        </w:rPr>
        <w:t xml:space="preserve"> </w:t>
      </w:r>
      <w:r w:rsidR="00160462">
        <w:rPr>
          <w:rFonts w:ascii="Roboto" w:eastAsia="Roboto" w:hAnsi="Roboto" w:cs="Roboto"/>
          <w:color w:val="000000"/>
          <w:sz w:val="20"/>
          <w:szCs w:val="20"/>
        </w:rPr>
        <w:fldChar w:fldCharType="begin"/>
      </w:r>
      <w:r w:rsidR="00160462">
        <w:rPr>
          <w:rFonts w:ascii="Roboto" w:eastAsia="Roboto" w:hAnsi="Roboto" w:cs="Roboto"/>
          <w:color w:val="000000"/>
          <w:sz w:val="20"/>
          <w:szCs w:val="20"/>
        </w:rPr>
        <w:instrText xml:space="preserve"> ADDIN ZOTERO_ITEM CSL_CITATION {"citationID":"SP8cU4lD","properties":{"formattedCitation":"(Hofstoetter et al., 2020; Minassian et al., 2024)","plainCitation":"(Hofstoetter et al., 2020; Minassian et al., 2024)","noteIndex":0},"citationItems":[{"id":76,"uris":["http://zotero.org/users/local/N4kKongb/items/B62QZXKR"],"itemData":{"id":76,"type":"article-journal","abstract":"Epidural spinal cord stimulation (SCS) is currently regarded as a breakthrough procedure for enabling movement after spinal cord injury (SCI), yet one of its original applications was for spinal spasticity. An emergent method that activates similar target neural structures noninvasively is transcutaneous SCS. Its clinical value for spasticity control would depend on inducing carry</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over effects, because the surface</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electrode</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based approach cannot be applied chronically. We evaluated single</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session effects of transcutaneous lumbar SCS in twelve individuals with SCI by a test</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battery approach, before, immediately post</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 xml:space="preserve"> and two hours post</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intervention. Stimulation was applied for 30 minutes at 50 Hz with an intensity sub</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threshold for eliciting reflexes in lower extremity muscles. The tests included evaluations of stretch</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induced spasticity (Modified Ashworth Scale (MAS) sum score, pendulum test, electromyography</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based evaluation of tonic stretch reflexes), clonus, cutaneous</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input</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evoked spasms, and the timed 10</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meter walk test. Across participants, the MAS sum score, clonus, and spasms were significantly reduced immediately after SCS, and all spasticity measures were improved two hours postintervention, with large effect sizes and including clinically meaningful improvements. The effect on walking speed varied across individuals. We further conducted a single</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case multi</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session study over six weeks to explore the applicability of transcutaneous SCS as a home</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based therapy. Self</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application of the intervention was successful; weekly evaluations suggested progressively improving therapeutic effects during the active period and carry</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over effects for seven days. Our results suggest that transcutaneous SCS can be a viable non</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pharmacological option for managing spasticity, likely working through enhancing pre</w:instrText>
      </w:r>
      <w:r w:rsidR="00160462">
        <w:rPr>
          <w:rFonts w:ascii="Cambria Math" w:eastAsia="Roboto" w:hAnsi="Cambria Math" w:cs="Cambria Math"/>
          <w:color w:val="000000"/>
          <w:sz w:val="20"/>
          <w:szCs w:val="20"/>
        </w:rPr>
        <w:instrText>‐</w:instrText>
      </w:r>
      <w:r w:rsidR="00160462">
        <w:rPr>
          <w:rFonts w:ascii="Roboto" w:eastAsia="Roboto" w:hAnsi="Roboto" w:cs="Roboto"/>
          <w:color w:val="000000"/>
          <w:sz w:val="20"/>
          <w:szCs w:val="20"/>
        </w:rPr>
        <w:instrText xml:space="preserve"> and postsynaptic spinal inhibitory mechanisms, and may additionally serve to identify responders to treatments with epidural SCS.","con</w:instrText>
      </w:r>
      <w:r w:rsidR="00160462" w:rsidRPr="00BC5450">
        <w:rPr>
          <w:rFonts w:ascii="Roboto" w:eastAsia="Roboto" w:hAnsi="Roboto" w:cs="Roboto"/>
          <w:color w:val="000000"/>
          <w:sz w:val="20"/>
          <w:szCs w:val="20"/>
        </w:rPr>
        <w:instrText xml:space="preserve">tainer-title":"Journal of Neurotrauma","DOI":"10.1089/neu.2019.6588","ISSN":"0897-7151, 1557-9042","issue":"3","journalAbbreviation":"Journal of Neurotrauma","language":"en","page":"481-493","source":"DOI.org (Crossref)","title":"Transcutaneous Spinal Cord Stimulation Induces Temporary Attenuation of Spasticity in Individuals with Spinal Cord Injury","volume":"37","author":[{"family":"Hofstoetter","given":"Ursula S."},{"family":"Freundl","given":"Brigitta"},{"family":"Danner","given":"Simon M."},{"family":"Krenn","given":"Matthias J."},{"family":"Mayr","given":"Winfried"},{"family":"Binder","given":"Heinrich"},{"family":"Minassian","given":"Karen"}],"issued":{"date-parts":[["2020",2,1]]}}},{"id":758,"uris":["http://zotero.org/users/local/N4kKongb/items/UERD7962"],"itemData":{"id":758,"type":"article-journal","container-title":"Cell Reports Medicine","DOI":"10.1016/j.xcrm.2024.101805","ISSN":"2666-3791","issue":"11","publisher":"Elsevier","title":"Transcutaneous spinal cord stimulation neuromodulates pre- and postsynaptic inhibition in the control of spinal spasticity","URL":"https://doi.org/10.1016/j.xcrm.2024.101805","volume":"5","author":[{"family":"Minassian","given":"Karen"},{"family":"Freundl","given":"Brigitta"},{"family":"Lackner","given":"Peter"},{"family":"Hofstoetter","given":"Ursula S."}],"accessed":{"date-parts":[["2025",10,23]]},"issued":{"date-parts":[["2024",11,19]]}}}],"schema":"https://github.com/citation-style-language/schema/raw/master/csl-citation.json"} </w:instrText>
      </w:r>
      <w:r w:rsidR="00160462">
        <w:rPr>
          <w:rFonts w:ascii="Roboto" w:eastAsia="Roboto" w:hAnsi="Roboto" w:cs="Roboto"/>
          <w:color w:val="000000"/>
          <w:sz w:val="20"/>
          <w:szCs w:val="20"/>
        </w:rPr>
        <w:fldChar w:fldCharType="separate"/>
      </w:r>
      <w:r w:rsidR="00160462" w:rsidRPr="00BC5450">
        <w:rPr>
          <w:rFonts w:ascii="Roboto" w:eastAsia="Roboto" w:hAnsi="Roboto"/>
          <w:sz w:val="20"/>
        </w:rPr>
        <w:t>(Hofstoetter et al., 2020; Minassian et al., 2024)</w:t>
      </w:r>
      <w:r w:rsidR="00160462">
        <w:rPr>
          <w:rFonts w:ascii="Roboto" w:eastAsia="Roboto" w:hAnsi="Roboto" w:cs="Roboto"/>
          <w:color w:val="000000"/>
          <w:sz w:val="20"/>
          <w:szCs w:val="20"/>
        </w:rPr>
        <w:fldChar w:fldCharType="end"/>
      </w:r>
      <w:r w:rsidRPr="00BC5450">
        <w:rPr>
          <w:rFonts w:ascii="Roboto" w:eastAsia="Roboto" w:hAnsi="Roboto" w:cs="Roboto"/>
          <w:color w:val="000000"/>
          <w:sz w:val="20"/>
          <w:szCs w:val="20"/>
        </w:rPr>
        <w:t>.</w:t>
      </w:r>
      <w:r w:rsidR="00E45BF8" w:rsidRPr="00BC5450">
        <w:rPr>
          <w:rFonts w:ascii="Roboto" w:eastAsia="Roboto" w:hAnsi="Roboto" w:cs="Roboto"/>
          <w:color w:val="000000"/>
          <w:sz w:val="20"/>
          <w:szCs w:val="20"/>
        </w:rPr>
        <w:t xml:space="preserve"> </w:t>
      </w:r>
      <w:r w:rsidR="00E45BF8">
        <w:rPr>
          <w:rFonts w:ascii="Roboto" w:eastAsia="Roboto" w:hAnsi="Roboto" w:cs="Roboto"/>
          <w:color w:val="000000"/>
          <w:sz w:val="20"/>
          <w:szCs w:val="20"/>
        </w:rPr>
        <w:t>Sin embargo, no se ha establecido la frecuencia ideal para este objetivo.</w:t>
      </w:r>
      <w:r>
        <w:rPr>
          <w:rFonts w:ascii="Roboto" w:eastAsia="Roboto" w:hAnsi="Roboto" w:cs="Roboto"/>
          <w:color w:val="000000"/>
          <w:sz w:val="20"/>
          <w:szCs w:val="20"/>
        </w:rPr>
        <w:t xml:space="preserve"> </w:t>
      </w:r>
      <w:r w:rsidR="00E45BF8">
        <w:rPr>
          <w:rFonts w:ascii="Roboto" w:eastAsia="Roboto" w:hAnsi="Roboto" w:cs="Roboto"/>
          <w:color w:val="000000"/>
          <w:sz w:val="20"/>
          <w:szCs w:val="20"/>
        </w:rPr>
        <w:t>Por lo que la</w:t>
      </w:r>
      <w:r w:rsidR="00A43191">
        <w:rPr>
          <w:rFonts w:ascii="Roboto" w:eastAsia="Roboto" w:hAnsi="Roboto" w:cs="Roboto"/>
          <w:color w:val="000000"/>
          <w:sz w:val="20"/>
          <w:szCs w:val="20"/>
        </w:rPr>
        <w:t xml:space="preserve"> hipótesis de este estudio fue que la EET aplicada a 100 Hz </w:t>
      </w:r>
      <w:r w:rsidR="00E45BF8">
        <w:rPr>
          <w:rFonts w:ascii="Roboto" w:eastAsia="Roboto" w:hAnsi="Roboto" w:cs="Roboto"/>
          <w:color w:val="000000"/>
          <w:sz w:val="20"/>
          <w:szCs w:val="20"/>
        </w:rPr>
        <w:t xml:space="preserve">durante 15 min </w:t>
      </w:r>
      <w:r w:rsidR="00A43191">
        <w:rPr>
          <w:rFonts w:ascii="Roboto" w:eastAsia="Roboto" w:hAnsi="Roboto" w:cs="Roboto"/>
          <w:color w:val="000000"/>
          <w:sz w:val="20"/>
          <w:szCs w:val="20"/>
        </w:rPr>
        <w:t>reduc</w:t>
      </w:r>
      <w:r w:rsidR="00E45BF8">
        <w:rPr>
          <w:rFonts w:ascii="Roboto" w:eastAsia="Roboto" w:hAnsi="Roboto" w:cs="Roboto"/>
          <w:color w:val="000000"/>
          <w:sz w:val="20"/>
          <w:szCs w:val="20"/>
        </w:rPr>
        <w:t>iría</w:t>
      </w:r>
      <w:r w:rsidR="00A43191">
        <w:rPr>
          <w:rFonts w:ascii="Roboto" w:eastAsia="Roboto" w:hAnsi="Roboto" w:cs="Roboto"/>
          <w:color w:val="000000"/>
          <w:sz w:val="20"/>
          <w:szCs w:val="20"/>
        </w:rPr>
        <w:t xml:space="preserve"> la espasticidad en al menos el 50% en comparación con la condición </w:t>
      </w:r>
      <w:r w:rsidR="00E45BF8">
        <w:rPr>
          <w:rFonts w:ascii="Roboto" w:eastAsia="Roboto" w:hAnsi="Roboto" w:cs="Roboto"/>
          <w:color w:val="000000"/>
          <w:sz w:val="20"/>
          <w:szCs w:val="20"/>
        </w:rPr>
        <w:t>sin EET.</w:t>
      </w:r>
    </w:p>
    <w:p w:rsidR="004340F1" w:rsidRDefault="004340F1">
      <w:pPr>
        <w:pBdr>
          <w:top w:val="nil"/>
          <w:left w:val="nil"/>
          <w:bottom w:val="nil"/>
          <w:right w:val="nil"/>
          <w:between w:val="nil"/>
        </w:pBdr>
        <w:jc w:val="both"/>
        <w:rPr>
          <w:rFonts w:ascii="Roboto" w:eastAsia="Roboto" w:hAnsi="Roboto" w:cs="Roboto"/>
          <w:b/>
          <w:color w:val="000000"/>
          <w:sz w:val="20"/>
          <w:szCs w:val="20"/>
        </w:rPr>
      </w:pPr>
    </w:p>
    <w:p w:rsidR="004340F1" w:rsidRDefault="004741D4">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OBJETIVO</w:t>
      </w:r>
    </w:p>
    <w:p w:rsidR="004741D4" w:rsidRPr="00053DAA" w:rsidRDefault="004741D4">
      <w:pPr>
        <w:pBdr>
          <w:top w:val="nil"/>
          <w:left w:val="nil"/>
          <w:bottom w:val="nil"/>
          <w:right w:val="nil"/>
          <w:between w:val="nil"/>
        </w:pBdr>
        <w:jc w:val="both"/>
        <w:rPr>
          <w:rFonts w:ascii="Roboto" w:eastAsia="Roboto" w:hAnsi="Roboto" w:cs="Roboto"/>
          <w:color w:val="000000"/>
          <w:sz w:val="20"/>
          <w:szCs w:val="20"/>
        </w:rPr>
      </w:pPr>
      <w:r w:rsidRPr="00053DAA">
        <w:rPr>
          <w:rFonts w:ascii="Roboto" w:eastAsia="Roboto" w:hAnsi="Roboto" w:cs="Roboto"/>
          <w:color w:val="000000"/>
          <w:sz w:val="20"/>
          <w:szCs w:val="20"/>
        </w:rPr>
        <w:t>Evaluar el efecto de la EET</w:t>
      </w:r>
      <w:r w:rsidR="008662C9">
        <w:rPr>
          <w:rFonts w:ascii="Roboto" w:eastAsia="Roboto" w:hAnsi="Roboto" w:cs="Roboto"/>
          <w:color w:val="000000"/>
          <w:sz w:val="20"/>
          <w:szCs w:val="20"/>
        </w:rPr>
        <w:t xml:space="preserve"> a 100 Hz </w:t>
      </w:r>
      <w:r w:rsidR="00053DAA">
        <w:rPr>
          <w:rFonts w:ascii="Roboto" w:eastAsia="Roboto" w:hAnsi="Roboto" w:cs="Roboto"/>
          <w:color w:val="000000"/>
          <w:sz w:val="20"/>
          <w:szCs w:val="20"/>
        </w:rPr>
        <w:t>sobre la espasticidad en sujetos con paraplejia secundaria a la LME.</w:t>
      </w:r>
    </w:p>
    <w:p w:rsidR="004741D4" w:rsidRDefault="004741D4">
      <w:pPr>
        <w:pBdr>
          <w:top w:val="nil"/>
          <w:left w:val="nil"/>
          <w:bottom w:val="nil"/>
          <w:right w:val="nil"/>
          <w:between w:val="nil"/>
        </w:pBdr>
        <w:jc w:val="both"/>
        <w:rPr>
          <w:rFonts w:ascii="Roboto" w:eastAsia="Roboto" w:hAnsi="Roboto" w:cs="Roboto"/>
          <w:b/>
          <w:color w:val="000000"/>
          <w:sz w:val="20"/>
          <w:szCs w:val="20"/>
        </w:rPr>
      </w:pPr>
    </w:p>
    <w:p w:rsidR="004340F1" w:rsidRDefault="00F67829">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MÉTODOS</w:t>
      </w:r>
    </w:p>
    <w:p w:rsidR="009438E8" w:rsidRDefault="00553D78">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Se reclutaron</w:t>
      </w:r>
      <w:r w:rsidRPr="00D041F7">
        <w:rPr>
          <w:rFonts w:ascii="Roboto" w:eastAsia="Roboto" w:hAnsi="Roboto" w:cs="Roboto"/>
          <w:sz w:val="20"/>
          <w:szCs w:val="20"/>
        </w:rPr>
        <w:t xml:space="preserve"> </w:t>
      </w:r>
      <w:r w:rsidR="002636AE" w:rsidRPr="00D041F7">
        <w:rPr>
          <w:rFonts w:ascii="Roboto" w:eastAsia="Roboto" w:hAnsi="Roboto" w:cs="Roboto"/>
          <w:sz w:val="20"/>
          <w:szCs w:val="20"/>
        </w:rPr>
        <w:t>5</w:t>
      </w:r>
      <w:r w:rsidRPr="00D041F7">
        <w:rPr>
          <w:rFonts w:ascii="Roboto" w:eastAsia="Roboto" w:hAnsi="Roboto" w:cs="Roboto"/>
          <w:sz w:val="20"/>
          <w:szCs w:val="20"/>
        </w:rPr>
        <w:t xml:space="preserve"> </w:t>
      </w:r>
      <w:r>
        <w:rPr>
          <w:rFonts w:ascii="Roboto" w:eastAsia="Roboto" w:hAnsi="Roboto" w:cs="Roboto"/>
          <w:color w:val="000000"/>
          <w:sz w:val="20"/>
          <w:szCs w:val="20"/>
        </w:rPr>
        <w:t>participantes quienes firmaron carta de consentimiento informado para participar en el estudio, mismo que fue aprobado por los Comités de Investigación y ética de la Universidad Anáhuac México (Folio</w:t>
      </w:r>
      <w:r w:rsidR="009438E8">
        <w:rPr>
          <w:rFonts w:ascii="Roboto" w:eastAsia="Roboto" w:hAnsi="Roboto" w:cs="Roboto"/>
          <w:color w:val="000000"/>
          <w:sz w:val="20"/>
          <w:szCs w:val="20"/>
        </w:rPr>
        <w:t xml:space="preserve"> 202307</w:t>
      </w:r>
      <w:r>
        <w:rPr>
          <w:rFonts w:ascii="Roboto" w:eastAsia="Roboto" w:hAnsi="Roboto" w:cs="Roboto"/>
          <w:color w:val="000000"/>
          <w:sz w:val="20"/>
          <w:szCs w:val="20"/>
        </w:rPr>
        <w:t>)</w:t>
      </w:r>
      <w:r w:rsidR="004741D4">
        <w:rPr>
          <w:rFonts w:ascii="Roboto" w:eastAsia="Roboto" w:hAnsi="Roboto" w:cs="Roboto"/>
          <w:color w:val="000000"/>
          <w:sz w:val="20"/>
          <w:szCs w:val="20"/>
        </w:rPr>
        <w:t>. Se determinó la clasificación de la LME mediante la escala de AIS-ASIA.</w:t>
      </w:r>
      <w:r w:rsidR="009438E8">
        <w:rPr>
          <w:rFonts w:ascii="Roboto" w:eastAsia="Roboto" w:hAnsi="Roboto" w:cs="Roboto"/>
          <w:color w:val="000000"/>
          <w:sz w:val="20"/>
          <w:szCs w:val="20"/>
        </w:rPr>
        <w:t xml:space="preserve"> Los participantes fueron incluidos en el estudio si tuvieron al menos 1 año posterior a la lesión. Entre los criterios de exclusión se encontraron la ausencia de fracturas sin consolidas, úlceras por presión, procesos desmielinizantes, depresión severa, entre otros. </w:t>
      </w:r>
      <w:r w:rsidR="004741D4">
        <w:rPr>
          <w:rFonts w:ascii="Roboto" w:eastAsia="Roboto" w:hAnsi="Roboto" w:cs="Roboto"/>
          <w:color w:val="000000"/>
          <w:sz w:val="20"/>
          <w:szCs w:val="20"/>
        </w:rPr>
        <w:t xml:space="preserve"> La espasticidad se evaluó mediante la Escala Modificada de Ashworth</w:t>
      </w:r>
      <w:r w:rsidR="00053DAA">
        <w:rPr>
          <w:rFonts w:ascii="Roboto" w:eastAsia="Roboto" w:hAnsi="Roboto" w:cs="Roboto"/>
          <w:color w:val="000000"/>
          <w:sz w:val="20"/>
          <w:szCs w:val="20"/>
        </w:rPr>
        <w:t xml:space="preserve"> (MAS)</w:t>
      </w:r>
      <w:r w:rsidR="004741D4">
        <w:rPr>
          <w:rFonts w:ascii="Roboto" w:eastAsia="Roboto" w:hAnsi="Roboto" w:cs="Roboto"/>
          <w:color w:val="000000"/>
          <w:sz w:val="20"/>
          <w:szCs w:val="20"/>
        </w:rPr>
        <w:t xml:space="preserve"> </w:t>
      </w:r>
      <w:r w:rsidR="009438E8">
        <w:rPr>
          <w:rFonts w:ascii="Roboto" w:eastAsia="Roboto" w:hAnsi="Roboto" w:cs="Roboto"/>
          <w:color w:val="000000"/>
          <w:sz w:val="20"/>
          <w:szCs w:val="20"/>
        </w:rPr>
        <w:t>en</w:t>
      </w:r>
      <w:r w:rsidR="004741D4">
        <w:rPr>
          <w:rFonts w:ascii="Roboto" w:eastAsia="Roboto" w:hAnsi="Roboto" w:cs="Roboto"/>
          <w:color w:val="000000"/>
          <w:sz w:val="20"/>
          <w:szCs w:val="20"/>
        </w:rPr>
        <w:t xml:space="preserve"> </w:t>
      </w:r>
      <w:r w:rsidR="009438E8">
        <w:rPr>
          <w:rFonts w:ascii="Roboto" w:eastAsia="Roboto" w:hAnsi="Roboto" w:cs="Roboto"/>
          <w:color w:val="000000"/>
          <w:sz w:val="20"/>
          <w:szCs w:val="20"/>
        </w:rPr>
        <w:t>los miembros</w:t>
      </w:r>
      <w:r w:rsidR="004741D4">
        <w:rPr>
          <w:rFonts w:ascii="Roboto" w:eastAsia="Roboto" w:hAnsi="Roboto" w:cs="Roboto"/>
          <w:color w:val="000000"/>
          <w:sz w:val="20"/>
          <w:szCs w:val="20"/>
        </w:rPr>
        <w:t xml:space="preserve"> inferiore</w:t>
      </w:r>
      <w:r w:rsidR="002636AE">
        <w:rPr>
          <w:rFonts w:ascii="Roboto" w:eastAsia="Roboto" w:hAnsi="Roboto" w:cs="Roboto"/>
          <w:color w:val="000000"/>
          <w:sz w:val="20"/>
          <w:szCs w:val="20"/>
        </w:rPr>
        <w:t>s</w:t>
      </w:r>
      <w:r w:rsidR="004741D4">
        <w:rPr>
          <w:rFonts w:ascii="Roboto" w:eastAsia="Roboto" w:hAnsi="Roboto" w:cs="Roboto"/>
          <w:color w:val="000000"/>
          <w:sz w:val="20"/>
          <w:szCs w:val="20"/>
        </w:rPr>
        <w:t>.</w:t>
      </w:r>
      <w:r w:rsidR="009438E8">
        <w:rPr>
          <w:rFonts w:ascii="Roboto" w:eastAsia="Roboto" w:hAnsi="Roboto" w:cs="Roboto"/>
          <w:color w:val="000000"/>
          <w:sz w:val="20"/>
          <w:szCs w:val="20"/>
        </w:rPr>
        <w:t xml:space="preserve"> </w:t>
      </w:r>
      <w:r w:rsidR="004741D4">
        <w:rPr>
          <w:rFonts w:ascii="Roboto" w:eastAsia="Roboto" w:hAnsi="Roboto" w:cs="Roboto"/>
          <w:color w:val="000000"/>
          <w:sz w:val="20"/>
          <w:szCs w:val="20"/>
        </w:rPr>
        <w:t>Se registró la electromiografía</w:t>
      </w:r>
      <w:r w:rsidR="009438E8">
        <w:rPr>
          <w:rFonts w:ascii="Roboto" w:eastAsia="Roboto" w:hAnsi="Roboto" w:cs="Roboto"/>
          <w:color w:val="000000"/>
          <w:sz w:val="20"/>
          <w:szCs w:val="20"/>
        </w:rPr>
        <w:t xml:space="preserve"> (</w:t>
      </w:r>
      <w:proofErr w:type="spellStart"/>
      <w:r w:rsidR="009438E8">
        <w:rPr>
          <w:rFonts w:ascii="Roboto" w:eastAsia="Roboto" w:hAnsi="Roboto" w:cs="Roboto"/>
          <w:color w:val="000000"/>
          <w:sz w:val="20"/>
          <w:szCs w:val="20"/>
        </w:rPr>
        <w:t>PowerLab</w:t>
      </w:r>
      <w:proofErr w:type="spellEnd"/>
      <w:r w:rsidR="009438E8">
        <w:rPr>
          <w:rFonts w:ascii="Roboto" w:eastAsia="Roboto" w:hAnsi="Roboto" w:cs="Roboto"/>
          <w:color w:val="000000"/>
          <w:sz w:val="20"/>
          <w:szCs w:val="20"/>
        </w:rPr>
        <w:t xml:space="preserve">, </w:t>
      </w:r>
      <w:proofErr w:type="spellStart"/>
      <w:r w:rsidR="009438E8">
        <w:rPr>
          <w:rFonts w:ascii="Roboto" w:eastAsia="Roboto" w:hAnsi="Roboto" w:cs="Roboto"/>
          <w:color w:val="000000"/>
          <w:sz w:val="20"/>
          <w:szCs w:val="20"/>
        </w:rPr>
        <w:t>ADInstruments</w:t>
      </w:r>
      <w:proofErr w:type="spellEnd"/>
      <w:r w:rsidR="009438E8">
        <w:rPr>
          <w:rFonts w:ascii="Roboto" w:eastAsia="Roboto" w:hAnsi="Roboto" w:cs="Roboto"/>
          <w:color w:val="000000"/>
          <w:sz w:val="20"/>
          <w:szCs w:val="20"/>
        </w:rPr>
        <w:t>)</w:t>
      </w:r>
      <w:r w:rsidR="004741D4">
        <w:rPr>
          <w:rFonts w:ascii="Roboto" w:eastAsia="Roboto" w:hAnsi="Roboto" w:cs="Roboto"/>
          <w:color w:val="000000"/>
          <w:sz w:val="20"/>
          <w:szCs w:val="20"/>
        </w:rPr>
        <w:t xml:space="preserve"> bilateral en los músculos recto femoral (RF), isquiotibiales (</w:t>
      </w:r>
      <w:proofErr w:type="spellStart"/>
      <w:r w:rsidR="004741D4">
        <w:rPr>
          <w:rFonts w:ascii="Roboto" w:eastAsia="Roboto" w:hAnsi="Roboto" w:cs="Roboto"/>
          <w:color w:val="000000"/>
          <w:sz w:val="20"/>
          <w:szCs w:val="20"/>
        </w:rPr>
        <w:t>Isq</w:t>
      </w:r>
      <w:proofErr w:type="spellEnd"/>
      <w:r w:rsidR="004741D4">
        <w:rPr>
          <w:rFonts w:ascii="Roboto" w:eastAsia="Roboto" w:hAnsi="Roboto" w:cs="Roboto"/>
          <w:color w:val="000000"/>
          <w:sz w:val="20"/>
          <w:szCs w:val="20"/>
        </w:rPr>
        <w:t>), tibial anterior (TA) y gastrocnemio lateral (GL) al realizar cambio de posición y a la estimulación plantar</w:t>
      </w:r>
      <w:r w:rsidR="009438E8">
        <w:rPr>
          <w:rFonts w:ascii="Roboto" w:eastAsia="Roboto" w:hAnsi="Roboto" w:cs="Roboto"/>
          <w:color w:val="000000"/>
          <w:sz w:val="20"/>
          <w:szCs w:val="20"/>
        </w:rPr>
        <w:t xml:space="preserve"> (Figura 1)</w:t>
      </w:r>
      <w:r w:rsidR="004741D4">
        <w:rPr>
          <w:rFonts w:ascii="Roboto" w:eastAsia="Roboto" w:hAnsi="Roboto" w:cs="Roboto"/>
          <w:color w:val="000000"/>
          <w:sz w:val="20"/>
          <w:szCs w:val="20"/>
        </w:rPr>
        <w:t xml:space="preserve">. Se </w:t>
      </w:r>
      <w:r w:rsidR="00BC5450">
        <w:rPr>
          <w:rFonts w:ascii="Roboto" w:eastAsia="Roboto" w:hAnsi="Roboto" w:cs="Roboto"/>
          <w:color w:val="000000"/>
          <w:sz w:val="20"/>
          <w:szCs w:val="20"/>
        </w:rPr>
        <w:t>determinó</w:t>
      </w:r>
      <w:r w:rsidR="004741D4">
        <w:rPr>
          <w:rFonts w:ascii="Roboto" w:eastAsia="Roboto" w:hAnsi="Roboto" w:cs="Roboto"/>
          <w:color w:val="000000"/>
          <w:sz w:val="20"/>
          <w:szCs w:val="20"/>
        </w:rPr>
        <w:t xml:space="preserve"> el área bajo la curva (AUC) y</w:t>
      </w:r>
      <w:r w:rsidR="00585324">
        <w:rPr>
          <w:rFonts w:ascii="Roboto" w:eastAsia="Roboto" w:hAnsi="Roboto" w:cs="Roboto"/>
          <w:color w:val="000000"/>
          <w:sz w:val="20"/>
          <w:szCs w:val="20"/>
        </w:rPr>
        <w:t xml:space="preserve"> el tiempo de contracción de cada músculo</w:t>
      </w:r>
      <w:r w:rsidR="00BC5450">
        <w:rPr>
          <w:rFonts w:ascii="Roboto" w:eastAsia="Roboto" w:hAnsi="Roboto" w:cs="Roboto"/>
          <w:color w:val="000000"/>
          <w:sz w:val="20"/>
          <w:szCs w:val="20"/>
        </w:rPr>
        <w:t xml:space="preserve"> y los resultados se promediaron para obtener el total por cada pierna</w:t>
      </w:r>
      <w:r w:rsidR="004741D4">
        <w:rPr>
          <w:rFonts w:ascii="Roboto" w:eastAsia="Roboto" w:hAnsi="Roboto" w:cs="Roboto"/>
          <w:color w:val="000000"/>
          <w:sz w:val="20"/>
          <w:szCs w:val="20"/>
        </w:rPr>
        <w:t>. Las evaluaciones se realizaron antes y después de 15 minutos</w:t>
      </w:r>
      <w:r w:rsidR="006A5DF5">
        <w:rPr>
          <w:rFonts w:ascii="Roboto" w:eastAsia="Roboto" w:hAnsi="Roboto" w:cs="Roboto"/>
          <w:color w:val="000000"/>
          <w:sz w:val="20"/>
          <w:szCs w:val="20"/>
        </w:rPr>
        <w:t xml:space="preserve"> </w:t>
      </w:r>
      <w:r w:rsidR="004741D4">
        <w:rPr>
          <w:rFonts w:ascii="Roboto" w:eastAsia="Roboto" w:hAnsi="Roboto" w:cs="Roboto"/>
          <w:color w:val="000000"/>
          <w:sz w:val="20"/>
          <w:szCs w:val="20"/>
        </w:rPr>
        <w:t>de aplicar la EET</w:t>
      </w:r>
      <w:r w:rsidR="009438E8">
        <w:rPr>
          <w:rFonts w:ascii="Roboto" w:eastAsia="Roboto" w:hAnsi="Roboto" w:cs="Roboto"/>
          <w:color w:val="000000"/>
          <w:sz w:val="20"/>
          <w:szCs w:val="20"/>
        </w:rPr>
        <w:t xml:space="preserve"> a 100 Hz (DS8R, </w:t>
      </w:r>
      <w:proofErr w:type="spellStart"/>
      <w:r w:rsidR="009438E8">
        <w:rPr>
          <w:rFonts w:ascii="Roboto" w:eastAsia="Roboto" w:hAnsi="Roboto" w:cs="Roboto"/>
          <w:color w:val="000000"/>
          <w:sz w:val="20"/>
          <w:szCs w:val="20"/>
        </w:rPr>
        <w:t>Digitimer</w:t>
      </w:r>
      <w:proofErr w:type="spellEnd"/>
      <w:r w:rsidR="009438E8">
        <w:rPr>
          <w:rFonts w:ascii="Roboto" w:eastAsia="Roboto" w:hAnsi="Roboto" w:cs="Roboto"/>
          <w:color w:val="000000"/>
          <w:sz w:val="20"/>
          <w:szCs w:val="20"/>
        </w:rPr>
        <w:t>)</w:t>
      </w:r>
      <w:r w:rsidR="004741D4">
        <w:rPr>
          <w:rFonts w:ascii="Roboto" w:eastAsia="Roboto" w:hAnsi="Roboto" w:cs="Roboto"/>
          <w:color w:val="000000"/>
          <w:sz w:val="20"/>
          <w:szCs w:val="20"/>
        </w:rPr>
        <w:t xml:space="preserve">. </w:t>
      </w:r>
      <w:r w:rsidR="009438E8">
        <w:rPr>
          <w:rFonts w:ascii="Roboto" w:eastAsia="Roboto" w:hAnsi="Roboto" w:cs="Roboto"/>
          <w:color w:val="000000"/>
          <w:sz w:val="20"/>
          <w:szCs w:val="20"/>
        </w:rPr>
        <w:t xml:space="preserve">Para aplicar la EET se colocaron dos electrodos (2 cm de diámetro) en los espacios intervertebrales entre T11 y L1 (cátodos) y dos electrodos (4 x 8 cm) en las crestas iliacas (ánodos) </w:t>
      </w:r>
      <w:r w:rsidR="0015435A">
        <w:rPr>
          <w:rFonts w:ascii="Roboto" w:eastAsia="Roboto" w:hAnsi="Roboto" w:cs="Roboto"/>
          <w:color w:val="000000"/>
          <w:sz w:val="20"/>
          <w:szCs w:val="20"/>
        </w:rPr>
        <w:t>(Fig</w:t>
      </w:r>
      <w:r w:rsidR="009438E8">
        <w:rPr>
          <w:rFonts w:ascii="Roboto" w:eastAsia="Roboto" w:hAnsi="Roboto" w:cs="Roboto"/>
          <w:color w:val="000000"/>
          <w:sz w:val="20"/>
          <w:szCs w:val="20"/>
        </w:rPr>
        <w:t xml:space="preserve">ura </w:t>
      </w:r>
      <w:r w:rsidR="0015435A">
        <w:rPr>
          <w:rFonts w:ascii="Roboto" w:eastAsia="Roboto" w:hAnsi="Roboto" w:cs="Roboto"/>
          <w:color w:val="000000"/>
          <w:sz w:val="20"/>
          <w:szCs w:val="20"/>
        </w:rPr>
        <w:t>1)</w:t>
      </w:r>
      <w:r w:rsidR="009438E8">
        <w:rPr>
          <w:rFonts w:ascii="Roboto" w:eastAsia="Roboto" w:hAnsi="Roboto" w:cs="Roboto"/>
          <w:color w:val="000000"/>
          <w:sz w:val="20"/>
          <w:szCs w:val="20"/>
        </w:rPr>
        <w:t>.</w:t>
      </w:r>
      <w:r w:rsidR="0015435A">
        <w:rPr>
          <w:rFonts w:ascii="Roboto" w:eastAsia="Roboto" w:hAnsi="Roboto" w:cs="Roboto"/>
          <w:color w:val="000000"/>
          <w:sz w:val="20"/>
          <w:szCs w:val="20"/>
        </w:rPr>
        <w:t xml:space="preserve"> </w:t>
      </w:r>
      <w:r w:rsidR="004741D4">
        <w:rPr>
          <w:rFonts w:ascii="Roboto" w:eastAsia="Roboto" w:hAnsi="Roboto" w:cs="Roboto"/>
          <w:color w:val="000000"/>
          <w:sz w:val="20"/>
          <w:szCs w:val="20"/>
        </w:rPr>
        <w:t xml:space="preserve">Se obtuvo la estadística descriptiva y se compararon los resultados </w:t>
      </w:r>
      <w:r w:rsidR="00053DAA">
        <w:rPr>
          <w:rFonts w:ascii="Roboto" w:eastAsia="Roboto" w:hAnsi="Roboto" w:cs="Roboto"/>
          <w:color w:val="000000"/>
          <w:sz w:val="20"/>
          <w:szCs w:val="20"/>
        </w:rPr>
        <w:t xml:space="preserve">de acuerdo </w:t>
      </w:r>
      <w:r w:rsidR="00053DAA">
        <w:rPr>
          <w:rFonts w:ascii="Roboto" w:eastAsia="Roboto" w:hAnsi="Roboto" w:cs="Roboto"/>
          <w:color w:val="000000"/>
          <w:sz w:val="20"/>
          <w:szCs w:val="20"/>
        </w:rPr>
        <w:t xml:space="preserve">con su distribución mediante la prueba t de </w:t>
      </w:r>
      <w:proofErr w:type="spellStart"/>
      <w:r w:rsidR="00053DAA">
        <w:rPr>
          <w:rFonts w:ascii="Roboto" w:eastAsia="Roboto" w:hAnsi="Roboto" w:cs="Roboto"/>
          <w:color w:val="000000"/>
          <w:sz w:val="20"/>
          <w:szCs w:val="20"/>
        </w:rPr>
        <w:t>student</w:t>
      </w:r>
      <w:proofErr w:type="spellEnd"/>
      <w:r w:rsidR="009438E8">
        <w:rPr>
          <w:rFonts w:ascii="Roboto" w:eastAsia="Roboto" w:hAnsi="Roboto" w:cs="Roboto"/>
          <w:color w:val="000000"/>
          <w:sz w:val="20"/>
          <w:szCs w:val="20"/>
        </w:rPr>
        <w:t xml:space="preserve"> o Mann-Whitney</w:t>
      </w:r>
      <w:r w:rsidR="00053DAA">
        <w:rPr>
          <w:rFonts w:ascii="Roboto" w:eastAsia="Roboto" w:hAnsi="Roboto" w:cs="Roboto"/>
          <w:color w:val="000000"/>
          <w:sz w:val="20"/>
          <w:szCs w:val="20"/>
        </w:rPr>
        <w:t xml:space="preserve"> para muestras pareadas. Se fijó un valor de p&lt;0.05</w:t>
      </w:r>
      <w:r w:rsidR="002636AE">
        <w:rPr>
          <w:rFonts w:ascii="Roboto" w:eastAsia="Roboto" w:hAnsi="Roboto" w:cs="Roboto"/>
          <w:color w:val="000000"/>
          <w:sz w:val="20"/>
          <w:szCs w:val="20"/>
        </w:rPr>
        <w:t xml:space="preserve"> como significativo.</w:t>
      </w:r>
      <w:r w:rsidR="009438E8">
        <w:rPr>
          <w:rFonts w:ascii="Roboto" w:eastAsia="Roboto" w:hAnsi="Roboto" w:cs="Roboto"/>
          <w:color w:val="000000"/>
          <w:sz w:val="20"/>
          <w:szCs w:val="20"/>
        </w:rPr>
        <w:t xml:space="preserve"> En la tabla 1 se muestran las principales características demográficas y clínicas de los participantes.</w:t>
      </w:r>
    </w:p>
    <w:p w:rsidR="004340F1" w:rsidRDefault="004741D4" w:rsidP="009438E8">
      <w:pPr>
        <w:pBdr>
          <w:top w:val="nil"/>
          <w:left w:val="nil"/>
          <w:bottom w:val="nil"/>
          <w:right w:val="nil"/>
          <w:between w:val="nil"/>
        </w:pBdr>
        <w:jc w:val="both"/>
        <w:rPr>
          <w:rFonts w:ascii="Roboto" w:eastAsia="Roboto" w:hAnsi="Roboto" w:cs="Roboto"/>
          <w:sz w:val="20"/>
          <w:szCs w:val="20"/>
        </w:rPr>
      </w:pPr>
      <w:r>
        <w:rPr>
          <w:rFonts w:ascii="Roboto" w:eastAsia="Roboto" w:hAnsi="Roboto" w:cs="Roboto"/>
          <w:color w:val="000000"/>
          <w:sz w:val="20"/>
          <w:szCs w:val="20"/>
        </w:rPr>
        <w:t xml:space="preserve"> </w:t>
      </w:r>
      <w:r w:rsidR="006A5DF5">
        <w:rPr>
          <w:rFonts w:ascii="Roboto" w:eastAsia="Roboto" w:hAnsi="Roboto" w:cs="Roboto"/>
          <w:b/>
          <w:sz w:val="20"/>
          <w:szCs w:val="20"/>
        </w:rPr>
        <w:t>Tabla 1.</w:t>
      </w:r>
      <w:r w:rsidR="006A5DF5">
        <w:rPr>
          <w:rFonts w:ascii="Roboto" w:eastAsia="Roboto" w:hAnsi="Roboto" w:cs="Roboto"/>
          <w:sz w:val="20"/>
          <w:szCs w:val="20"/>
        </w:rPr>
        <w:t xml:space="preserve"> </w:t>
      </w:r>
      <w:r w:rsidR="0015435A">
        <w:rPr>
          <w:rFonts w:ascii="Roboto" w:eastAsia="Roboto" w:hAnsi="Roboto" w:cs="Roboto"/>
          <w:sz w:val="20"/>
          <w:szCs w:val="20"/>
        </w:rPr>
        <w:t>Características clínicas de los participantes.</w:t>
      </w:r>
    </w:p>
    <w:tbl>
      <w:tblPr>
        <w:tblpPr w:leftFromText="141" w:rightFromText="141" w:vertAnchor="text" w:horzAnchor="margin" w:tblpXSpec="right" w:tblpY="43"/>
        <w:tblW w:w="4961" w:type="dxa"/>
        <w:tblCellMar>
          <w:left w:w="0" w:type="dxa"/>
          <w:right w:w="0" w:type="dxa"/>
        </w:tblCellMar>
        <w:tblLook w:val="0600" w:firstRow="0" w:lastRow="0" w:firstColumn="0" w:lastColumn="0" w:noHBand="1" w:noVBand="1"/>
      </w:tblPr>
      <w:tblGrid>
        <w:gridCol w:w="706"/>
        <w:gridCol w:w="775"/>
        <w:gridCol w:w="512"/>
        <w:gridCol w:w="461"/>
        <w:gridCol w:w="1116"/>
        <w:gridCol w:w="1391"/>
      </w:tblGrid>
      <w:tr w:rsidR="009438E8" w:rsidRPr="002636AE" w:rsidTr="00585324">
        <w:trPr>
          <w:trHeight w:val="472"/>
        </w:trPr>
        <w:tc>
          <w:tcPr>
            <w:tcW w:w="70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ID</w:t>
            </w:r>
          </w:p>
        </w:tc>
        <w:tc>
          <w:tcPr>
            <w:tcW w:w="775"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Sexo,</w:t>
            </w:r>
          </w:p>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Edad</w:t>
            </w:r>
          </w:p>
        </w:tc>
        <w:tc>
          <w:tcPr>
            <w:tcW w:w="512"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AIS</w:t>
            </w:r>
          </w:p>
        </w:tc>
        <w:tc>
          <w:tcPr>
            <w:tcW w:w="46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Pr>
                <w:rFonts w:ascii="Roboto" w:hAnsi="Roboto"/>
                <w:color w:val="000000"/>
                <w:kern w:val="24"/>
                <w:sz w:val="18"/>
              </w:rPr>
              <w:t>NN</w:t>
            </w:r>
          </w:p>
        </w:tc>
        <w:tc>
          <w:tcPr>
            <w:tcW w:w="111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 xml:space="preserve">Años posteriores </w:t>
            </w:r>
          </w:p>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a la lesión</w:t>
            </w:r>
          </w:p>
        </w:tc>
        <w:tc>
          <w:tcPr>
            <w:tcW w:w="139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Causa</w:t>
            </w:r>
          </w:p>
        </w:tc>
      </w:tr>
      <w:tr w:rsidR="009438E8" w:rsidRPr="002636AE" w:rsidTr="009438E8">
        <w:trPr>
          <w:trHeight w:val="121"/>
        </w:trPr>
        <w:tc>
          <w:tcPr>
            <w:tcW w:w="70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textAlignment w:val="top"/>
              <w:rPr>
                <w:rFonts w:ascii="Roboto" w:hAnsi="Roboto" w:cs="Arial"/>
                <w:sz w:val="18"/>
                <w:szCs w:val="36"/>
              </w:rPr>
            </w:pPr>
            <w:r w:rsidRPr="002636AE">
              <w:rPr>
                <w:rFonts w:ascii="Roboto" w:hAnsi="Roboto"/>
                <w:color w:val="000000"/>
                <w:kern w:val="24"/>
                <w:sz w:val="18"/>
              </w:rPr>
              <w:t>P007</w:t>
            </w:r>
          </w:p>
        </w:tc>
        <w:tc>
          <w:tcPr>
            <w:tcW w:w="775"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M, 22</w:t>
            </w:r>
          </w:p>
        </w:tc>
        <w:tc>
          <w:tcPr>
            <w:tcW w:w="512"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A</w:t>
            </w:r>
          </w:p>
        </w:tc>
        <w:tc>
          <w:tcPr>
            <w:tcW w:w="46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T1</w:t>
            </w:r>
          </w:p>
        </w:tc>
        <w:tc>
          <w:tcPr>
            <w:tcW w:w="111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4</w:t>
            </w:r>
          </w:p>
        </w:tc>
        <w:tc>
          <w:tcPr>
            <w:tcW w:w="139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Herida de bala</w:t>
            </w:r>
          </w:p>
        </w:tc>
      </w:tr>
      <w:tr w:rsidR="009438E8" w:rsidRPr="002636AE" w:rsidTr="00585324">
        <w:trPr>
          <w:trHeight w:val="163"/>
        </w:trPr>
        <w:tc>
          <w:tcPr>
            <w:tcW w:w="70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textAlignment w:val="top"/>
              <w:rPr>
                <w:rFonts w:ascii="Roboto" w:hAnsi="Roboto" w:cs="Arial"/>
                <w:sz w:val="18"/>
                <w:szCs w:val="36"/>
              </w:rPr>
            </w:pPr>
            <w:r w:rsidRPr="002636AE">
              <w:rPr>
                <w:rFonts w:ascii="Roboto" w:hAnsi="Roboto"/>
                <w:color w:val="000000"/>
                <w:kern w:val="24"/>
                <w:sz w:val="18"/>
              </w:rPr>
              <w:t>P010</w:t>
            </w:r>
          </w:p>
        </w:tc>
        <w:tc>
          <w:tcPr>
            <w:tcW w:w="775"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M, 32</w:t>
            </w:r>
          </w:p>
        </w:tc>
        <w:tc>
          <w:tcPr>
            <w:tcW w:w="512"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A</w:t>
            </w:r>
          </w:p>
        </w:tc>
        <w:tc>
          <w:tcPr>
            <w:tcW w:w="46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T1</w:t>
            </w:r>
          </w:p>
        </w:tc>
        <w:tc>
          <w:tcPr>
            <w:tcW w:w="111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3</w:t>
            </w:r>
          </w:p>
        </w:tc>
        <w:tc>
          <w:tcPr>
            <w:tcW w:w="139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Herida de bala</w:t>
            </w:r>
          </w:p>
        </w:tc>
      </w:tr>
      <w:tr w:rsidR="009438E8" w:rsidRPr="002636AE" w:rsidTr="00585324">
        <w:trPr>
          <w:trHeight w:val="83"/>
        </w:trPr>
        <w:tc>
          <w:tcPr>
            <w:tcW w:w="70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textAlignment w:val="top"/>
              <w:rPr>
                <w:rFonts w:ascii="Roboto" w:hAnsi="Roboto" w:cs="Arial"/>
                <w:sz w:val="18"/>
                <w:szCs w:val="36"/>
              </w:rPr>
            </w:pPr>
            <w:r w:rsidRPr="002636AE">
              <w:rPr>
                <w:rFonts w:ascii="Roboto" w:hAnsi="Roboto"/>
                <w:color w:val="000000"/>
                <w:kern w:val="24"/>
                <w:sz w:val="18"/>
              </w:rPr>
              <w:t>P011</w:t>
            </w:r>
          </w:p>
        </w:tc>
        <w:tc>
          <w:tcPr>
            <w:tcW w:w="775"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M, 37</w:t>
            </w:r>
          </w:p>
        </w:tc>
        <w:tc>
          <w:tcPr>
            <w:tcW w:w="512"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A</w:t>
            </w:r>
          </w:p>
        </w:tc>
        <w:tc>
          <w:tcPr>
            <w:tcW w:w="46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T1</w:t>
            </w:r>
          </w:p>
        </w:tc>
        <w:tc>
          <w:tcPr>
            <w:tcW w:w="111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6</w:t>
            </w:r>
          </w:p>
        </w:tc>
        <w:tc>
          <w:tcPr>
            <w:tcW w:w="139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Herida de bala</w:t>
            </w:r>
          </w:p>
        </w:tc>
      </w:tr>
      <w:tr w:rsidR="009438E8" w:rsidRPr="002636AE" w:rsidTr="00585324">
        <w:trPr>
          <w:trHeight w:val="131"/>
        </w:trPr>
        <w:tc>
          <w:tcPr>
            <w:tcW w:w="70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textAlignment w:val="top"/>
              <w:rPr>
                <w:rFonts w:ascii="Roboto" w:hAnsi="Roboto" w:cs="Arial"/>
                <w:sz w:val="18"/>
                <w:szCs w:val="36"/>
              </w:rPr>
            </w:pPr>
            <w:r w:rsidRPr="002636AE">
              <w:rPr>
                <w:rFonts w:ascii="Roboto" w:hAnsi="Roboto"/>
                <w:color w:val="000000"/>
                <w:kern w:val="24"/>
                <w:sz w:val="18"/>
              </w:rPr>
              <w:t>P013</w:t>
            </w:r>
          </w:p>
        </w:tc>
        <w:tc>
          <w:tcPr>
            <w:tcW w:w="775"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M, 27</w:t>
            </w:r>
          </w:p>
        </w:tc>
        <w:tc>
          <w:tcPr>
            <w:tcW w:w="512"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B</w:t>
            </w:r>
          </w:p>
        </w:tc>
        <w:tc>
          <w:tcPr>
            <w:tcW w:w="46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C8</w:t>
            </w:r>
          </w:p>
        </w:tc>
        <w:tc>
          <w:tcPr>
            <w:tcW w:w="111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7</w:t>
            </w:r>
          </w:p>
        </w:tc>
        <w:tc>
          <w:tcPr>
            <w:tcW w:w="139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Herida de bala</w:t>
            </w:r>
          </w:p>
        </w:tc>
      </w:tr>
      <w:tr w:rsidR="009438E8" w:rsidRPr="002636AE" w:rsidTr="00585324">
        <w:trPr>
          <w:trHeight w:val="335"/>
        </w:trPr>
        <w:tc>
          <w:tcPr>
            <w:tcW w:w="70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textAlignment w:val="top"/>
              <w:rPr>
                <w:rFonts w:ascii="Roboto" w:hAnsi="Roboto" w:cs="Arial"/>
                <w:sz w:val="18"/>
                <w:szCs w:val="36"/>
              </w:rPr>
            </w:pPr>
            <w:r w:rsidRPr="002636AE">
              <w:rPr>
                <w:rFonts w:ascii="Roboto" w:hAnsi="Roboto"/>
                <w:color w:val="000000"/>
                <w:kern w:val="24"/>
                <w:sz w:val="18"/>
              </w:rPr>
              <w:t>P017</w:t>
            </w:r>
          </w:p>
        </w:tc>
        <w:tc>
          <w:tcPr>
            <w:tcW w:w="775"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M, 20</w:t>
            </w:r>
          </w:p>
        </w:tc>
        <w:tc>
          <w:tcPr>
            <w:tcW w:w="512"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A</w:t>
            </w:r>
          </w:p>
        </w:tc>
        <w:tc>
          <w:tcPr>
            <w:tcW w:w="46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C6</w:t>
            </w:r>
          </w:p>
        </w:tc>
        <w:tc>
          <w:tcPr>
            <w:tcW w:w="1116"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2</w:t>
            </w:r>
          </w:p>
        </w:tc>
        <w:tc>
          <w:tcPr>
            <w:tcW w:w="1391" w:type="dxa"/>
            <w:tcBorders>
              <w:top w:val="single" w:sz="8" w:space="0" w:color="000000"/>
              <w:left w:val="single" w:sz="8" w:space="0" w:color="000000"/>
              <w:bottom w:val="single" w:sz="8" w:space="0" w:color="000000"/>
              <w:right w:val="single" w:sz="8" w:space="0" w:color="000000"/>
            </w:tcBorders>
            <w:shd w:val="clear" w:color="auto" w:fill="auto"/>
            <w:tcMar>
              <w:top w:w="72" w:type="dxa"/>
              <w:left w:w="100" w:type="dxa"/>
              <w:bottom w:w="72" w:type="dxa"/>
              <w:right w:w="100" w:type="dxa"/>
            </w:tcMar>
            <w:hideMark/>
          </w:tcPr>
          <w:p w:rsidR="009438E8" w:rsidRPr="002636AE" w:rsidRDefault="009438E8" w:rsidP="009438E8">
            <w:pPr>
              <w:pStyle w:val="NormalWeb"/>
              <w:spacing w:before="0" w:beforeAutospacing="0" w:after="0" w:afterAutospacing="0"/>
              <w:jc w:val="center"/>
              <w:textAlignment w:val="top"/>
              <w:rPr>
                <w:rFonts w:ascii="Roboto" w:hAnsi="Roboto" w:cs="Arial"/>
                <w:sz w:val="18"/>
                <w:szCs w:val="36"/>
              </w:rPr>
            </w:pPr>
            <w:r w:rsidRPr="002636AE">
              <w:rPr>
                <w:rFonts w:ascii="Roboto" w:hAnsi="Roboto"/>
                <w:color w:val="000000"/>
                <w:kern w:val="24"/>
                <w:sz w:val="18"/>
              </w:rPr>
              <w:t>Accidente automovilístico</w:t>
            </w:r>
          </w:p>
        </w:tc>
      </w:tr>
    </w:tbl>
    <w:p w:rsidR="002636AE" w:rsidRDefault="0015435A">
      <w:pPr>
        <w:jc w:val="both"/>
        <w:rPr>
          <w:rFonts w:ascii="Roboto" w:eastAsia="Roboto" w:hAnsi="Roboto" w:cs="Roboto"/>
          <w:i/>
          <w:sz w:val="20"/>
          <w:szCs w:val="20"/>
        </w:rPr>
      </w:pPr>
      <w:r>
        <w:rPr>
          <w:rFonts w:ascii="Roboto" w:eastAsia="Roboto" w:hAnsi="Roboto" w:cs="Roboto"/>
          <w:color w:val="000000"/>
          <w:sz w:val="20"/>
          <w:szCs w:val="20"/>
        </w:rPr>
        <w:t xml:space="preserve"> </w:t>
      </w:r>
      <w:r w:rsidR="002636AE" w:rsidRPr="004E202D">
        <w:rPr>
          <w:rFonts w:ascii="Roboto" w:eastAsia="Roboto" w:hAnsi="Roboto" w:cs="Roboto"/>
          <w:i/>
          <w:sz w:val="20"/>
          <w:szCs w:val="20"/>
        </w:rPr>
        <w:t>Abreviaturas: ID, Identificación participante</w:t>
      </w:r>
      <w:r w:rsidR="004E202D">
        <w:rPr>
          <w:rFonts w:ascii="Roboto" w:eastAsia="Roboto" w:hAnsi="Roboto" w:cs="Roboto"/>
          <w:i/>
          <w:sz w:val="20"/>
          <w:szCs w:val="20"/>
        </w:rPr>
        <w:t>;</w:t>
      </w:r>
      <w:r w:rsidR="002636AE" w:rsidRPr="004E202D">
        <w:rPr>
          <w:rFonts w:ascii="Roboto" w:eastAsia="Roboto" w:hAnsi="Roboto" w:cs="Roboto"/>
          <w:i/>
          <w:sz w:val="20"/>
          <w:szCs w:val="20"/>
        </w:rPr>
        <w:t xml:space="preserve"> AIS, Escala para la evaluación de la lesión medular</w:t>
      </w:r>
      <w:r w:rsidR="004E202D">
        <w:rPr>
          <w:rFonts w:ascii="Roboto" w:eastAsia="Roboto" w:hAnsi="Roboto" w:cs="Roboto"/>
          <w:i/>
          <w:sz w:val="20"/>
          <w:szCs w:val="20"/>
        </w:rPr>
        <w:t>;</w:t>
      </w:r>
      <w:r w:rsidR="002636AE" w:rsidRPr="004E202D">
        <w:rPr>
          <w:rFonts w:ascii="Roboto" w:eastAsia="Roboto" w:hAnsi="Roboto" w:cs="Roboto"/>
          <w:i/>
          <w:sz w:val="20"/>
          <w:szCs w:val="20"/>
        </w:rPr>
        <w:t xml:space="preserve"> NN, Nivel Neurológico</w:t>
      </w:r>
      <w:r w:rsidR="004E202D">
        <w:rPr>
          <w:rFonts w:ascii="Roboto" w:eastAsia="Roboto" w:hAnsi="Roboto" w:cs="Roboto"/>
          <w:i/>
          <w:sz w:val="20"/>
          <w:szCs w:val="20"/>
        </w:rPr>
        <w:t>; M, masculino</w:t>
      </w:r>
      <w:r w:rsidR="002636AE" w:rsidRPr="004E202D">
        <w:rPr>
          <w:rFonts w:ascii="Roboto" w:eastAsia="Roboto" w:hAnsi="Roboto" w:cs="Roboto"/>
          <w:i/>
          <w:sz w:val="20"/>
          <w:szCs w:val="20"/>
        </w:rPr>
        <w:t>.</w:t>
      </w:r>
    </w:p>
    <w:p w:rsidR="00D041F7" w:rsidRPr="004E202D" w:rsidRDefault="00D041F7">
      <w:pPr>
        <w:jc w:val="both"/>
        <w:rPr>
          <w:rFonts w:ascii="Roboto" w:eastAsia="Roboto" w:hAnsi="Roboto" w:cs="Roboto"/>
          <w:i/>
          <w:sz w:val="20"/>
          <w:szCs w:val="20"/>
        </w:rPr>
      </w:pPr>
    </w:p>
    <w:p w:rsidR="002636AE" w:rsidRDefault="0039428E">
      <w:pPr>
        <w:jc w:val="both"/>
        <w:rPr>
          <w:rFonts w:ascii="Roboto" w:eastAsia="Roboto" w:hAnsi="Roboto" w:cs="Roboto"/>
          <w:b/>
          <w:sz w:val="20"/>
          <w:szCs w:val="20"/>
        </w:rPr>
      </w:pPr>
      <w:r>
        <w:rPr>
          <w:rFonts w:ascii="Roboto" w:eastAsia="Roboto" w:hAnsi="Roboto" w:cs="Roboto"/>
          <w:noProof/>
          <w:sz w:val="20"/>
          <w:szCs w:val="20"/>
        </w:rPr>
        <w:drawing>
          <wp:inline distT="0" distB="0" distL="0" distR="0" wp14:anchorId="70486F7A" wp14:editId="25E97CA7">
            <wp:extent cx="3111275" cy="2030005"/>
            <wp:effectExtent l="0" t="0" r="0" b="889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a 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19077" cy="2035095"/>
                    </a:xfrm>
                    <a:prstGeom prst="rect">
                      <a:avLst/>
                    </a:prstGeom>
                  </pic:spPr>
                </pic:pic>
              </a:graphicData>
            </a:graphic>
          </wp:inline>
        </w:drawing>
      </w:r>
    </w:p>
    <w:p w:rsidR="004340F1" w:rsidRDefault="0015435A">
      <w:pPr>
        <w:jc w:val="both"/>
        <w:rPr>
          <w:rFonts w:ascii="Roboto" w:eastAsia="Roboto" w:hAnsi="Roboto" w:cs="Roboto"/>
          <w:sz w:val="20"/>
          <w:szCs w:val="20"/>
        </w:rPr>
      </w:pPr>
      <w:r>
        <w:rPr>
          <w:rFonts w:ascii="Roboto" w:eastAsia="Roboto" w:hAnsi="Roboto" w:cs="Roboto"/>
          <w:b/>
          <w:sz w:val="20"/>
          <w:szCs w:val="20"/>
        </w:rPr>
        <w:t>Figura 1</w:t>
      </w:r>
      <w:r>
        <w:rPr>
          <w:rFonts w:ascii="Roboto" w:eastAsia="Roboto" w:hAnsi="Roboto" w:cs="Roboto"/>
          <w:sz w:val="20"/>
          <w:szCs w:val="20"/>
        </w:rPr>
        <w:t xml:space="preserve">. </w:t>
      </w:r>
      <w:r w:rsidR="00D041F7">
        <w:rPr>
          <w:rFonts w:ascii="Roboto" w:eastAsia="Roboto" w:hAnsi="Roboto" w:cs="Roboto"/>
          <w:sz w:val="20"/>
          <w:szCs w:val="20"/>
        </w:rPr>
        <w:t>Pruebas</w:t>
      </w:r>
      <w:r>
        <w:rPr>
          <w:rFonts w:ascii="Roboto" w:eastAsia="Roboto" w:hAnsi="Roboto" w:cs="Roboto"/>
          <w:sz w:val="20"/>
          <w:szCs w:val="20"/>
        </w:rPr>
        <w:t xml:space="preserve"> para la evaluación de la </w:t>
      </w:r>
      <w:r w:rsidR="00D041F7">
        <w:rPr>
          <w:rFonts w:ascii="Roboto" w:eastAsia="Roboto" w:hAnsi="Roboto" w:cs="Roboto"/>
          <w:sz w:val="20"/>
          <w:szCs w:val="20"/>
        </w:rPr>
        <w:t>espasticidad en sujetos con</w:t>
      </w:r>
      <w:r>
        <w:rPr>
          <w:rFonts w:ascii="Roboto" w:eastAsia="Roboto" w:hAnsi="Roboto" w:cs="Roboto"/>
          <w:sz w:val="20"/>
          <w:szCs w:val="20"/>
        </w:rPr>
        <w:t xml:space="preserve"> </w:t>
      </w:r>
      <w:r w:rsidR="00D041F7">
        <w:rPr>
          <w:rFonts w:ascii="Roboto" w:eastAsia="Roboto" w:hAnsi="Roboto" w:cs="Roboto"/>
          <w:sz w:val="20"/>
          <w:szCs w:val="20"/>
        </w:rPr>
        <w:t>LME (</w:t>
      </w:r>
      <w:r w:rsidR="00D041F7" w:rsidRPr="00D041F7">
        <w:rPr>
          <w:rFonts w:ascii="Roboto" w:eastAsia="Roboto" w:hAnsi="Roboto" w:cs="Roboto"/>
          <w:b/>
          <w:sz w:val="20"/>
          <w:szCs w:val="20"/>
        </w:rPr>
        <w:t>A</w:t>
      </w:r>
      <w:r w:rsidR="00D041F7">
        <w:rPr>
          <w:rFonts w:ascii="Roboto" w:eastAsia="Roboto" w:hAnsi="Roboto" w:cs="Roboto"/>
          <w:sz w:val="20"/>
          <w:szCs w:val="20"/>
        </w:rPr>
        <w:t>) y colocación de los electrodos de estimulación de la EET (</w:t>
      </w:r>
      <w:r w:rsidR="00D041F7" w:rsidRPr="00D041F7">
        <w:rPr>
          <w:rFonts w:ascii="Roboto" w:eastAsia="Roboto" w:hAnsi="Roboto" w:cs="Roboto"/>
          <w:b/>
          <w:sz w:val="20"/>
          <w:szCs w:val="20"/>
        </w:rPr>
        <w:t>B</w:t>
      </w:r>
      <w:r w:rsidR="00D041F7">
        <w:rPr>
          <w:rFonts w:ascii="Roboto" w:eastAsia="Roboto" w:hAnsi="Roboto" w:cs="Roboto"/>
          <w:sz w:val="20"/>
          <w:szCs w:val="20"/>
        </w:rPr>
        <w:t>).</w:t>
      </w:r>
    </w:p>
    <w:p w:rsidR="00B40034" w:rsidRDefault="00B40034">
      <w:pPr>
        <w:jc w:val="both"/>
        <w:rPr>
          <w:rFonts w:ascii="Roboto" w:eastAsia="Roboto" w:hAnsi="Roboto" w:cs="Roboto"/>
          <w:sz w:val="20"/>
          <w:szCs w:val="20"/>
        </w:rPr>
      </w:pPr>
    </w:p>
    <w:p w:rsidR="00B40034" w:rsidRDefault="00B40034" w:rsidP="00B40034">
      <w:pPr>
        <w:jc w:val="both"/>
        <w:rPr>
          <w:rFonts w:ascii="Roboto" w:eastAsia="Roboto" w:hAnsi="Roboto" w:cs="Roboto"/>
          <w:b/>
          <w:sz w:val="20"/>
          <w:szCs w:val="20"/>
        </w:rPr>
      </w:pPr>
      <w:r>
        <w:rPr>
          <w:rFonts w:ascii="Roboto" w:eastAsia="Roboto" w:hAnsi="Roboto" w:cs="Roboto"/>
          <w:b/>
          <w:sz w:val="20"/>
          <w:szCs w:val="20"/>
        </w:rPr>
        <w:t>RESULTADOS</w:t>
      </w:r>
    </w:p>
    <w:p w:rsidR="00DF24AA" w:rsidRPr="00DF24AA" w:rsidRDefault="00DF24AA" w:rsidP="00B40034">
      <w:pPr>
        <w:jc w:val="both"/>
        <w:rPr>
          <w:rFonts w:ascii="Roboto" w:eastAsia="Roboto" w:hAnsi="Roboto" w:cs="Roboto"/>
          <w:sz w:val="20"/>
          <w:szCs w:val="20"/>
        </w:rPr>
      </w:pPr>
      <w:r w:rsidRPr="00DF24AA">
        <w:rPr>
          <w:rFonts w:ascii="Roboto" w:eastAsia="Roboto" w:hAnsi="Roboto" w:cs="Roboto"/>
          <w:sz w:val="20"/>
          <w:szCs w:val="20"/>
        </w:rPr>
        <w:t xml:space="preserve">En la </w:t>
      </w:r>
      <w:r w:rsidR="00BC5450">
        <w:rPr>
          <w:rFonts w:ascii="Roboto" w:eastAsia="Roboto" w:hAnsi="Roboto" w:cs="Roboto"/>
          <w:sz w:val="20"/>
          <w:szCs w:val="20"/>
        </w:rPr>
        <w:t>F0</w:t>
      </w:r>
      <w:r w:rsidRPr="00DF24AA">
        <w:rPr>
          <w:rFonts w:ascii="Roboto" w:eastAsia="Roboto" w:hAnsi="Roboto" w:cs="Roboto"/>
          <w:sz w:val="20"/>
          <w:szCs w:val="20"/>
        </w:rPr>
        <w:t>igura 2 se muestran los puntajes individuales y totales de la escala MAS,</w:t>
      </w:r>
      <w:r w:rsidR="00585324">
        <w:rPr>
          <w:rFonts w:ascii="Roboto" w:eastAsia="Roboto" w:hAnsi="Roboto" w:cs="Roboto"/>
          <w:sz w:val="20"/>
          <w:szCs w:val="20"/>
        </w:rPr>
        <w:t xml:space="preserve"> así como la estadística descriptiva</w:t>
      </w:r>
      <w:r w:rsidRPr="00DF24AA">
        <w:rPr>
          <w:rFonts w:ascii="Roboto" w:eastAsia="Roboto" w:hAnsi="Roboto" w:cs="Roboto"/>
          <w:sz w:val="20"/>
          <w:szCs w:val="20"/>
        </w:rPr>
        <w:t xml:space="preserve"> para los movimientos articulares evaluados</w:t>
      </w:r>
      <w:r w:rsidR="00E22313">
        <w:rPr>
          <w:rFonts w:ascii="Roboto" w:eastAsia="Roboto" w:hAnsi="Roboto" w:cs="Roboto"/>
          <w:sz w:val="20"/>
          <w:szCs w:val="20"/>
        </w:rPr>
        <w:t xml:space="preserve"> de las extremidades inferiores. En</w:t>
      </w:r>
      <w:r w:rsidR="00585324">
        <w:rPr>
          <w:rFonts w:ascii="Roboto" w:eastAsia="Roboto" w:hAnsi="Roboto" w:cs="Roboto"/>
          <w:sz w:val="20"/>
          <w:szCs w:val="20"/>
        </w:rPr>
        <w:t xml:space="preserve"> cuanto a la evaluación de la espasticidad</w:t>
      </w:r>
      <w:r w:rsidR="00E22313">
        <w:rPr>
          <w:rFonts w:ascii="Roboto" w:eastAsia="Roboto" w:hAnsi="Roboto" w:cs="Roboto"/>
          <w:sz w:val="20"/>
          <w:szCs w:val="20"/>
        </w:rPr>
        <w:t xml:space="preserve">, se observó una disminución significativa </w:t>
      </w:r>
      <w:r w:rsidR="00600CC1">
        <w:rPr>
          <w:rFonts w:ascii="Roboto" w:eastAsia="Roboto" w:hAnsi="Roboto" w:cs="Roboto"/>
          <w:sz w:val="20"/>
          <w:szCs w:val="20"/>
        </w:rPr>
        <w:t xml:space="preserve">(pre-EET, 29.0 </w:t>
      </w:r>
      <w:r w:rsidR="00600CC1">
        <w:rPr>
          <w:rFonts w:ascii="Arial" w:eastAsia="Roboto" w:hAnsi="Arial" w:cs="Arial"/>
          <w:sz w:val="20"/>
          <w:szCs w:val="20"/>
        </w:rPr>
        <w:t xml:space="preserve">± </w:t>
      </w:r>
      <w:r w:rsidR="00600CC1">
        <w:rPr>
          <w:rFonts w:ascii="Roboto" w:eastAsia="Roboto" w:hAnsi="Roboto" w:cs="Roboto"/>
          <w:sz w:val="20"/>
          <w:szCs w:val="20"/>
        </w:rPr>
        <w:t xml:space="preserve">8.63 vs. post-EET, 9.0 </w:t>
      </w:r>
      <w:r w:rsidR="00600CC1">
        <w:rPr>
          <w:rFonts w:ascii="Arial" w:eastAsia="Roboto" w:hAnsi="Arial" w:cs="Arial"/>
          <w:sz w:val="20"/>
          <w:szCs w:val="20"/>
        </w:rPr>
        <w:t xml:space="preserve">± </w:t>
      </w:r>
      <w:r w:rsidR="00600CC1">
        <w:rPr>
          <w:rFonts w:ascii="Roboto" w:eastAsia="Roboto" w:hAnsi="Roboto" w:cs="Roboto"/>
          <w:sz w:val="20"/>
          <w:szCs w:val="20"/>
        </w:rPr>
        <w:t>2.73, p=0.004) después de 15 min de la EET</w:t>
      </w:r>
      <w:r w:rsidR="00585324">
        <w:rPr>
          <w:rFonts w:ascii="Roboto" w:eastAsia="Roboto" w:hAnsi="Roboto" w:cs="Roboto"/>
          <w:sz w:val="20"/>
          <w:szCs w:val="20"/>
        </w:rPr>
        <w:t xml:space="preserve"> a 100 Hz</w:t>
      </w:r>
      <w:r w:rsidR="00600CC1">
        <w:rPr>
          <w:rFonts w:ascii="Roboto" w:eastAsia="Roboto" w:hAnsi="Roboto" w:cs="Roboto"/>
          <w:sz w:val="20"/>
          <w:szCs w:val="20"/>
        </w:rPr>
        <w:t>. El análisis de EMG mostró</w:t>
      </w:r>
      <w:r w:rsidR="00585324">
        <w:rPr>
          <w:rFonts w:ascii="Roboto" w:eastAsia="Roboto" w:hAnsi="Roboto" w:cs="Roboto"/>
          <w:sz w:val="20"/>
          <w:szCs w:val="20"/>
        </w:rPr>
        <w:t xml:space="preserve"> diferencias estadísticamente significativas </w:t>
      </w:r>
      <w:r w:rsidR="00755AD4">
        <w:rPr>
          <w:rFonts w:ascii="Roboto" w:eastAsia="Roboto" w:hAnsi="Roboto" w:cs="Roboto"/>
          <w:sz w:val="20"/>
          <w:szCs w:val="20"/>
        </w:rPr>
        <w:t xml:space="preserve">(pre-EET vs. post-EET) </w:t>
      </w:r>
      <w:r w:rsidR="00585324">
        <w:rPr>
          <w:rFonts w:ascii="Roboto" w:eastAsia="Roboto" w:hAnsi="Roboto" w:cs="Roboto"/>
          <w:sz w:val="20"/>
          <w:szCs w:val="20"/>
        </w:rPr>
        <w:t xml:space="preserve">en la prueba de cambio de posición respecto al tiempo de contracción en la pierna derecha </w:t>
      </w:r>
      <w:r w:rsidR="00755AD4">
        <w:rPr>
          <w:rFonts w:ascii="Roboto" w:eastAsia="Roboto" w:hAnsi="Roboto" w:cs="Roboto"/>
          <w:sz w:val="20"/>
          <w:szCs w:val="20"/>
        </w:rPr>
        <w:t>(</w:t>
      </w:r>
      <w:r w:rsidR="00585324">
        <w:rPr>
          <w:rFonts w:ascii="Roboto" w:eastAsia="Roboto" w:hAnsi="Roboto" w:cs="Roboto"/>
          <w:sz w:val="20"/>
          <w:szCs w:val="20"/>
        </w:rPr>
        <w:t xml:space="preserve">p=0.015), no así en la pierna izquierda (p&gt;0.05). </w:t>
      </w:r>
      <w:r w:rsidR="00755AD4">
        <w:rPr>
          <w:rFonts w:ascii="Roboto" w:eastAsia="Roboto" w:hAnsi="Roboto" w:cs="Roboto"/>
          <w:sz w:val="20"/>
          <w:szCs w:val="20"/>
        </w:rPr>
        <w:t>También</w:t>
      </w:r>
      <w:r w:rsidR="00585324">
        <w:rPr>
          <w:rFonts w:ascii="Roboto" w:eastAsia="Roboto" w:hAnsi="Roboto" w:cs="Roboto"/>
          <w:sz w:val="20"/>
          <w:szCs w:val="20"/>
        </w:rPr>
        <w:t xml:space="preserve"> se halló una </w:t>
      </w:r>
      <w:r w:rsidR="00585324">
        <w:rPr>
          <w:rFonts w:ascii="Roboto" w:eastAsia="Roboto" w:hAnsi="Roboto" w:cs="Roboto"/>
          <w:sz w:val="20"/>
          <w:szCs w:val="20"/>
        </w:rPr>
        <w:lastRenderedPageBreak/>
        <w:t>diferencia estadística en el AUC en la pierna izquierda (p=0.014), pero no en la pierna derecha (p&gt;0.05)</w:t>
      </w:r>
      <w:r w:rsidR="00755AD4">
        <w:rPr>
          <w:rFonts w:ascii="Roboto" w:eastAsia="Roboto" w:hAnsi="Roboto" w:cs="Roboto"/>
          <w:sz w:val="20"/>
          <w:szCs w:val="20"/>
        </w:rPr>
        <w:t xml:space="preserve"> (Figura 3)</w:t>
      </w:r>
      <w:r w:rsidR="00585324">
        <w:rPr>
          <w:rFonts w:ascii="Roboto" w:eastAsia="Roboto" w:hAnsi="Roboto" w:cs="Roboto"/>
          <w:sz w:val="20"/>
          <w:szCs w:val="20"/>
        </w:rPr>
        <w:t>.</w:t>
      </w:r>
    </w:p>
    <w:p w:rsidR="00B40034" w:rsidRDefault="00B40034">
      <w:pPr>
        <w:jc w:val="both"/>
        <w:rPr>
          <w:rFonts w:ascii="Roboto" w:eastAsia="Roboto" w:hAnsi="Roboto" w:cs="Roboto"/>
          <w:sz w:val="20"/>
          <w:szCs w:val="20"/>
        </w:rPr>
      </w:pPr>
    </w:p>
    <w:p w:rsidR="00A43191" w:rsidRDefault="00D041F7">
      <w:pPr>
        <w:jc w:val="both"/>
        <w:rPr>
          <w:rFonts w:ascii="Roboto" w:eastAsia="Roboto" w:hAnsi="Roboto" w:cs="Roboto"/>
          <w:sz w:val="20"/>
          <w:szCs w:val="20"/>
        </w:rPr>
      </w:pPr>
      <w:r>
        <w:rPr>
          <w:rFonts w:ascii="Roboto" w:eastAsia="Roboto" w:hAnsi="Roboto" w:cs="Roboto"/>
          <w:noProof/>
          <w:sz w:val="20"/>
          <w:szCs w:val="20"/>
        </w:rPr>
        <w:drawing>
          <wp:inline distT="0" distB="0" distL="0" distR="0">
            <wp:extent cx="3123211" cy="4502377"/>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a 2_MAS.png.tif"/>
                    <pic:cNvPicPr/>
                  </pic:nvPicPr>
                  <pic:blipFill>
                    <a:blip r:embed="rId10">
                      <a:extLst>
                        <a:ext uri="{28A0092B-C50C-407E-A947-70E740481C1C}">
                          <a14:useLocalDpi xmlns:a14="http://schemas.microsoft.com/office/drawing/2010/main" val="0"/>
                        </a:ext>
                      </a:extLst>
                    </a:blip>
                    <a:stretch>
                      <a:fillRect/>
                    </a:stretch>
                  </pic:blipFill>
                  <pic:spPr>
                    <a:xfrm>
                      <a:off x="0" y="0"/>
                      <a:ext cx="3129518" cy="4511468"/>
                    </a:xfrm>
                    <a:prstGeom prst="rect">
                      <a:avLst/>
                    </a:prstGeom>
                  </pic:spPr>
                </pic:pic>
              </a:graphicData>
            </a:graphic>
          </wp:inline>
        </w:drawing>
      </w:r>
    </w:p>
    <w:p w:rsidR="00B40034" w:rsidRDefault="00A43191" w:rsidP="00B40034">
      <w:pPr>
        <w:jc w:val="both"/>
        <w:rPr>
          <w:rFonts w:ascii="Roboto" w:eastAsia="Roboto" w:hAnsi="Roboto" w:cs="Roboto"/>
          <w:sz w:val="20"/>
          <w:szCs w:val="20"/>
        </w:rPr>
      </w:pPr>
      <w:r w:rsidRPr="008E5EAA">
        <w:rPr>
          <w:rFonts w:ascii="Roboto" w:eastAsia="Roboto" w:hAnsi="Roboto" w:cs="Roboto"/>
          <w:b/>
          <w:sz w:val="20"/>
          <w:szCs w:val="20"/>
        </w:rPr>
        <w:t>Figura 2.</w:t>
      </w:r>
      <w:r w:rsidR="008E5EAA">
        <w:rPr>
          <w:rFonts w:ascii="Roboto" w:eastAsia="Roboto" w:hAnsi="Roboto" w:cs="Roboto"/>
          <w:sz w:val="20"/>
          <w:szCs w:val="20"/>
        </w:rPr>
        <w:t xml:space="preserve"> Evaluación de la espasticidad mediante la escala MAS pre </w:t>
      </w:r>
      <w:r w:rsidR="00B40034">
        <w:rPr>
          <w:rFonts w:ascii="Roboto" w:eastAsia="Roboto" w:hAnsi="Roboto" w:cs="Roboto"/>
          <w:sz w:val="20"/>
          <w:szCs w:val="20"/>
        </w:rPr>
        <w:t>vs.</w:t>
      </w:r>
      <w:r w:rsidR="008E5EAA">
        <w:rPr>
          <w:rFonts w:ascii="Roboto" w:eastAsia="Roboto" w:hAnsi="Roboto" w:cs="Roboto"/>
          <w:sz w:val="20"/>
          <w:szCs w:val="20"/>
        </w:rPr>
        <w:t xml:space="preserve"> </w:t>
      </w:r>
      <w:proofErr w:type="spellStart"/>
      <w:r w:rsidR="008E5EAA">
        <w:rPr>
          <w:rFonts w:ascii="Roboto" w:eastAsia="Roboto" w:hAnsi="Roboto" w:cs="Roboto"/>
          <w:sz w:val="20"/>
          <w:szCs w:val="20"/>
        </w:rPr>
        <w:t>post</w:t>
      </w:r>
      <w:r w:rsidR="009A5D3D">
        <w:rPr>
          <w:rFonts w:ascii="Roboto" w:eastAsia="Roboto" w:hAnsi="Roboto" w:cs="Roboto"/>
          <w:sz w:val="20"/>
          <w:szCs w:val="20"/>
        </w:rPr>
        <w:t>-</w:t>
      </w:r>
      <w:r w:rsidR="008E5EAA">
        <w:rPr>
          <w:rFonts w:ascii="Roboto" w:eastAsia="Roboto" w:hAnsi="Roboto" w:cs="Roboto"/>
          <w:sz w:val="20"/>
          <w:szCs w:val="20"/>
        </w:rPr>
        <w:t>tSCS</w:t>
      </w:r>
      <w:proofErr w:type="spellEnd"/>
      <w:r w:rsidR="008E5EAA">
        <w:rPr>
          <w:rFonts w:ascii="Roboto" w:eastAsia="Roboto" w:hAnsi="Roboto" w:cs="Roboto"/>
          <w:sz w:val="20"/>
          <w:szCs w:val="20"/>
        </w:rPr>
        <w:t>.</w:t>
      </w:r>
      <w:r w:rsidR="006D3F6F">
        <w:rPr>
          <w:rFonts w:ascii="Roboto" w:eastAsia="Roboto" w:hAnsi="Roboto" w:cs="Roboto"/>
          <w:sz w:val="20"/>
          <w:szCs w:val="20"/>
        </w:rPr>
        <w:t xml:space="preserve"> </w:t>
      </w:r>
      <w:r w:rsidR="00B40034">
        <w:rPr>
          <w:rFonts w:ascii="Roboto" w:eastAsia="Roboto" w:hAnsi="Roboto" w:cs="Roboto"/>
          <w:sz w:val="20"/>
          <w:szCs w:val="20"/>
        </w:rPr>
        <w:t xml:space="preserve">**p=0.004, prueba t </w:t>
      </w:r>
      <w:proofErr w:type="spellStart"/>
      <w:r w:rsidR="00B40034">
        <w:rPr>
          <w:rFonts w:ascii="Roboto" w:eastAsia="Roboto" w:hAnsi="Roboto" w:cs="Roboto"/>
          <w:sz w:val="20"/>
          <w:szCs w:val="20"/>
        </w:rPr>
        <w:t>student</w:t>
      </w:r>
      <w:proofErr w:type="spellEnd"/>
      <w:r w:rsidR="00B40034">
        <w:rPr>
          <w:rFonts w:ascii="Roboto" w:eastAsia="Roboto" w:hAnsi="Roboto" w:cs="Roboto"/>
          <w:sz w:val="20"/>
          <w:szCs w:val="20"/>
        </w:rPr>
        <w:t>, (IC 95%: 9.45, 30.54)</w:t>
      </w:r>
      <w:r w:rsidR="00D041F7">
        <w:rPr>
          <w:rFonts w:ascii="Roboto" w:eastAsia="Roboto" w:hAnsi="Roboto" w:cs="Roboto"/>
          <w:sz w:val="20"/>
          <w:szCs w:val="20"/>
        </w:rPr>
        <w:t>.</w:t>
      </w:r>
    </w:p>
    <w:p w:rsidR="00585324" w:rsidRDefault="00585324" w:rsidP="00B40034">
      <w:pPr>
        <w:jc w:val="both"/>
        <w:rPr>
          <w:rFonts w:ascii="Roboto" w:eastAsia="Roboto" w:hAnsi="Roboto" w:cs="Roboto"/>
          <w:sz w:val="20"/>
          <w:szCs w:val="20"/>
        </w:rPr>
      </w:pPr>
    </w:p>
    <w:p w:rsidR="00585324" w:rsidRDefault="00585324" w:rsidP="00B40034">
      <w:pPr>
        <w:jc w:val="both"/>
        <w:rPr>
          <w:rFonts w:ascii="Roboto" w:eastAsia="Roboto" w:hAnsi="Roboto" w:cs="Roboto"/>
          <w:sz w:val="20"/>
          <w:szCs w:val="20"/>
        </w:rPr>
      </w:pPr>
      <w:r>
        <w:rPr>
          <w:rFonts w:ascii="Roboto" w:eastAsia="Roboto" w:hAnsi="Roboto" w:cs="Roboto"/>
          <w:sz w:val="20"/>
          <w:szCs w:val="20"/>
        </w:rPr>
        <w:t xml:space="preserve">Respecto a la </w:t>
      </w:r>
      <w:r w:rsidR="00755AD4">
        <w:rPr>
          <w:rFonts w:ascii="Roboto" w:eastAsia="Roboto" w:hAnsi="Roboto" w:cs="Roboto"/>
          <w:sz w:val="20"/>
          <w:szCs w:val="20"/>
        </w:rPr>
        <w:t>estimulación</w:t>
      </w:r>
      <w:r>
        <w:rPr>
          <w:rFonts w:ascii="Roboto" w:eastAsia="Roboto" w:hAnsi="Roboto" w:cs="Roboto"/>
          <w:sz w:val="20"/>
          <w:szCs w:val="20"/>
        </w:rPr>
        <w:t xml:space="preserve"> plantar, se encontraron diferencias estadísticamente significativas </w:t>
      </w:r>
      <w:r w:rsidR="00755AD4">
        <w:rPr>
          <w:rFonts w:ascii="Roboto" w:eastAsia="Roboto" w:hAnsi="Roboto" w:cs="Roboto"/>
          <w:sz w:val="20"/>
          <w:szCs w:val="20"/>
        </w:rPr>
        <w:t>(pre-EET vs. post-EET) en la prueba de estimulación plantar respecto al tiempo de contracción en la pierna derecha (p=0.003) como en la izquierda (p=0.014), mientras que en el AUC no se encontraron diferencias estadísticamente significativas en ambas piernas (p&gt;0.05) (Figura 3).</w:t>
      </w:r>
    </w:p>
    <w:p w:rsidR="00A43191" w:rsidRDefault="00A43191">
      <w:pPr>
        <w:jc w:val="both"/>
        <w:rPr>
          <w:rFonts w:ascii="Roboto" w:eastAsia="Roboto" w:hAnsi="Roboto" w:cs="Roboto"/>
          <w:sz w:val="20"/>
          <w:szCs w:val="20"/>
        </w:rPr>
      </w:pPr>
    </w:p>
    <w:p w:rsidR="00755AD4" w:rsidRDefault="00755AD4" w:rsidP="00755AD4">
      <w:pPr>
        <w:jc w:val="both"/>
        <w:rPr>
          <w:rFonts w:ascii="Roboto" w:eastAsia="Roboto" w:hAnsi="Roboto" w:cs="Roboto"/>
          <w:b/>
          <w:sz w:val="20"/>
          <w:szCs w:val="20"/>
        </w:rPr>
      </w:pPr>
      <w:r w:rsidRPr="00A43191">
        <w:rPr>
          <w:rFonts w:ascii="Roboto" w:eastAsia="Roboto" w:hAnsi="Roboto" w:cs="Roboto"/>
          <w:b/>
          <w:sz w:val="20"/>
          <w:szCs w:val="20"/>
        </w:rPr>
        <w:t>DISCUSIÓN Y CONCLUSIONES</w:t>
      </w:r>
    </w:p>
    <w:p w:rsidR="00755AD4" w:rsidRPr="002636AE" w:rsidRDefault="00755AD4" w:rsidP="00755AD4">
      <w:pPr>
        <w:jc w:val="both"/>
        <w:rPr>
          <w:rFonts w:ascii="Roboto" w:eastAsia="Roboto" w:hAnsi="Roboto" w:cs="Roboto"/>
          <w:sz w:val="20"/>
          <w:szCs w:val="20"/>
        </w:rPr>
      </w:pPr>
      <w:r>
        <w:rPr>
          <w:rFonts w:ascii="Roboto" w:eastAsia="Roboto" w:hAnsi="Roboto" w:cs="Roboto"/>
          <w:sz w:val="20"/>
          <w:szCs w:val="20"/>
        </w:rPr>
        <w:t>La EET aplicada a 100 Hz durante 15 minutos, redujo la espasticidad de manera clínica</w:t>
      </w:r>
      <w:r w:rsidR="00021197">
        <w:rPr>
          <w:rFonts w:ascii="Roboto" w:eastAsia="Roboto" w:hAnsi="Roboto" w:cs="Roboto"/>
          <w:sz w:val="20"/>
          <w:szCs w:val="20"/>
        </w:rPr>
        <w:t xml:space="preserve"> y estadísticamente</w:t>
      </w:r>
      <w:r>
        <w:rPr>
          <w:rFonts w:ascii="Roboto" w:eastAsia="Roboto" w:hAnsi="Roboto" w:cs="Roboto"/>
          <w:sz w:val="20"/>
          <w:szCs w:val="20"/>
        </w:rPr>
        <w:t xml:space="preserve"> significativa en todos los participantes</w:t>
      </w:r>
      <w:r w:rsidR="00021197">
        <w:rPr>
          <w:rFonts w:ascii="Roboto" w:eastAsia="Roboto" w:hAnsi="Roboto" w:cs="Roboto"/>
          <w:sz w:val="20"/>
          <w:szCs w:val="20"/>
        </w:rPr>
        <w:t xml:space="preserve"> (Figura 2)</w:t>
      </w:r>
      <w:r>
        <w:rPr>
          <w:rFonts w:ascii="Roboto" w:eastAsia="Roboto" w:hAnsi="Roboto" w:cs="Roboto"/>
          <w:sz w:val="20"/>
          <w:szCs w:val="20"/>
        </w:rPr>
        <w:t>. No se registraron eventos adversos</w:t>
      </w:r>
      <w:r w:rsidR="00021197">
        <w:rPr>
          <w:rFonts w:ascii="Roboto" w:eastAsia="Roboto" w:hAnsi="Roboto" w:cs="Roboto"/>
          <w:sz w:val="20"/>
          <w:szCs w:val="20"/>
        </w:rPr>
        <w:t xml:space="preserve"> durante la aplicación de la EET. </w:t>
      </w:r>
      <w:r w:rsidRPr="00DC1B15">
        <w:rPr>
          <w:rFonts w:ascii="Roboto" w:eastAsia="Roboto" w:hAnsi="Roboto" w:cs="Roboto"/>
          <w:sz w:val="20"/>
          <w:szCs w:val="20"/>
        </w:rPr>
        <w:t>Estos resultados son similares a los reporta</w:t>
      </w:r>
      <w:r w:rsidR="00021197" w:rsidRPr="00DC1B15">
        <w:rPr>
          <w:rFonts w:ascii="Roboto" w:eastAsia="Roboto" w:hAnsi="Roboto" w:cs="Roboto"/>
          <w:sz w:val="20"/>
          <w:szCs w:val="20"/>
        </w:rPr>
        <w:t>d</w:t>
      </w:r>
      <w:r w:rsidRPr="00DC1B15">
        <w:rPr>
          <w:rFonts w:ascii="Roboto" w:eastAsia="Roboto" w:hAnsi="Roboto" w:cs="Roboto"/>
          <w:sz w:val="20"/>
          <w:szCs w:val="20"/>
        </w:rPr>
        <w:t>os en estudios previos, aplicando 50 Hz.</w:t>
      </w:r>
      <w:r w:rsidR="00160462">
        <w:rPr>
          <w:rFonts w:ascii="Roboto" w:eastAsia="Roboto" w:hAnsi="Roboto" w:cs="Roboto"/>
          <w:sz w:val="20"/>
          <w:szCs w:val="20"/>
        </w:rPr>
        <w:fldChar w:fldCharType="begin"/>
      </w:r>
      <w:r w:rsidR="00160462">
        <w:rPr>
          <w:rFonts w:ascii="Roboto" w:eastAsia="Roboto" w:hAnsi="Roboto" w:cs="Roboto"/>
          <w:sz w:val="20"/>
          <w:szCs w:val="20"/>
        </w:rPr>
        <w:instrText xml:space="preserve"> ADDIN ZOTERO_ITEM CSL_CITATION {"citationID":"ckypO952","properties":{"formattedCitation":"(Hofstoetter et al., 2020; Minassian et al., 2024)","plainCitation":"(Hofstoetter et al., 2020; Minassian et al., 2024)","noteIndex":0},"citationItems":[{"id":76,"uris":["http://zotero.org/users/local/N4kKongb/items/B62QZXKR"],"itemData":{"id":76,"type":"article-journal","abstract":"Epidural spinal cord stimulation (SCS) is currently regarded as a breakthrough procedure for enabling movement after spinal cord injury (SCI), yet one of its original applications was for spinal spasticity. An emergent method that activates similar target neural structures noninvasively is transcutaneous SCS. Its clinical value for spasticity control would depend on inducing carry</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over effects, because the surface</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electrode</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based approach cannot be applied chronically. We evaluated single</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session effects of transcutaneous lumbar SCS in twelve individuals with SCI by a test</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battery approach, before, immediately post</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 xml:space="preserve"> and two hours post</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intervention. Stimulation was applied for 30 minutes at 50 Hz with an intensity sub</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threshold for eliciting reflexes in lower extremity muscles. The tests included evaluations of stretch</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induced spasticity (Modified Ashworth Scale (MAS) sum score, pendulum test, electromyography</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based evaluation of tonic stretch reflexes), clonus, cutaneous</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input</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evoked spasms, and the timed 10</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meter walk test. Across participants, the MAS sum score, clonus, and spasms were significantly reduced immediately after SCS, and all spasticity measures were improved two hours postintervention, with large effect sizes and including clinically meaningful improvements. The effect on walking speed varied across individuals. We further conducted a single</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case multi</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session study over six weeks to explore the applicability of transcutaneous SCS as a home</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based therapy. Self</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application of the intervention was successful; weekly evaluations suggested progressively improving therapeutic effects during the active period and carry</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over effects for seven days. Our results suggest that transcutaneous SCS can be a viable non</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pharmacological option for managing spasticity, likely working through enhancing pre</w:instrText>
      </w:r>
      <w:r w:rsidR="00160462">
        <w:rPr>
          <w:rFonts w:ascii="Cambria Math" w:eastAsia="Roboto" w:hAnsi="Cambria Math" w:cs="Cambria Math"/>
          <w:sz w:val="20"/>
          <w:szCs w:val="20"/>
        </w:rPr>
        <w:instrText>‐</w:instrText>
      </w:r>
      <w:r w:rsidR="00160462">
        <w:rPr>
          <w:rFonts w:ascii="Roboto" w:eastAsia="Roboto" w:hAnsi="Roboto" w:cs="Roboto"/>
          <w:sz w:val="20"/>
          <w:szCs w:val="20"/>
        </w:rPr>
        <w:instrText xml:space="preserve"> and postsynaptic spinal inhibitory mechanisms, and may additionally serve to identify responders to treatments with epidural SCS.","con</w:instrText>
      </w:r>
      <w:r w:rsidR="00160462" w:rsidRPr="00BC5450">
        <w:rPr>
          <w:rFonts w:ascii="Roboto" w:eastAsia="Roboto" w:hAnsi="Roboto" w:cs="Roboto"/>
          <w:sz w:val="20"/>
          <w:szCs w:val="20"/>
        </w:rPr>
        <w:instrText xml:space="preserve">tainer-title":"Journal of Neurotrauma","DOI":"10.1089/neu.2019.6588","ISSN":"0897-7151, 1557-9042","issue":"3","journalAbbreviation":"Journal of Neurotrauma","language":"en","page":"481-493","source":"DOI.org (Crossref)","title":"Transcutaneous Spinal Cord Stimulation Induces Temporary Attenuation of Spasticity in Individuals with Spinal Cord Injury","volume":"37","author":[{"family":"Hofstoetter","given":"Ursula S."},{"family":"Freundl","given":"Brigitta"},{"family":"Danner","given":"Simon M."},{"family":"Krenn","given":"Matthias J."},{"family":"Mayr","given":"Winfried"},{"family":"Binder","given":"Heinrich"},{"family":"Minassian","given":"Karen"}],"issued":{"date-parts":[["2020",2,1]]}}},{"id":758,"uris":["http://zotero.org/users/local/N4kKongb/items/UERD7962"],"itemData":{"id":758,"type":"article-journal","container-title":"Cell Reports Medicine","DOI":"10.1016/j.xcrm.2024.101805","ISSN":"2666-3791","issue":"11","publisher":"Elsevier","title":"Transcutaneous spinal cord stimulation neuromodulates pre- and postsynaptic inhibition in the control of spinal spasticity","URL":"https://doi.org/10.1016/j.xcrm.2024.101805","volume":"5","author":[{"family":"Minassian","given":"Karen"},{"family":"Freundl","given":"Brigitta"},{"family":"Lackner","given":"Peter"},{"family":"Hofstoetter","given":"Ursula S."}],"accessed":{"date-parts":[["2025",10,23]]},"issued":{"date-parts":[["2024",11,19]]}}}],"schema":"https://github.com/citation-style-language/schema/raw/master/csl-citation.json"} </w:instrText>
      </w:r>
      <w:r w:rsidR="00160462">
        <w:rPr>
          <w:rFonts w:ascii="Roboto" w:eastAsia="Roboto" w:hAnsi="Roboto" w:cs="Roboto"/>
          <w:sz w:val="20"/>
          <w:szCs w:val="20"/>
        </w:rPr>
        <w:fldChar w:fldCharType="separate"/>
      </w:r>
      <w:r w:rsidR="00160462" w:rsidRPr="00BC5450">
        <w:rPr>
          <w:rFonts w:ascii="Roboto" w:eastAsia="Roboto" w:hAnsi="Roboto"/>
          <w:sz w:val="20"/>
        </w:rPr>
        <w:t>(Hofstoetter et al., 2020; Minassian et al., 2024)</w:t>
      </w:r>
      <w:r w:rsidR="00160462">
        <w:rPr>
          <w:rFonts w:ascii="Roboto" w:eastAsia="Roboto" w:hAnsi="Roboto" w:cs="Roboto"/>
          <w:sz w:val="20"/>
          <w:szCs w:val="20"/>
        </w:rPr>
        <w:fldChar w:fldCharType="end"/>
      </w:r>
      <w:r w:rsidR="00DC1B15" w:rsidRPr="00BC5450">
        <w:rPr>
          <w:rFonts w:ascii="Roboto" w:eastAsia="Roboto" w:hAnsi="Roboto" w:cs="Roboto"/>
          <w:color w:val="000000"/>
          <w:sz w:val="20"/>
          <w:szCs w:val="20"/>
        </w:rPr>
        <w:t>.</w:t>
      </w:r>
      <w:r w:rsidR="00160462" w:rsidRPr="00BC5450">
        <w:rPr>
          <w:rFonts w:ascii="Roboto" w:eastAsia="Roboto" w:hAnsi="Roboto" w:cs="Roboto"/>
          <w:color w:val="000000"/>
          <w:sz w:val="20"/>
          <w:szCs w:val="20"/>
        </w:rPr>
        <w:t xml:space="preserve"> </w:t>
      </w:r>
      <w:r w:rsidR="00DC1B15">
        <w:rPr>
          <w:rFonts w:ascii="Roboto" w:eastAsia="Roboto" w:hAnsi="Roboto" w:cs="Roboto"/>
          <w:color w:val="000000"/>
          <w:sz w:val="20"/>
          <w:szCs w:val="20"/>
        </w:rPr>
        <w:t>Sin embargo, s</w:t>
      </w:r>
      <w:r>
        <w:rPr>
          <w:rFonts w:ascii="Roboto" w:eastAsia="Roboto" w:hAnsi="Roboto" w:cs="Roboto"/>
          <w:sz w:val="20"/>
          <w:szCs w:val="20"/>
        </w:rPr>
        <w:t xml:space="preserve">e requieren estudios longitudinales con muestras más grandes para determinar la eficacia de la EET en la reducción de la espasticidad </w:t>
      </w:r>
      <w:r w:rsidR="00DC1B15">
        <w:rPr>
          <w:rFonts w:ascii="Roboto" w:eastAsia="Roboto" w:hAnsi="Roboto" w:cs="Roboto"/>
          <w:sz w:val="20"/>
          <w:szCs w:val="20"/>
        </w:rPr>
        <w:t xml:space="preserve">permanente </w:t>
      </w:r>
      <w:r>
        <w:rPr>
          <w:rFonts w:ascii="Roboto" w:eastAsia="Roboto" w:hAnsi="Roboto" w:cs="Roboto"/>
          <w:sz w:val="20"/>
          <w:szCs w:val="20"/>
        </w:rPr>
        <w:t>en sujetos con lesión medular crónica</w:t>
      </w:r>
      <w:r w:rsidR="00DC1B15">
        <w:rPr>
          <w:rFonts w:ascii="Roboto" w:eastAsia="Roboto" w:hAnsi="Roboto" w:cs="Roboto"/>
          <w:sz w:val="20"/>
          <w:szCs w:val="20"/>
        </w:rPr>
        <w:t>, tanto completa como incompleta</w:t>
      </w:r>
      <w:r>
        <w:rPr>
          <w:rFonts w:ascii="Roboto" w:eastAsia="Roboto" w:hAnsi="Roboto" w:cs="Roboto"/>
          <w:sz w:val="20"/>
          <w:szCs w:val="20"/>
        </w:rPr>
        <w:t xml:space="preserve">. De determinarse efectos acumulativos, el uso de la EET podría ser </w:t>
      </w:r>
      <w:r w:rsidR="00DC1B15">
        <w:rPr>
          <w:rFonts w:ascii="Roboto" w:eastAsia="Roboto" w:hAnsi="Roboto" w:cs="Roboto"/>
          <w:sz w:val="20"/>
          <w:szCs w:val="20"/>
        </w:rPr>
        <w:t xml:space="preserve">trasladarse a la clínica como parte de las </w:t>
      </w:r>
      <w:r w:rsidR="00DC1B15">
        <w:rPr>
          <w:rFonts w:ascii="Roboto" w:eastAsia="Roboto" w:hAnsi="Roboto" w:cs="Roboto"/>
          <w:sz w:val="20"/>
          <w:szCs w:val="20"/>
        </w:rPr>
        <w:t>sesiones de</w:t>
      </w:r>
      <w:r>
        <w:rPr>
          <w:rFonts w:ascii="Roboto" w:eastAsia="Roboto" w:hAnsi="Roboto" w:cs="Roboto"/>
          <w:sz w:val="20"/>
          <w:szCs w:val="20"/>
        </w:rPr>
        <w:t xml:space="preserve"> terapia física para la disminución de la espasticidad secundaria a una LME.</w:t>
      </w:r>
    </w:p>
    <w:p w:rsidR="008E5EAA" w:rsidRDefault="00BC5450">
      <w:pPr>
        <w:jc w:val="both"/>
        <w:rPr>
          <w:rFonts w:ascii="Roboto" w:eastAsia="Roboto" w:hAnsi="Roboto" w:cs="Roboto"/>
          <w:sz w:val="20"/>
          <w:szCs w:val="20"/>
        </w:rPr>
      </w:pPr>
      <w:r>
        <w:rPr>
          <w:rFonts w:ascii="Roboto" w:eastAsia="Roboto" w:hAnsi="Roboto" w:cs="Roboto"/>
          <w:noProof/>
          <w:sz w:val="20"/>
          <w:szCs w:val="20"/>
        </w:rPr>
        <w:drawing>
          <wp:inline distT="0" distB="0" distL="0" distR="0">
            <wp:extent cx="3170922" cy="3917417"/>
            <wp:effectExtent l="0" t="0" r="0" b="698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 3.tif"/>
                    <pic:cNvPicPr/>
                  </pic:nvPicPr>
                  <pic:blipFill rotWithShape="1">
                    <a:blip r:embed="rId11" cstate="print">
                      <a:extLst>
                        <a:ext uri="{28A0092B-C50C-407E-A947-70E740481C1C}">
                          <a14:useLocalDpi xmlns:a14="http://schemas.microsoft.com/office/drawing/2010/main" val="0"/>
                        </a:ext>
                      </a:extLst>
                    </a:blip>
                    <a:srcRect l="2090" t="1139" r="1"/>
                    <a:stretch/>
                  </pic:blipFill>
                  <pic:spPr bwMode="auto">
                    <a:xfrm>
                      <a:off x="0" y="0"/>
                      <a:ext cx="3186583" cy="3936765"/>
                    </a:xfrm>
                    <a:prstGeom prst="rect">
                      <a:avLst/>
                    </a:prstGeom>
                    <a:ln>
                      <a:noFill/>
                    </a:ln>
                    <a:extLst>
                      <a:ext uri="{53640926-AAD7-44D8-BBD7-CCE9431645EC}">
                        <a14:shadowObscured xmlns:a14="http://schemas.microsoft.com/office/drawing/2010/main"/>
                      </a:ext>
                    </a:extLst>
                  </pic:spPr>
                </pic:pic>
              </a:graphicData>
            </a:graphic>
          </wp:inline>
        </w:drawing>
      </w:r>
    </w:p>
    <w:p w:rsidR="00A43191" w:rsidRDefault="008E5EAA">
      <w:pPr>
        <w:jc w:val="both"/>
        <w:rPr>
          <w:rFonts w:ascii="Roboto" w:eastAsia="Roboto" w:hAnsi="Roboto" w:cs="Roboto"/>
          <w:sz w:val="20"/>
          <w:szCs w:val="20"/>
        </w:rPr>
      </w:pPr>
      <w:r w:rsidRPr="00BC5450">
        <w:rPr>
          <w:rFonts w:ascii="Roboto" w:eastAsia="Roboto" w:hAnsi="Roboto" w:cs="Roboto"/>
          <w:b/>
          <w:sz w:val="20"/>
          <w:szCs w:val="20"/>
        </w:rPr>
        <w:t>Figura 3</w:t>
      </w:r>
      <w:r w:rsidRPr="00BC5450">
        <w:rPr>
          <w:rFonts w:ascii="Roboto" w:eastAsia="Roboto" w:hAnsi="Roboto" w:cs="Roboto"/>
          <w:sz w:val="20"/>
          <w:szCs w:val="20"/>
        </w:rPr>
        <w:t>.</w:t>
      </w:r>
      <w:r w:rsidR="00BC5450" w:rsidRPr="00BC5450">
        <w:rPr>
          <w:rFonts w:ascii="Roboto" w:eastAsia="Roboto" w:hAnsi="Roboto" w:cs="Roboto"/>
          <w:sz w:val="20"/>
          <w:szCs w:val="20"/>
        </w:rPr>
        <w:t xml:space="preserve"> Resultados comparativos pre- vs. post EET </w:t>
      </w:r>
      <w:r w:rsidR="00BC5450">
        <w:rPr>
          <w:rFonts w:ascii="Roboto" w:eastAsia="Roboto" w:hAnsi="Roboto" w:cs="Roboto"/>
          <w:sz w:val="20"/>
          <w:szCs w:val="20"/>
        </w:rPr>
        <w:t xml:space="preserve">a partir del </w:t>
      </w:r>
      <w:r w:rsidR="00BC5450" w:rsidRPr="00BC5450">
        <w:rPr>
          <w:rFonts w:ascii="Roboto" w:eastAsia="Roboto" w:hAnsi="Roboto" w:cs="Roboto"/>
          <w:sz w:val="20"/>
          <w:szCs w:val="20"/>
        </w:rPr>
        <w:t>EMG en las pruebas de (</w:t>
      </w:r>
      <w:r w:rsidR="00BC5450" w:rsidRPr="00BC5450">
        <w:rPr>
          <w:rFonts w:ascii="Roboto" w:eastAsia="Roboto" w:hAnsi="Roboto" w:cs="Roboto"/>
          <w:b/>
          <w:sz w:val="20"/>
          <w:szCs w:val="20"/>
        </w:rPr>
        <w:t>A</w:t>
      </w:r>
      <w:r w:rsidR="00BC5450" w:rsidRPr="00BC5450">
        <w:rPr>
          <w:rFonts w:ascii="Roboto" w:eastAsia="Roboto" w:hAnsi="Roboto" w:cs="Roboto"/>
          <w:sz w:val="20"/>
          <w:szCs w:val="20"/>
        </w:rPr>
        <w:t>) cambio de posición y (</w:t>
      </w:r>
      <w:r w:rsidR="00BC5450" w:rsidRPr="00BC5450">
        <w:rPr>
          <w:rFonts w:ascii="Roboto" w:eastAsia="Roboto" w:hAnsi="Roboto" w:cs="Roboto"/>
          <w:b/>
          <w:sz w:val="20"/>
          <w:szCs w:val="20"/>
        </w:rPr>
        <w:t>B</w:t>
      </w:r>
      <w:r w:rsidR="00BC5450" w:rsidRPr="00BC5450">
        <w:rPr>
          <w:rFonts w:ascii="Roboto" w:eastAsia="Roboto" w:hAnsi="Roboto" w:cs="Roboto"/>
          <w:sz w:val="20"/>
          <w:szCs w:val="20"/>
        </w:rPr>
        <w:t>) estimulación plantar</w:t>
      </w:r>
      <w:r w:rsidR="00BC5450">
        <w:rPr>
          <w:rFonts w:ascii="Roboto" w:eastAsia="Roboto" w:hAnsi="Roboto" w:cs="Roboto"/>
          <w:sz w:val="20"/>
          <w:szCs w:val="20"/>
        </w:rPr>
        <w:t>, tanto en el tiempo de contracción (s) como en el AUC (</w:t>
      </w:r>
      <w:proofErr w:type="spellStart"/>
      <w:r w:rsidR="00BC5450">
        <w:rPr>
          <w:rFonts w:ascii="Roboto" w:eastAsia="Roboto" w:hAnsi="Roboto" w:cs="Roboto"/>
          <w:sz w:val="20"/>
          <w:szCs w:val="20"/>
        </w:rPr>
        <w:t>mV</w:t>
      </w:r>
      <w:proofErr w:type="spellEnd"/>
      <w:r w:rsidR="00BC5450">
        <w:rPr>
          <w:rFonts w:ascii="Roboto" w:eastAsia="Roboto" w:hAnsi="Roboto" w:cs="Roboto"/>
          <w:sz w:val="20"/>
          <w:szCs w:val="20"/>
        </w:rPr>
        <w:t>*s)</w:t>
      </w:r>
      <w:r w:rsidR="00BC5450" w:rsidRPr="00BC5450">
        <w:rPr>
          <w:rFonts w:ascii="Roboto" w:eastAsia="Roboto" w:hAnsi="Roboto" w:cs="Roboto"/>
          <w:sz w:val="20"/>
          <w:szCs w:val="20"/>
        </w:rPr>
        <w:t xml:space="preserve"> para la pierna derecha (D) e izquierda (I). *p&lt;0.05, ** p&lt;0.01. NS, No significativo</w:t>
      </w:r>
      <w:r w:rsidR="00BC5450">
        <w:rPr>
          <w:rFonts w:ascii="Roboto" w:eastAsia="Roboto" w:hAnsi="Roboto" w:cs="Roboto"/>
          <w:b/>
          <w:sz w:val="20"/>
          <w:szCs w:val="20"/>
        </w:rPr>
        <w:t>.</w:t>
      </w:r>
    </w:p>
    <w:p w:rsidR="00BC5450" w:rsidRDefault="00BC5450">
      <w:pPr>
        <w:jc w:val="both"/>
        <w:rPr>
          <w:rFonts w:ascii="Roboto" w:eastAsia="Roboto" w:hAnsi="Roboto" w:cs="Roboto"/>
          <w:sz w:val="20"/>
          <w:szCs w:val="20"/>
        </w:rPr>
      </w:pPr>
    </w:p>
    <w:p w:rsidR="00021197" w:rsidRDefault="00021197" w:rsidP="00021197">
      <w:pPr>
        <w:pStyle w:val="NormalWeb"/>
        <w:spacing w:before="0" w:beforeAutospacing="0" w:after="0" w:afterAutospacing="0"/>
        <w:jc w:val="both"/>
      </w:pPr>
      <w:r>
        <w:rPr>
          <w:rFonts w:ascii="Roboto" w:hAnsi="Roboto"/>
          <w:b/>
          <w:bCs/>
          <w:color w:val="000000"/>
          <w:sz w:val="20"/>
          <w:szCs w:val="20"/>
        </w:rPr>
        <w:t xml:space="preserve">AGRADECIMIENTOS </w:t>
      </w:r>
    </w:p>
    <w:p w:rsidR="00021197" w:rsidRDefault="00021197" w:rsidP="00021197">
      <w:pPr>
        <w:pStyle w:val="NormalWeb"/>
        <w:spacing w:before="0" w:beforeAutospacing="0" w:after="0" w:afterAutospacing="0"/>
        <w:jc w:val="both"/>
      </w:pPr>
      <w:r>
        <w:rPr>
          <w:rFonts w:ascii="Roboto" w:hAnsi="Roboto"/>
          <w:color w:val="000000"/>
          <w:sz w:val="20"/>
          <w:szCs w:val="20"/>
        </w:rPr>
        <w:t xml:space="preserve">Agradecemos </w:t>
      </w:r>
      <w:r w:rsidR="00AD7E70">
        <w:rPr>
          <w:rFonts w:ascii="Roboto" w:hAnsi="Roboto"/>
          <w:color w:val="000000"/>
          <w:sz w:val="20"/>
          <w:szCs w:val="20"/>
        </w:rPr>
        <w:t>a los participantes y a sus familiares.</w:t>
      </w:r>
    </w:p>
    <w:p w:rsidR="00021197" w:rsidRDefault="00021197">
      <w:pPr>
        <w:jc w:val="both"/>
        <w:rPr>
          <w:rFonts w:ascii="Roboto" w:eastAsia="Roboto" w:hAnsi="Roboto" w:cs="Roboto"/>
          <w:sz w:val="20"/>
          <w:szCs w:val="20"/>
        </w:rPr>
      </w:pPr>
    </w:p>
    <w:p w:rsidR="004340F1" w:rsidRPr="00BC5450" w:rsidRDefault="006A5DF5">
      <w:pPr>
        <w:jc w:val="both"/>
        <w:rPr>
          <w:rFonts w:ascii="Roboto" w:eastAsia="Roboto" w:hAnsi="Roboto" w:cs="Roboto"/>
          <w:b/>
          <w:sz w:val="20"/>
          <w:szCs w:val="20"/>
          <w:lang w:val="en-US"/>
        </w:rPr>
      </w:pPr>
      <w:r w:rsidRPr="00BC5450">
        <w:rPr>
          <w:rFonts w:ascii="Roboto" w:eastAsia="Roboto" w:hAnsi="Roboto" w:cs="Roboto"/>
          <w:b/>
          <w:sz w:val="20"/>
          <w:szCs w:val="20"/>
          <w:lang w:val="en-US"/>
        </w:rPr>
        <w:t>REFERENCIAS</w:t>
      </w:r>
    </w:p>
    <w:p w:rsidR="00160462" w:rsidRPr="00BC5450" w:rsidRDefault="00160462" w:rsidP="00160462">
      <w:pPr>
        <w:pStyle w:val="Bibliografa"/>
        <w:spacing w:line="240" w:lineRule="auto"/>
        <w:ind w:left="0" w:firstLine="0"/>
        <w:contextualSpacing/>
        <w:jc w:val="both"/>
        <w:rPr>
          <w:rFonts w:ascii="Roboto" w:hAnsi="Roboto"/>
          <w:sz w:val="20"/>
          <w:lang w:val="en-US"/>
        </w:rPr>
      </w:pPr>
      <w:r w:rsidRPr="00160462">
        <w:rPr>
          <w:rFonts w:ascii="Roboto" w:eastAsia="Roboto" w:hAnsi="Roboto" w:cs="Roboto"/>
          <w:sz w:val="20"/>
          <w:lang w:val="en-US"/>
        </w:rPr>
        <w:fldChar w:fldCharType="begin"/>
      </w:r>
      <w:r w:rsidRPr="00160462">
        <w:rPr>
          <w:rFonts w:ascii="Roboto" w:eastAsia="Roboto" w:hAnsi="Roboto" w:cs="Roboto"/>
          <w:sz w:val="20"/>
          <w:lang w:val="en-US"/>
        </w:rPr>
        <w:instrText xml:space="preserve"> ADDIN ZOTERO_BIBL {"uncited":[],"omitted":[],"custom":[]} CSL_BIBLIOGRAPHY </w:instrText>
      </w:r>
      <w:r w:rsidRPr="00160462">
        <w:rPr>
          <w:rFonts w:ascii="Roboto" w:eastAsia="Roboto" w:hAnsi="Roboto" w:cs="Roboto"/>
          <w:sz w:val="20"/>
          <w:lang w:val="en-US"/>
        </w:rPr>
        <w:fldChar w:fldCharType="separate"/>
      </w:r>
      <w:r w:rsidRPr="00BC5450">
        <w:rPr>
          <w:rFonts w:ascii="Roboto" w:hAnsi="Roboto"/>
          <w:sz w:val="20"/>
          <w:lang w:val="en-US"/>
        </w:rPr>
        <w:t xml:space="preserve">Hofstoetter, U. S., Freundl, B., Danner, S. M., Krenn, M. J., Mayr, W., Binder, H., &amp; Minassian, K. (2020). Transcutaneous Spinal Cord Stimulation Induces Temporary Attenuation of Spasticity in Individuals with Spinal Cord Injury. </w:t>
      </w:r>
      <w:r w:rsidRPr="00BC5450">
        <w:rPr>
          <w:rFonts w:ascii="Roboto" w:hAnsi="Roboto"/>
          <w:iCs/>
          <w:sz w:val="20"/>
          <w:lang w:val="en-US"/>
        </w:rPr>
        <w:t>Journal of Neurotrauma</w:t>
      </w:r>
      <w:r w:rsidRPr="00BC5450">
        <w:rPr>
          <w:rFonts w:ascii="Roboto" w:hAnsi="Roboto"/>
          <w:sz w:val="20"/>
          <w:lang w:val="en-US"/>
        </w:rPr>
        <w:t xml:space="preserve">, </w:t>
      </w:r>
      <w:r w:rsidRPr="00BC5450">
        <w:rPr>
          <w:rFonts w:ascii="Roboto" w:hAnsi="Roboto"/>
          <w:iCs/>
          <w:sz w:val="20"/>
          <w:lang w:val="en-US"/>
        </w:rPr>
        <w:t>37</w:t>
      </w:r>
      <w:r w:rsidRPr="00BC5450">
        <w:rPr>
          <w:rFonts w:ascii="Roboto" w:hAnsi="Roboto"/>
          <w:sz w:val="20"/>
          <w:lang w:val="en-US"/>
        </w:rPr>
        <w:t>(3), 481–493. https://doi.org/10.1089/neu.2019.6588</w:t>
      </w:r>
    </w:p>
    <w:p w:rsidR="00160462" w:rsidRPr="00BC5450" w:rsidRDefault="00160462" w:rsidP="00160462">
      <w:pPr>
        <w:pStyle w:val="Bibliografa"/>
        <w:spacing w:line="240" w:lineRule="auto"/>
        <w:ind w:left="0" w:firstLine="0"/>
        <w:contextualSpacing/>
        <w:jc w:val="both"/>
        <w:rPr>
          <w:rFonts w:ascii="Roboto" w:hAnsi="Roboto"/>
          <w:sz w:val="20"/>
          <w:lang w:val="en-US"/>
        </w:rPr>
      </w:pPr>
      <w:r w:rsidRPr="00BC5450">
        <w:rPr>
          <w:rFonts w:ascii="Roboto" w:hAnsi="Roboto"/>
          <w:sz w:val="20"/>
          <w:lang w:val="en-US"/>
        </w:rPr>
        <w:t xml:space="preserve">Maynard, F. M., Karunas, R. S., &amp; Waring, W. P. (1990). Epidemiology of spasticity following traumatic spinal cord injury. </w:t>
      </w:r>
      <w:r w:rsidRPr="00BC5450">
        <w:rPr>
          <w:rFonts w:ascii="Roboto" w:hAnsi="Roboto"/>
          <w:iCs/>
          <w:sz w:val="20"/>
          <w:lang w:val="en-US"/>
        </w:rPr>
        <w:t>Archives of Physical Medicine and Rehabilitation</w:t>
      </w:r>
      <w:r w:rsidRPr="00BC5450">
        <w:rPr>
          <w:rFonts w:ascii="Roboto" w:hAnsi="Roboto"/>
          <w:sz w:val="20"/>
          <w:lang w:val="en-US"/>
        </w:rPr>
        <w:t xml:space="preserve">, </w:t>
      </w:r>
      <w:r w:rsidRPr="00BC5450">
        <w:rPr>
          <w:rFonts w:ascii="Roboto" w:hAnsi="Roboto"/>
          <w:iCs/>
          <w:sz w:val="20"/>
          <w:lang w:val="en-US"/>
        </w:rPr>
        <w:t>71</w:t>
      </w:r>
      <w:r w:rsidRPr="00BC5450">
        <w:rPr>
          <w:rFonts w:ascii="Roboto" w:hAnsi="Roboto"/>
          <w:sz w:val="20"/>
          <w:lang w:val="en-US"/>
        </w:rPr>
        <w:t>(8), 566–569.</w:t>
      </w:r>
    </w:p>
    <w:p w:rsidR="00160462" w:rsidRPr="00BC5450" w:rsidRDefault="00160462" w:rsidP="00797049">
      <w:pPr>
        <w:pStyle w:val="Bibliografa"/>
        <w:spacing w:line="240" w:lineRule="auto"/>
        <w:ind w:left="0" w:firstLine="0"/>
        <w:contextualSpacing/>
        <w:jc w:val="both"/>
        <w:rPr>
          <w:rFonts w:ascii="Roboto" w:hAnsi="Roboto"/>
          <w:sz w:val="20"/>
          <w:lang w:val="en-US"/>
        </w:rPr>
      </w:pPr>
      <w:r w:rsidRPr="00BC5450">
        <w:rPr>
          <w:rFonts w:ascii="Roboto" w:hAnsi="Roboto"/>
          <w:sz w:val="20"/>
          <w:lang w:val="en-US"/>
        </w:rPr>
        <w:t xml:space="preserve">Minassian, K., Freundl, B., Lackner, P., &amp; Hofstoetter, U. S. (2024). Transcutaneous spinal cord stimulation neuromodulates pre- and postsynaptic inhibition in the control of spinal spasticity. </w:t>
      </w:r>
      <w:r w:rsidRPr="00BC5450">
        <w:rPr>
          <w:rFonts w:ascii="Roboto" w:hAnsi="Roboto"/>
          <w:iCs/>
          <w:sz w:val="20"/>
          <w:lang w:val="en-US"/>
        </w:rPr>
        <w:t>Cell Reports Medicine</w:t>
      </w:r>
      <w:r w:rsidRPr="00BC5450">
        <w:rPr>
          <w:rFonts w:ascii="Roboto" w:hAnsi="Roboto"/>
          <w:sz w:val="20"/>
          <w:lang w:val="en-US"/>
        </w:rPr>
        <w:t xml:space="preserve">, </w:t>
      </w:r>
      <w:r w:rsidRPr="00BC5450">
        <w:rPr>
          <w:rFonts w:ascii="Roboto" w:hAnsi="Roboto"/>
          <w:iCs/>
          <w:sz w:val="20"/>
          <w:lang w:val="en-US"/>
        </w:rPr>
        <w:t>5</w:t>
      </w:r>
      <w:r w:rsidRPr="00BC5450">
        <w:rPr>
          <w:rFonts w:ascii="Roboto" w:hAnsi="Roboto"/>
          <w:sz w:val="20"/>
          <w:lang w:val="en-US"/>
        </w:rPr>
        <w:t>(11). https://doi.org/10.1016/j.xcrm.2024.101805</w:t>
      </w:r>
    </w:p>
    <w:p w:rsidR="00160462" w:rsidRDefault="00160462" w:rsidP="00797049">
      <w:pPr>
        <w:pStyle w:val="Bibliografa"/>
        <w:spacing w:line="240" w:lineRule="auto"/>
        <w:ind w:left="0" w:firstLine="0"/>
        <w:contextualSpacing/>
        <w:jc w:val="both"/>
        <w:rPr>
          <w:rFonts w:ascii="Roboto" w:hAnsi="Roboto"/>
          <w:sz w:val="20"/>
        </w:rPr>
      </w:pPr>
      <w:r w:rsidRPr="00BC5450">
        <w:rPr>
          <w:rFonts w:ascii="Roboto" w:hAnsi="Roboto"/>
          <w:sz w:val="20"/>
          <w:lang w:val="en-US"/>
        </w:rPr>
        <w:t xml:space="preserve">Nielsen, J. B., Crone, C., &amp; Hultborn, H. (2007). The spinal pathophysiology of spasticity – from a basic science point of view. </w:t>
      </w:r>
      <w:r w:rsidRPr="00BC5450">
        <w:rPr>
          <w:rFonts w:ascii="Roboto" w:hAnsi="Roboto"/>
          <w:iCs/>
          <w:sz w:val="20"/>
        </w:rPr>
        <w:t>Acta Physiologica</w:t>
      </w:r>
      <w:r w:rsidRPr="00BC5450">
        <w:rPr>
          <w:rFonts w:ascii="Roboto" w:hAnsi="Roboto"/>
          <w:sz w:val="20"/>
        </w:rPr>
        <w:t xml:space="preserve">, </w:t>
      </w:r>
      <w:r w:rsidRPr="00BC5450">
        <w:rPr>
          <w:rFonts w:ascii="Roboto" w:hAnsi="Roboto"/>
          <w:iCs/>
          <w:sz w:val="20"/>
        </w:rPr>
        <w:t>189</w:t>
      </w:r>
      <w:r w:rsidRPr="00BC5450">
        <w:rPr>
          <w:rFonts w:ascii="Roboto" w:hAnsi="Roboto"/>
          <w:sz w:val="20"/>
        </w:rPr>
        <w:t>(2), 171–180. https://doi.org/10.1111/j.1748-1716.2006.01652.x</w:t>
      </w:r>
    </w:p>
    <w:p w:rsidR="00E03F68" w:rsidRDefault="00E03F68" w:rsidP="00E03F68"/>
    <w:p w:rsidR="00E03F68" w:rsidRDefault="00E03F68" w:rsidP="00E03F68">
      <w:pPr>
        <w:sectPr w:rsidR="00E03F68">
          <w:type w:val="continuous"/>
          <w:pgSz w:w="11906" w:h="16838"/>
          <w:pgMar w:top="1134" w:right="851" w:bottom="1134" w:left="851" w:header="357" w:footer="720" w:gutter="0"/>
          <w:cols w:num="2" w:space="720" w:equalWidth="0">
            <w:col w:w="4934" w:space="335"/>
            <w:col w:w="4934" w:space="0"/>
          </w:cols>
        </w:sectPr>
      </w:pPr>
    </w:p>
    <w:p w:rsidR="00E03F68" w:rsidRDefault="00E03F68" w:rsidP="00E03F68">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rsidR="00E03F68" w:rsidRDefault="00E03F68" w:rsidP="00E03F68">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rsidR="00E03F68" w:rsidRDefault="00E03F68" w:rsidP="00E03F68">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rsidR="00E03F68" w:rsidRDefault="00E03F68" w:rsidP="00E03F68">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rsidR="00E03F68" w:rsidRDefault="00E03F68" w:rsidP="00E03F68">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rsidR="00E03F68" w:rsidRDefault="00E03F68" w:rsidP="00E03F68">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rsidR="00E03F68" w:rsidRDefault="00E03F68" w:rsidP="00E03F68">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rsidR="00E03F68" w:rsidRDefault="00E03F68" w:rsidP="00E03F68">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rsidR="00E03F68" w:rsidRDefault="00E03F68" w:rsidP="00E03F68">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rsidR="00E03F68" w:rsidRDefault="00E03F68" w:rsidP="00E03F68">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rsidR="00E03F68" w:rsidRDefault="00E03F68" w:rsidP="00E03F68">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rsidR="00E03F68" w:rsidRDefault="00E03F68" w:rsidP="00E03F68">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rsidR="00E03F68" w:rsidRDefault="00E03F68" w:rsidP="00E03F68">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rsidR="00E03F68" w:rsidRDefault="00E03F68" w:rsidP="00E03F68">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rsidR="00E03F68" w:rsidRDefault="00E03F68" w:rsidP="00E03F68">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rsidR="00E03F68" w:rsidRDefault="00E03F68" w:rsidP="00E03F68">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rsidR="00E03F68" w:rsidRDefault="00E03F68" w:rsidP="00E03F68">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rsidR="00E03F68" w:rsidRDefault="00E03F68" w:rsidP="00E03F68">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rsidR="00E03F68" w:rsidRDefault="00E03F68" w:rsidP="00E03F68">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rsidR="00E03F68" w:rsidRDefault="00E03F68" w:rsidP="00E03F68">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rsidR="00E03F68" w:rsidRDefault="00E03F68" w:rsidP="00E03F68">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rsidR="00E03F68" w:rsidRDefault="00E03F68" w:rsidP="00E03F68">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rsidR="00E03F68" w:rsidRDefault="00E03F68" w:rsidP="00E03F68">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rsidR="00E03F68" w:rsidRDefault="00E03F68" w:rsidP="00E03F68">
      <w:pPr>
        <w:spacing w:before="240" w:after="240"/>
        <w:jc w:val="both"/>
        <w:rPr>
          <w:rFonts w:ascii="Roboto" w:eastAsia="Roboto" w:hAnsi="Roboto" w:cs="Roboto"/>
          <w:sz w:val="20"/>
          <w:szCs w:val="20"/>
        </w:rPr>
      </w:pPr>
      <w:r>
        <w:rPr>
          <w:rFonts w:ascii="Roboto" w:eastAsia="Roboto" w:hAnsi="Roboto" w:cs="Roboto"/>
          <w:sz w:val="20"/>
          <w:szCs w:val="20"/>
        </w:rPr>
        <w:t>(  X  )  Declaro que he leído y acepto los términos de esta declaración y autorización de publicación.</w:t>
      </w:r>
      <w:r w:rsidR="007C211F">
        <w:rPr>
          <w:rFonts w:ascii="Roboto" w:eastAsia="Roboto" w:hAnsi="Roboto" w:cs="Roboto"/>
          <w:sz w:val="20"/>
          <w:szCs w:val="20"/>
        </w:rPr>
        <w:t xml:space="preserve"> </w:t>
      </w:r>
    </w:p>
    <w:p w:rsidR="007C211F" w:rsidRDefault="00E03F68" w:rsidP="007C211F">
      <w:pPr>
        <w:spacing w:before="240" w:after="240"/>
        <w:rPr>
          <w:rFonts w:ascii="Roboto" w:eastAsia="Roboto" w:hAnsi="Roboto" w:cs="Roboto"/>
          <w:bCs/>
          <w:sz w:val="20"/>
          <w:szCs w:val="20"/>
        </w:rPr>
      </w:pPr>
      <w:r>
        <w:rPr>
          <w:rFonts w:ascii="Roboto" w:eastAsia="Roboto" w:hAnsi="Roboto" w:cs="Roboto"/>
          <w:b/>
          <w:bCs/>
          <w:sz w:val="20"/>
          <w:szCs w:val="20"/>
        </w:rPr>
        <w:t>Autor responsable:</w:t>
      </w:r>
      <w:r w:rsidR="007C211F">
        <w:rPr>
          <w:rFonts w:ascii="Roboto" w:eastAsia="Roboto" w:hAnsi="Roboto" w:cs="Roboto"/>
          <w:b/>
          <w:bCs/>
          <w:sz w:val="20"/>
          <w:szCs w:val="20"/>
        </w:rPr>
        <w:t xml:space="preserve"> Carlos Alberto Cuellar Ramos</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7C211F">
        <w:rPr>
          <w:rFonts w:ascii="Roboto" w:eastAsia="Roboto" w:hAnsi="Roboto" w:cs="Roboto"/>
          <w:b/>
          <w:bCs/>
          <w:sz w:val="20"/>
          <w:szCs w:val="20"/>
        </w:rPr>
        <w:t xml:space="preserve"> Universidad Anáhuac México</w:t>
      </w:r>
      <w:r>
        <w:rPr>
          <w:rFonts w:ascii="Roboto" w:eastAsia="Roboto" w:hAnsi="Roboto" w:cs="Roboto"/>
          <w:b/>
          <w:bCs/>
          <w:sz w:val="20"/>
          <w:szCs w:val="20"/>
        </w:rPr>
        <w:br/>
      </w:r>
      <w:r>
        <w:rPr>
          <w:rFonts w:ascii="Roboto" w:eastAsia="Roboto" w:hAnsi="Roboto" w:cs="Roboto"/>
          <w:sz w:val="20"/>
          <w:szCs w:val="20"/>
        </w:rPr>
        <w:lastRenderedPageBreak/>
        <w:t xml:space="preserve"> </w:t>
      </w:r>
      <w:r>
        <w:rPr>
          <w:rFonts w:ascii="Roboto" w:eastAsia="Roboto" w:hAnsi="Roboto" w:cs="Roboto"/>
          <w:b/>
          <w:bCs/>
          <w:sz w:val="20"/>
          <w:szCs w:val="20"/>
        </w:rPr>
        <w:t>Título del trabajo con autores:</w:t>
      </w:r>
      <w:r w:rsidR="007C211F">
        <w:rPr>
          <w:rFonts w:ascii="Roboto" w:eastAsia="Roboto" w:hAnsi="Roboto" w:cs="Roboto"/>
          <w:b/>
          <w:bCs/>
          <w:sz w:val="20"/>
          <w:szCs w:val="20"/>
        </w:rPr>
        <w:t xml:space="preserve"> </w:t>
      </w:r>
      <w:r w:rsidR="007C211F" w:rsidRPr="007C211F">
        <w:rPr>
          <w:rFonts w:ascii="Roboto" w:eastAsia="Roboto" w:hAnsi="Roboto" w:cs="Roboto"/>
          <w:bCs/>
          <w:sz w:val="20"/>
          <w:szCs w:val="20"/>
        </w:rPr>
        <w:t>Neuromodulación no invasiva para el tratamiento de la espasticidad en sujetos con lesión de médula espinal crónica</w:t>
      </w:r>
      <w:r w:rsidR="007C211F">
        <w:rPr>
          <w:rFonts w:ascii="Roboto" w:eastAsia="Roboto" w:hAnsi="Roboto" w:cs="Roboto"/>
          <w:bCs/>
          <w:sz w:val="20"/>
          <w:szCs w:val="20"/>
        </w:rPr>
        <w:t xml:space="preserve"> </w:t>
      </w:r>
    </w:p>
    <w:p w:rsidR="00E03F68" w:rsidRPr="007C211F" w:rsidRDefault="007C211F" w:rsidP="007C211F">
      <w:pPr>
        <w:spacing w:before="240" w:after="240"/>
        <w:rPr>
          <w:rFonts w:ascii="Roboto" w:eastAsia="Roboto" w:hAnsi="Roboto" w:cs="Roboto"/>
          <w:sz w:val="20"/>
          <w:szCs w:val="20"/>
        </w:rPr>
      </w:pPr>
      <w:r w:rsidRPr="007C211F">
        <w:rPr>
          <w:rFonts w:ascii="Roboto" w:eastAsia="Roboto" w:hAnsi="Roboto" w:cs="Roboto"/>
          <w:bCs/>
          <w:sz w:val="20"/>
          <w:szCs w:val="20"/>
        </w:rPr>
        <w:t>Bailey-Douek Jeanette., Reyes-Arellano F</w:t>
      </w:r>
      <w:r>
        <w:rPr>
          <w:rFonts w:ascii="Roboto" w:eastAsia="Roboto" w:hAnsi="Roboto" w:cs="Roboto"/>
          <w:bCs/>
          <w:sz w:val="20"/>
          <w:szCs w:val="20"/>
        </w:rPr>
        <w:t>ernando</w:t>
      </w:r>
      <w:r w:rsidRPr="007C211F">
        <w:rPr>
          <w:rFonts w:ascii="Roboto" w:eastAsia="Roboto" w:hAnsi="Roboto" w:cs="Roboto"/>
          <w:bCs/>
          <w:sz w:val="20"/>
          <w:szCs w:val="20"/>
        </w:rPr>
        <w:t>. Sampieri- E</w:t>
      </w:r>
      <w:r>
        <w:rPr>
          <w:rFonts w:ascii="Roboto" w:eastAsia="Roboto" w:hAnsi="Roboto" w:cs="Roboto"/>
          <w:bCs/>
          <w:sz w:val="20"/>
          <w:szCs w:val="20"/>
        </w:rPr>
        <w:t>dmand</w:t>
      </w:r>
      <w:r w:rsidRPr="007C211F">
        <w:rPr>
          <w:rFonts w:ascii="Roboto" w:eastAsia="Roboto" w:hAnsi="Roboto" w:cs="Roboto"/>
          <w:bCs/>
          <w:sz w:val="20"/>
          <w:szCs w:val="20"/>
        </w:rPr>
        <w:t>., Bailey-Douek F</w:t>
      </w:r>
      <w:r>
        <w:rPr>
          <w:rFonts w:ascii="Roboto" w:eastAsia="Roboto" w:hAnsi="Roboto" w:cs="Roboto"/>
          <w:bCs/>
          <w:sz w:val="20"/>
          <w:szCs w:val="20"/>
        </w:rPr>
        <w:t>rida</w:t>
      </w:r>
      <w:r w:rsidRPr="007C211F">
        <w:rPr>
          <w:rFonts w:ascii="Roboto" w:eastAsia="Roboto" w:hAnsi="Roboto" w:cs="Roboto"/>
          <w:bCs/>
          <w:sz w:val="20"/>
          <w:szCs w:val="20"/>
        </w:rPr>
        <w:t>., y Cuellar-Ramos Carlos A.</w:t>
      </w:r>
    </w:p>
    <w:p w:rsidR="00E03F68" w:rsidRDefault="00E03F68" w:rsidP="00E03F68">
      <w:pPr>
        <w:sectPr w:rsidR="00E03F68" w:rsidSect="00E03F68">
          <w:pgSz w:w="11906" w:h="16838"/>
          <w:pgMar w:top="1134" w:right="851" w:bottom="1134" w:left="851" w:header="357" w:footer="720" w:gutter="0"/>
          <w:cols w:space="335"/>
        </w:sectPr>
      </w:pPr>
      <w:r>
        <w:br w:type="page"/>
      </w:r>
    </w:p>
    <w:p w:rsidR="00E03F68" w:rsidRPr="00E03F68" w:rsidRDefault="00E03F68" w:rsidP="00E03F68"/>
    <w:p w:rsidR="00E03F68" w:rsidRPr="00E03F68" w:rsidRDefault="00160462" w:rsidP="00160462">
      <w:pPr>
        <w:contextualSpacing/>
        <w:jc w:val="both"/>
        <w:rPr>
          <w:rFonts w:ascii="Roboto" w:eastAsia="Roboto" w:hAnsi="Roboto" w:cs="Roboto"/>
          <w:sz w:val="20"/>
        </w:rPr>
      </w:pPr>
      <w:r w:rsidRPr="00160462">
        <w:rPr>
          <w:rFonts w:ascii="Roboto" w:eastAsia="Roboto" w:hAnsi="Roboto" w:cs="Roboto"/>
          <w:sz w:val="20"/>
          <w:lang w:val="en-US"/>
        </w:rPr>
        <w:fldChar w:fldCharType="end"/>
      </w:r>
      <w:bookmarkEnd w:id="2"/>
      <w:r w:rsidR="00E03F68" w:rsidRPr="00E03F68">
        <w:rPr>
          <w:rFonts w:ascii="Roboto" w:eastAsia="Roboto" w:hAnsi="Roboto" w:cs="Roboto"/>
          <w:sz w:val="20"/>
        </w:rPr>
        <w:br w:type="page"/>
      </w:r>
    </w:p>
    <w:p w:rsidR="00160462" w:rsidRPr="00E03F68" w:rsidRDefault="00160462" w:rsidP="00160462">
      <w:pPr>
        <w:contextualSpacing/>
        <w:jc w:val="both"/>
        <w:rPr>
          <w:rFonts w:ascii="Roboto" w:eastAsia="Roboto" w:hAnsi="Roboto" w:cs="Roboto"/>
          <w:sz w:val="20"/>
        </w:rPr>
      </w:pPr>
    </w:p>
    <w:sectPr w:rsidR="00160462" w:rsidRPr="00E03F68" w:rsidSect="00E03F68">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6AD1" w:rsidRDefault="00426AD1">
      <w:r>
        <w:separator/>
      </w:r>
    </w:p>
  </w:endnote>
  <w:endnote w:type="continuationSeparator" w:id="0">
    <w:p w:rsidR="00426AD1" w:rsidRDefault="00426A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altName w:val="Arial"/>
    <w:panose1 w:val="02000000000000000000"/>
    <w:charset w:val="00"/>
    <w:family w:val="auto"/>
    <w:pitch w:val="default"/>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6AD1" w:rsidRDefault="00426AD1">
      <w:r>
        <w:separator/>
      </w:r>
    </w:p>
  </w:footnote>
  <w:footnote w:type="continuationSeparator" w:id="0">
    <w:p w:rsidR="00426AD1" w:rsidRDefault="00426A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40F1" w:rsidRDefault="004340F1">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4340F1">
      <w:trPr>
        <w:trHeight w:val="345"/>
        <w:jc w:val="center"/>
      </w:trPr>
      <w:tc>
        <w:tcPr>
          <w:tcW w:w="6306" w:type="dxa"/>
          <w:vAlign w:val="center"/>
        </w:tcPr>
        <w:p w:rsidR="004340F1" w:rsidRDefault="004340F1">
          <w:pPr>
            <w:jc w:val="center"/>
            <w:rPr>
              <w:i/>
              <w:sz w:val="18"/>
              <w:szCs w:val="18"/>
            </w:rPr>
          </w:pPr>
        </w:p>
      </w:tc>
    </w:tr>
  </w:tbl>
  <w:p w:rsidR="004340F1" w:rsidRDefault="004340F1">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F25246"/>
    <w:multiLevelType w:val="multilevel"/>
    <w:tmpl w:val="376EE0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FFE5418"/>
    <w:multiLevelType w:val="multilevel"/>
    <w:tmpl w:val="B7B415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0F1"/>
    <w:rsid w:val="00021197"/>
    <w:rsid w:val="00053DAA"/>
    <w:rsid w:val="0015435A"/>
    <w:rsid w:val="00160462"/>
    <w:rsid w:val="00185FC5"/>
    <w:rsid w:val="001C3E80"/>
    <w:rsid w:val="0023341C"/>
    <w:rsid w:val="0025666F"/>
    <w:rsid w:val="002636AE"/>
    <w:rsid w:val="002B6E17"/>
    <w:rsid w:val="0039428E"/>
    <w:rsid w:val="00413357"/>
    <w:rsid w:val="00426AD1"/>
    <w:rsid w:val="004340F1"/>
    <w:rsid w:val="004647E1"/>
    <w:rsid w:val="004741D4"/>
    <w:rsid w:val="004E202D"/>
    <w:rsid w:val="005074C2"/>
    <w:rsid w:val="00553D78"/>
    <w:rsid w:val="0057006C"/>
    <w:rsid w:val="00585324"/>
    <w:rsid w:val="00600CC1"/>
    <w:rsid w:val="006A5DF5"/>
    <w:rsid w:val="006B1112"/>
    <w:rsid w:val="006D3053"/>
    <w:rsid w:val="006D3F6F"/>
    <w:rsid w:val="00732856"/>
    <w:rsid w:val="00755AD4"/>
    <w:rsid w:val="00794DCF"/>
    <w:rsid w:val="00797049"/>
    <w:rsid w:val="007B1B40"/>
    <w:rsid w:val="007C211F"/>
    <w:rsid w:val="008662C9"/>
    <w:rsid w:val="008D0140"/>
    <w:rsid w:val="008E5EAA"/>
    <w:rsid w:val="009438E8"/>
    <w:rsid w:val="00970782"/>
    <w:rsid w:val="009A5D3D"/>
    <w:rsid w:val="009C2A9C"/>
    <w:rsid w:val="00A43191"/>
    <w:rsid w:val="00A6099E"/>
    <w:rsid w:val="00AD7E70"/>
    <w:rsid w:val="00AE6106"/>
    <w:rsid w:val="00B40034"/>
    <w:rsid w:val="00B90E53"/>
    <w:rsid w:val="00BC5450"/>
    <w:rsid w:val="00CD665C"/>
    <w:rsid w:val="00D041F7"/>
    <w:rsid w:val="00D35300"/>
    <w:rsid w:val="00DA62C0"/>
    <w:rsid w:val="00DB632C"/>
    <w:rsid w:val="00DC1B15"/>
    <w:rsid w:val="00DF24AA"/>
    <w:rsid w:val="00E03F68"/>
    <w:rsid w:val="00E22313"/>
    <w:rsid w:val="00E45BF8"/>
    <w:rsid w:val="00F67829"/>
    <w:rsid w:val="00F77EC2"/>
    <w:rsid w:val="00FB2E6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81676"/>
  <w15:docId w15:val="{E403E268-D860-4D0F-82D4-2E62C2C61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styleId="Tablaconcuadrcula">
    <w:name w:val="Table Grid"/>
    <w:basedOn w:val="Tablanormal"/>
    <w:uiPriority w:val="39"/>
    <w:rsid w:val="001543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636AE"/>
    <w:pPr>
      <w:spacing w:before="100" w:beforeAutospacing="1" w:after="100" w:afterAutospacing="1"/>
    </w:pPr>
  </w:style>
  <w:style w:type="paragraph" w:styleId="Bibliografa">
    <w:name w:val="Bibliography"/>
    <w:basedOn w:val="Normal"/>
    <w:next w:val="Normal"/>
    <w:uiPriority w:val="37"/>
    <w:unhideWhenUsed/>
    <w:rsid w:val="00160462"/>
    <w:pPr>
      <w:spacing w:line="48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1398770">
      <w:bodyDiv w:val="1"/>
      <w:marLeft w:val="0"/>
      <w:marRight w:val="0"/>
      <w:marTop w:val="0"/>
      <w:marBottom w:val="0"/>
      <w:divBdr>
        <w:top w:val="none" w:sz="0" w:space="0" w:color="auto"/>
        <w:left w:val="none" w:sz="0" w:space="0" w:color="auto"/>
        <w:bottom w:val="none" w:sz="0" w:space="0" w:color="auto"/>
        <w:right w:val="none" w:sz="0" w:space="0" w:color="auto"/>
      </w:divBdr>
    </w:div>
    <w:div w:id="785123135">
      <w:bodyDiv w:val="1"/>
      <w:marLeft w:val="0"/>
      <w:marRight w:val="0"/>
      <w:marTop w:val="0"/>
      <w:marBottom w:val="0"/>
      <w:divBdr>
        <w:top w:val="none" w:sz="0" w:space="0" w:color="auto"/>
        <w:left w:val="none" w:sz="0" w:space="0" w:color="auto"/>
        <w:bottom w:val="none" w:sz="0" w:space="0" w:color="auto"/>
        <w:right w:val="none" w:sz="0" w:space="0" w:color="auto"/>
      </w:divBdr>
    </w:div>
    <w:div w:id="15328418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Relationship Id="rId5" Type="http://schemas.openxmlformats.org/officeDocument/2006/relationships/webSettings" Target="webSettings.xml"/><Relationship Id="rId10" Type="http://schemas.openxmlformats.org/officeDocument/2006/relationships/image" Target="media/image2.tif"/><Relationship Id="rId4" Type="http://schemas.openxmlformats.org/officeDocument/2006/relationships/settings" Target="settings.xml"/><Relationship Id="rId9"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1881</TotalTime>
  <Pages>6</Pages>
  <Words>3641</Words>
  <Characters>20028</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Carlos Alberto Cuellar Ramos</cp:lastModifiedBy>
  <cp:revision>19</cp:revision>
  <dcterms:created xsi:type="dcterms:W3CDTF">2026-03-02T20:15:00Z</dcterms:created>
  <dcterms:modified xsi:type="dcterms:W3CDTF">2026-03-23T23:11:00Z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zotero-version="7.0.32"&gt;&lt;session id="MTB3vMvr"/&gt;&lt;style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