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08781" w14:textId="3565DE79" w:rsidR="006F5DFC" w:rsidRPr="00BB0121" w:rsidRDefault="000652E8" w:rsidP="00B252F5">
      <w:pPr>
        <w:pBdr>
          <w:top w:val="nil"/>
          <w:left w:val="nil"/>
          <w:bottom w:val="nil"/>
          <w:right w:val="nil"/>
          <w:between w:val="nil"/>
        </w:pBdr>
        <w:spacing w:after="120"/>
        <w:rPr>
          <w:rFonts w:ascii="Roboto" w:eastAsia="Roboto" w:hAnsi="Roboto" w:cs="Roboto"/>
          <w:b/>
          <w:bCs/>
          <w:noProof/>
          <w:color w:val="000000"/>
          <w:lang w:val="es-ES_tradnl"/>
        </w:rPr>
      </w:pPr>
      <w:r w:rsidRPr="00BB0121">
        <w:rPr>
          <w:rFonts w:ascii="Roboto" w:eastAsia="Roboto" w:hAnsi="Roboto" w:cs="Roboto"/>
          <w:b/>
          <w:bCs/>
          <w:noProof/>
          <w:color w:val="000000"/>
          <w:lang w:val="es-ES_tradnl"/>
        </w:rPr>
        <w:t xml:space="preserve">Correlato neurofisiológico de la atención Involuntaria en adultos mayores sanos con riesgo de deterioro cognitivo: Un estudio de potenciales relacionados con eventos </w:t>
      </w:r>
    </w:p>
    <w:p w14:paraId="349B27A5" w14:textId="4026597A" w:rsidR="006F5DFC" w:rsidRPr="00BB0121" w:rsidRDefault="000652E8">
      <w:pPr>
        <w:pBdr>
          <w:top w:val="nil"/>
          <w:left w:val="nil"/>
          <w:bottom w:val="nil"/>
          <w:right w:val="nil"/>
          <w:between w:val="nil"/>
        </w:pBdr>
        <w:spacing w:before="120" w:after="120"/>
        <w:jc w:val="center"/>
        <w:rPr>
          <w:rFonts w:ascii="Roboto" w:eastAsia="Roboto" w:hAnsi="Roboto" w:cs="Roboto"/>
          <w:b/>
          <w:bCs/>
          <w:noProof/>
          <w:color w:val="000000"/>
          <w:sz w:val="20"/>
          <w:szCs w:val="20"/>
          <w:lang w:val="es-ES_tradnl"/>
        </w:rPr>
      </w:pPr>
      <w:r w:rsidRPr="00BB0121">
        <w:rPr>
          <w:rFonts w:ascii="Roboto" w:eastAsia="Roboto" w:hAnsi="Roboto" w:cs="Roboto"/>
          <w:b/>
          <w:bCs/>
          <w:noProof/>
          <w:color w:val="000000"/>
          <w:sz w:val="20"/>
          <w:szCs w:val="20"/>
          <w:lang w:val="es-ES_tradnl"/>
        </w:rPr>
        <w:t>González-López, M.</w:t>
      </w:r>
      <w:r w:rsidRPr="00BB0121">
        <w:rPr>
          <w:rFonts w:ascii="Roboto" w:eastAsia="Roboto" w:hAnsi="Roboto" w:cs="Roboto"/>
          <w:b/>
          <w:bCs/>
          <w:noProof/>
          <w:color w:val="000000"/>
          <w:sz w:val="20"/>
          <w:szCs w:val="20"/>
          <w:vertAlign w:val="superscript"/>
          <w:lang w:val="es-ES_tradnl"/>
        </w:rPr>
        <w:t>1*</w:t>
      </w:r>
      <w:r w:rsidRPr="00BB0121">
        <w:rPr>
          <w:rFonts w:ascii="Roboto" w:eastAsia="Roboto" w:hAnsi="Roboto" w:cs="Roboto"/>
          <w:b/>
          <w:bCs/>
          <w:noProof/>
          <w:color w:val="000000"/>
          <w:sz w:val="20"/>
          <w:szCs w:val="20"/>
          <w:lang w:val="es-ES_tradnl"/>
        </w:rPr>
        <w:t>, Solís-Vivanco R.</w:t>
      </w:r>
      <w:r w:rsidRPr="00BB0121">
        <w:rPr>
          <w:rFonts w:ascii="Roboto" w:eastAsia="Roboto" w:hAnsi="Roboto" w:cs="Roboto"/>
          <w:b/>
          <w:bCs/>
          <w:noProof/>
          <w:color w:val="000000"/>
          <w:sz w:val="20"/>
          <w:szCs w:val="20"/>
          <w:vertAlign w:val="superscript"/>
          <w:lang w:val="es-ES_tradnl"/>
        </w:rPr>
        <w:t>2</w:t>
      </w:r>
      <w:r w:rsidRPr="00BB0121">
        <w:rPr>
          <w:rFonts w:ascii="Roboto" w:eastAsia="Roboto" w:hAnsi="Roboto" w:cs="Roboto"/>
          <w:b/>
          <w:bCs/>
          <w:noProof/>
          <w:color w:val="000000"/>
          <w:sz w:val="20"/>
          <w:szCs w:val="20"/>
          <w:lang w:val="es-ES_tradnl"/>
        </w:rPr>
        <w:t>, Harmony-Baillet, T.</w:t>
      </w:r>
      <w:r w:rsidRPr="00BB0121">
        <w:rPr>
          <w:rFonts w:ascii="Roboto" w:eastAsia="Roboto" w:hAnsi="Roboto" w:cs="Roboto"/>
          <w:b/>
          <w:bCs/>
          <w:noProof/>
          <w:color w:val="000000"/>
          <w:sz w:val="20"/>
          <w:szCs w:val="20"/>
          <w:vertAlign w:val="superscript"/>
          <w:lang w:val="es-ES_tradnl"/>
        </w:rPr>
        <w:t>3</w:t>
      </w:r>
      <w:r w:rsidRPr="00BB0121">
        <w:rPr>
          <w:rFonts w:ascii="Roboto" w:eastAsia="Roboto" w:hAnsi="Roboto" w:cs="Roboto"/>
          <w:b/>
          <w:bCs/>
          <w:noProof/>
          <w:color w:val="000000"/>
          <w:sz w:val="20"/>
          <w:szCs w:val="20"/>
          <w:lang w:val="es-ES_tradnl"/>
        </w:rPr>
        <w:t xml:space="preserve"> y Fernández, T.</w:t>
      </w:r>
      <w:r w:rsidRPr="00BB0121">
        <w:rPr>
          <w:rFonts w:ascii="Roboto" w:eastAsia="Roboto" w:hAnsi="Roboto" w:cs="Roboto"/>
          <w:b/>
          <w:bCs/>
          <w:noProof/>
          <w:color w:val="000000"/>
          <w:sz w:val="20"/>
          <w:szCs w:val="20"/>
          <w:vertAlign w:val="superscript"/>
          <w:lang w:val="es-ES_tradnl"/>
        </w:rPr>
        <w:t>4</w:t>
      </w:r>
    </w:p>
    <w:p w14:paraId="2D992B53" w14:textId="4C3443FA" w:rsidR="000652E8" w:rsidRPr="00BB0121" w:rsidRDefault="00000000" w:rsidP="000652E8">
      <w:pPr>
        <w:pBdr>
          <w:top w:val="nil"/>
          <w:left w:val="nil"/>
          <w:bottom w:val="nil"/>
          <w:right w:val="nil"/>
          <w:between w:val="nil"/>
        </w:pBdr>
        <w:jc w:val="center"/>
        <w:rPr>
          <w:rFonts w:ascii="Roboto" w:eastAsia="Roboto" w:hAnsi="Roboto" w:cs="Roboto"/>
          <w:noProof/>
          <w:color w:val="000000"/>
          <w:sz w:val="18"/>
          <w:szCs w:val="18"/>
          <w:lang w:val="es-ES_tradnl"/>
        </w:rPr>
      </w:pPr>
      <w:r w:rsidRPr="00BB0121">
        <w:rPr>
          <w:rFonts w:ascii="Roboto" w:eastAsia="Roboto" w:hAnsi="Roboto" w:cs="Roboto"/>
          <w:noProof/>
          <w:color w:val="000000"/>
          <w:sz w:val="18"/>
          <w:szCs w:val="18"/>
          <w:vertAlign w:val="superscript"/>
          <w:lang w:val="es-ES_tradnl"/>
        </w:rPr>
        <w:t>1</w:t>
      </w:r>
      <w:r w:rsidR="000652E8" w:rsidRPr="00BB0121">
        <w:rPr>
          <w:rFonts w:ascii="Roboto" w:eastAsia="Roboto" w:hAnsi="Roboto" w:cs="Roboto"/>
          <w:noProof/>
          <w:color w:val="000000"/>
          <w:sz w:val="18"/>
          <w:szCs w:val="18"/>
          <w:vertAlign w:val="superscript"/>
          <w:lang w:val="es-ES_tradnl"/>
        </w:rPr>
        <w:t xml:space="preserve"> </w:t>
      </w:r>
      <w:r w:rsidR="000652E8" w:rsidRPr="00BB0121">
        <w:rPr>
          <w:rFonts w:ascii="Roboto" w:eastAsia="Roboto" w:hAnsi="Roboto" w:cs="Roboto"/>
          <w:noProof/>
          <w:color w:val="000000"/>
          <w:sz w:val="18"/>
          <w:szCs w:val="18"/>
          <w:lang w:val="es-ES_tradnl"/>
        </w:rPr>
        <w:t>Escuela de Psicología, Universidad Anáhuac Querétaro</w:t>
      </w:r>
      <w:r w:rsidRPr="00BB0121">
        <w:rPr>
          <w:rFonts w:ascii="Roboto" w:eastAsia="Roboto" w:hAnsi="Roboto" w:cs="Roboto"/>
          <w:noProof/>
          <w:color w:val="000000"/>
          <w:sz w:val="18"/>
          <w:szCs w:val="18"/>
          <w:lang w:val="es-ES_tradnl"/>
        </w:rPr>
        <w:t xml:space="preserve">, </w:t>
      </w:r>
      <w:hyperlink r:id="rId8" w:history="1">
        <w:r w:rsidR="000652E8" w:rsidRPr="00BB0121">
          <w:rPr>
            <w:rStyle w:val="Hyperlink"/>
            <w:rFonts w:ascii="Roboto" w:eastAsia="Roboto" w:hAnsi="Roboto" w:cs="Roboto"/>
            <w:noProof/>
            <w:sz w:val="18"/>
            <w:szCs w:val="18"/>
            <w:lang w:val="es-ES_tradnl"/>
          </w:rPr>
          <w:t>https://orcid.org/0000-0001-8256-9636</w:t>
        </w:r>
      </w:hyperlink>
    </w:p>
    <w:p w14:paraId="0A1BE3FA" w14:textId="2C2A081C" w:rsidR="000652E8" w:rsidRPr="00BB0121" w:rsidRDefault="00000000" w:rsidP="000652E8">
      <w:pPr>
        <w:jc w:val="center"/>
        <w:rPr>
          <w:rFonts w:ascii="Roboto" w:eastAsia="Roboto" w:hAnsi="Roboto" w:cs="Roboto"/>
          <w:noProof/>
          <w:sz w:val="18"/>
          <w:szCs w:val="18"/>
          <w:lang w:val="es-ES_tradnl"/>
        </w:rPr>
      </w:pPr>
      <w:r w:rsidRPr="00BB0121">
        <w:rPr>
          <w:rFonts w:ascii="Roboto" w:eastAsia="Roboto" w:hAnsi="Roboto" w:cs="Roboto"/>
          <w:noProof/>
          <w:sz w:val="18"/>
          <w:szCs w:val="18"/>
          <w:vertAlign w:val="superscript"/>
          <w:lang w:val="es-ES_tradnl"/>
        </w:rPr>
        <w:t>2</w:t>
      </w:r>
      <w:r w:rsidR="000652E8" w:rsidRPr="00BB0121">
        <w:rPr>
          <w:rFonts w:ascii="Roboto" w:eastAsia="Roboto" w:hAnsi="Roboto" w:cs="Roboto"/>
          <w:noProof/>
          <w:sz w:val="18"/>
          <w:szCs w:val="18"/>
          <w:vertAlign w:val="superscript"/>
          <w:lang w:val="es-ES_tradnl"/>
        </w:rPr>
        <w:t xml:space="preserve"> </w:t>
      </w:r>
      <w:r w:rsidR="000652E8" w:rsidRPr="00BB0121">
        <w:rPr>
          <w:rFonts w:ascii="Roboto" w:eastAsia="Roboto" w:hAnsi="Roboto" w:cs="Roboto"/>
          <w:noProof/>
          <w:sz w:val="18"/>
          <w:szCs w:val="18"/>
          <w:lang w:val="es-ES_tradnl"/>
        </w:rPr>
        <w:t>Instituto Nacional de Neurología y Neurocirugía Manuel Velasco Suárez</w:t>
      </w:r>
      <w:r w:rsidRPr="00BB0121">
        <w:rPr>
          <w:rFonts w:ascii="Roboto" w:eastAsia="Roboto" w:hAnsi="Roboto" w:cs="Roboto"/>
          <w:noProof/>
          <w:sz w:val="18"/>
          <w:szCs w:val="18"/>
          <w:lang w:val="es-ES_tradnl"/>
        </w:rPr>
        <w:t xml:space="preserve">, </w:t>
      </w:r>
      <w:hyperlink r:id="rId9" w:history="1">
        <w:r w:rsidR="000652E8" w:rsidRPr="00BB0121">
          <w:rPr>
            <w:rStyle w:val="Hyperlink"/>
            <w:rFonts w:ascii="Roboto" w:eastAsia="Roboto" w:hAnsi="Roboto" w:cs="Roboto"/>
            <w:noProof/>
            <w:sz w:val="18"/>
            <w:szCs w:val="18"/>
            <w:lang w:val="es-ES_tradnl"/>
          </w:rPr>
          <w:t>https://orcid.org/0000-0002-4176-917X</w:t>
        </w:r>
      </w:hyperlink>
    </w:p>
    <w:p w14:paraId="055AD9BF" w14:textId="09603368" w:rsidR="000652E8" w:rsidRPr="00BB0121" w:rsidRDefault="000652E8" w:rsidP="000652E8">
      <w:pPr>
        <w:jc w:val="center"/>
        <w:rPr>
          <w:rFonts w:ascii="Roboto" w:eastAsia="Roboto" w:hAnsi="Roboto" w:cs="Roboto"/>
          <w:noProof/>
          <w:sz w:val="18"/>
          <w:szCs w:val="18"/>
          <w:lang w:val="es-ES_tradnl"/>
        </w:rPr>
      </w:pPr>
      <w:r w:rsidRPr="00BB0121">
        <w:rPr>
          <w:rFonts w:ascii="Roboto" w:eastAsia="Roboto" w:hAnsi="Roboto" w:cs="Roboto"/>
          <w:noProof/>
          <w:sz w:val="18"/>
          <w:szCs w:val="18"/>
          <w:vertAlign w:val="superscript"/>
          <w:lang w:val="es-ES_tradnl"/>
        </w:rPr>
        <w:t xml:space="preserve">3 </w:t>
      </w:r>
      <w:r w:rsidRPr="00BB0121">
        <w:rPr>
          <w:rFonts w:ascii="Roboto" w:eastAsia="Roboto" w:hAnsi="Roboto" w:cs="Roboto"/>
          <w:noProof/>
          <w:sz w:val="18"/>
          <w:szCs w:val="18"/>
          <w:lang w:val="es-ES_tradnl"/>
        </w:rPr>
        <w:t xml:space="preserve">Unidad de Investigación en Neurodesarrollo, Instituto de Neurobiología, UNAM, </w:t>
      </w:r>
      <w:hyperlink r:id="rId10" w:history="1">
        <w:r w:rsidRPr="00BB0121">
          <w:rPr>
            <w:rStyle w:val="Hyperlink"/>
            <w:rFonts w:ascii="Roboto" w:eastAsia="Roboto" w:hAnsi="Roboto" w:cs="Roboto"/>
            <w:noProof/>
            <w:sz w:val="18"/>
            <w:szCs w:val="18"/>
            <w:lang w:val="es-ES_tradnl"/>
          </w:rPr>
          <w:t>https://orcid.org/0000-0002-4209-3191</w:t>
        </w:r>
      </w:hyperlink>
    </w:p>
    <w:p w14:paraId="51413B6F" w14:textId="0B6E86F2" w:rsidR="000652E8" w:rsidRPr="00BB0121" w:rsidRDefault="000652E8" w:rsidP="000652E8">
      <w:pPr>
        <w:jc w:val="center"/>
        <w:rPr>
          <w:rFonts w:ascii="Roboto" w:eastAsia="Roboto" w:hAnsi="Roboto" w:cs="Roboto"/>
          <w:noProof/>
          <w:sz w:val="18"/>
          <w:szCs w:val="18"/>
          <w:lang w:val="es-ES_tradnl"/>
        </w:rPr>
      </w:pPr>
      <w:r w:rsidRPr="00BB0121">
        <w:rPr>
          <w:rFonts w:ascii="Roboto" w:eastAsia="Roboto" w:hAnsi="Roboto" w:cs="Roboto"/>
          <w:noProof/>
          <w:sz w:val="18"/>
          <w:szCs w:val="18"/>
          <w:vertAlign w:val="superscript"/>
          <w:lang w:val="es-ES_tradnl"/>
        </w:rPr>
        <w:t xml:space="preserve">4 </w:t>
      </w:r>
      <w:r w:rsidRPr="00BB0121">
        <w:rPr>
          <w:rFonts w:ascii="Roboto" w:eastAsia="Roboto" w:hAnsi="Roboto" w:cs="Roboto"/>
          <w:noProof/>
          <w:sz w:val="18"/>
          <w:szCs w:val="18"/>
          <w:lang w:val="es-ES_tradnl"/>
        </w:rPr>
        <w:t xml:space="preserve">Laboratorio de Psicofisiología, Instituto de Neurobiología, UNAM, </w:t>
      </w:r>
      <w:hyperlink r:id="rId11" w:history="1">
        <w:r w:rsidRPr="00BB0121">
          <w:rPr>
            <w:rStyle w:val="Hyperlink"/>
            <w:rFonts w:ascii="Roboto" w:eastAsia="Roboto" w:hAnsi="Roboto" w:cs="Roboto"/>
            <w:noProof/>
            <w:sz w:val="18"/>
            <w:szCs w:val="18"/>
            <w:lang w:val="es-ES_tradnl"/>
          </w:rPr>
          <w:t>https://orcid.org/0000-0002-2842-7773</w:t>
        </w:r>
      </w:hyperlink>
    </w:p>
    <w:p w14:paraId="6A00E1F5" w14:textId="7CAE1AD6" w:rsidR="006F5DFC" w:rsidRDefault="00000000" w:rsidP="00C53D48">
      <w:pPr>
        <w:jc w:val="center"/>
        <w:rPr>
          <w:rFonts w:ascii="Roboto" w:eastAsia="Roboto" w:hAnsi="Roboto" w:cs="Roboto"/>
          <w:noProof/>
          <w:sz w:val="18"/>
          <w:szCs w:val="18"/>
          <w:lang w:val="es-ES_tradnl"/>
        </w:rPr>
      </w:pPr>
      <w:r w:rsidRPr="00BB0121">
        <w:rPr>
          <w:rFonts w:ascii="Roboto" w:eastAsia="Roboto" w:hAnsi="Roboto" w:cs="Roboto"/>
          <w:noProof/>
          <w:sz w:val="18"/>
          <w:szCs w:val="18"/>
          <w:lang w:val="es-ES_tradnl"/>
        </w:rPr>
        <w:t>*Autor de correspondencia (e-mail:</w:t>
      </w:r>
      <w:r w:rsidRPr="00BB0121">
        <w:rPr>
          <w:rFonts w:ascii="Roboto" w:eastAsia="Roboto" w:hAnsi="Roboto" w:cs="Roboto"/>
          <w:noProof/>
          <w:sz w:val="18"/>
          <w:szCs w:val="18"/>
          <w:highlight w:val="white"/>
          <w:lang w:val="es-ES_tradnl"/>
        </w:rPr>
        <w:t xml:space="preserve"> </w:t>
      </w:r>
      <w:hyperlink r:id="rId12" w:history="1">
        <w:r w:rsidR="000652E8" w:rsidRPr="00BB0121">
          <w:rPr>
            <w:rStyle w:val="Hyperlink"/>
            <w:rFonts w:ascii="Roboto" w:eastAsia="Roboto" w:hAnsi="Roboto" w:cs="Roboto"/>
            <w:noProof/>
            <w:sz w:val="18"/>
            <w:szCs w:val="18"/>
            <w:lang w:val="es-ES_tradnl"/>
          </w:rPr>
          <w:t>mauricio.gonzalezl@anahuac.mx</w:t>
        </w:r>
      </w:hyperlink>
      <w:r w:rsidRPr="00BB0121">
        <w:rPr>
          <w:rFonts w:ascii="Roboto" w:eastAsia="Roboto" w:hAnsi="Roboto" w:cs="Roboto"/>
          <w:noProof/>
          <w:sz w:val="18"/>
          <w:szCs w:val="18"/>
          <w:lang w:val="es-ES_tradnl"/>
        </w:rPr>
        <w:t>)</w:t>
      </w:r>
      <w:r w:rsidR="00006194">
        <w:pict w14:anchorId="2330BCA9">
          <v:rect id="Horizontal Line 1" o:spid="_x0000_s1026" alt="" style="width:510.2pt;height:1.1pt;visibility:visible;mso-wrap-style:square;mso-width-percent:0;mso-height-percent:0;mso-left-percent:-10001;mso-top-percent:-10001;mso-position-horizontal:absolute;mso-position-horizontal-relative:char;mso-position-vertical:absolute;mso-position-vertical-relative:line;mso-width-percent:0;mso-height-percent:0;mso-left-percent:-10001;mso-top-percent:-10001;v-text-anchor:top" filled="f">
            <o:lock v:ext="edit" rotation="t" aspectratio="t" verticies="t" text="t" shapetype="t"/>
            <w10:anchorlock/>
          </v:rect>
        </w:pict>
      </w:r>
    </w:p>
    <w:p w14:paraId="3A5B16CC" w14:textId="77777777" w:rsidR="00152737" w:rsidRPr="00BB0121" w:rsidRDefault="00152737">
      <w:pPr>
        <w:spacing w:before="60"/>
        <w:jc w:val="center"/>
        <w:rPr>
          <w:rFonts w:ascii="Roboto" w:eastAsia="Roboto" w:hAnsi="Roboto" w:cs="Roboto"/>
          <w:noProof/>
          <w:sz w:val="18"/>
          <w:szCs w:val="18"/>
          <w:lang w:val="es-ES_tradnl"/>
        </w:rPr>
        <w:sectPr w:rsidR="00152737" w:rsidRPr="00BB0121" w:rsidSect="00C53D48">
          <w:headerReference w:type="default" r:id="rId13"/>
          <w:pgSz w:w="11906" w:h="16838"/>
          <w:pgMar w:top="1134" w:right="851" w:bottom="1134" w:left="851" w:header="357" w:footer="720" w:gutter="0"/>
          <w:pgNumType w:start="1"/>
          <w:cols w:space="720"/>
        </w:sectPr>
      </w:pPr>
    </w:p>
    <w:p w14:paraId="53867410" w14:textId="1B8B6BFB" w:rsidR="006F5DFC" w:rsidRPr="00BB0121" w:rsidRDefault="00C85639" w:rsidP="00BB0121">
      <w:pPr>
        <w:pBdr>
          <w:top w:val="nil"/>
          <w:left w:val="nil"/>
          <w:bottom w:val="nil"/>
          <w:right w:val="nil"/>
          <w:between w:val="nil"/>
        </w:pBdr>
        <w:spacing w:before="120" w:after="120" w:line="264" w:lineRule="auto"/>
        <w:jc w:val="both"/>
        <w:rPr>
          <w:rFonts w:ascii="Roboto" w:eastAsia="Roboto" w:hAnsi="Roboto" w:cs="Roboto"/>
          <w:b/>
          <w:bCs/>
          <w:noProof/>
          <w:color w:val="000000"/>
          <w:sz w:val="20"/>
          <w:szCs w:val="20"/>
          <w:lang w:val="es-ES_tradnl"/>
        </w:rPr>
      </w:pPr>
      <w:r w:rsidRPr="00BB0121">
        <w:rPr>
          <w:rFonts w:ascii="Roboto" w:eastAsia="Roboto" w:hAnsi="Roboto" w:cs="Roboto"/>
          <w:b/>
          <w:bCs/>
          <w:noProof/>
          <w:color w:val="000000"/>
          <w:sz w:val="20"/>
          <w:szCs w:val="20"/>
          <w:lang w:val="es-ES_tradnl"/>
        </w:rPr>
        <w:t>INTRODUCCIÓN</w:t>
      </w:r>
    </w:p>
    <w:p w14:paraId="584D31DC" w14:textId="773B3817" w:rsidR="00C85639" w:rsidRPr="00BB0121" w:rsidRDefault="00C85639" w:rsidP="00BB0121">
      <w:pPr>
        <w:pBdr>
          <w:top w:val="nil"/>
          <w:left w:val="nil"/>
          <w:bottom w:val="nil"/>
          <w:right w:val="nil"/>
          <w:between w:val="nil"/>
        </w:pBdr>
        <w:spacing w:before="120" w:after="120" w:line="264" w:lineRule="auto"/>
        <w:jc w:val="both"/>
        <w:rPr>
          <w:rFonts w:ascii="Roboto" w:eastAsia="Roboto" w:hAnsi="Roboto" w:cs="Roboto"/>
          <w:noProof/>
          <w:color w:val="000000"/>
          <w:sz w:val="20"/>
          <w:szCs w:val="20"/>
          <w:lang w:val="es-ES_tradnl"/>
        </w:rPr>
      </w:pPr>
      <w:r w:rsidRPr="00BB0121">
        <w:rPr>
          <w:rFonts w:ascii="Roboto" w:eastAsia="Roboto" w:hAnsi="Roboto" w:cs="Roboto"/>
          <w:noProof/>
          <w:color w:val="000000"/>
          <w:sz w:val="20"/>
          <w:szCs w:val="20"/>
          <w:lang w:val="es-ES_tradnl"/>
        </w:rPr>
        <w:t>El envejecimiento de la población mundial es un fenómeno que ha llamado la atención de los profesionales e investigadores en materia de salud ya que acentúa la importancia de comprender los procesos involucrados en la reducción de la capacidad adaptativa de los adultos mayores. La edad evanzada es el principal factor de riesgo para el desarrollo de trastornos neurocognitivos</w:t>
      </w:r>
      <w:r w:rsidR="00BB0121">
        <w:rPr>
          <w:rFonts w:ascii="Roboto" w:eastAsia="Roboto" w:hAnsi="Roboto" w:cs="Roboto"/>
          <w:noProof/>
          <w:color w:val="000000"/>
          <w:sz w:val="20"/>
          <w:szCs w:val="20"/>
          <w:lang w:val="es-ES_tradnl"/>
        </w:rPr>
        <w:t xml:space="preserve"> (TNC)</w:t>
      </w:r>
      <w:r w:rsidRPr="00BB0121">
        <w:rPr>
          <w:rFonts w:ascii="Roboto" w:eastAsia="Roboto" w:hAnsi="Roboto" w:cs="Roboto"/>
          <w:noProof/>
          <w:color w:val="000000"/>
          <w:sz w:val="20"/>
          <w:szCs w:val="20"/>
          <w:lang w:val="es-ES_tradnl"/>
        </w:rPr>
        <w:t>, anteriormente deno</w:t>
      </w:r>
      <w:r w:rsidR="00BB0121">
        <w:rPr>
          <w:rFonts w:ascii="Roboto" w:eastAsia="Roboto" w:hAnsi="Roboto" w:cs="Roboto"/>
          <w:noProof/>
          <w:color w:val="000000"/>
          <w:sz w:val="20"/>
          <w:szCs w:val="20"/>
          <w:lang w:val="es-ES_tradnl"/>
        </w:rPr>
        <w:t>-</w:t>
      </w:r>
      <w:r w:rsidRPr="00BB0121">
        <w:rPr>
          <w:rFonts w:ascii="Roboto" w:eastAsia="Roboto" w:hAnsi="Roboto" w:cs="Roboto"/>
          <w:noProof/>
          <w:color w:val="000000"/>
          <w:sz w:val="20"/>
          <w:szCs w:val="20"/>
          <w:lang w:val="es-ES_tradnl"/>
        </w:rPr>
        <w:t>mi</w:t>
      </w:r>
      <w:r w:rsidR="00BB0121">
        <w:rPr>
          <w:rFonts w:ascii="Roboto" w:eastAsia="Roboto" w:hAnsi="Roboto" w:cs="Roboto"/>
          <w:noProof/>
          <w:color w:val="000000"/>
          <w:sz w:val="20"/>
          <w:szCs w:val="20"/>
          <w:lang w:val="es-ES_tradnl"/>
        </w:rPr>
        <w:t>na</w:t>
      </w:r>
      <w:r w:rsidRPr="00BB0121">
        <w:rPr>
          <w:rFonts w:ascii="Roboto" w:eastAsia="Roboto" w:hAnsi="Roboto" w:cs="Roboto"/>
          <w:noProof/>
          <w:color w:val="000000"/>
          <w:sz w:val="20"/>
          <w:szCs w:val="20"/>
          <w:lang w:val="es-ES_tradnl"/>
        </w:rPr>
        <w:t>dos demencias</w:t>
      </w:r>
      <w:r w:rsidR="00152737">
        <w:rPr>
          <w:rFonts w:ascii="Roboto" w:eastAsia="Roboto" w:hAnsi="Roboto" w:cs="Roboto"/>
          <w:noProof/>
          <w:color w:val="000000"/>
          <w:sz w:val="20"/>
          <w:szCs w:val="20"/>
          <w:lang w:val="es-ES_tradnl"/>
        </w:rPr>
        <w:t xml:space="preserve">. </w:t>
      </w:r>
      <w:r w:rsidRPr="00BB0121">
        <w:rPr>
          <w:rFonts w:ascii="Roboto" w:eastAsia="Roboto" w:hAnsi="Roboto" w:cs="Roboto"/>
          <w:noProof/>
          <w:color w:val="000000"/>
          <w:sz w:val="20"/>
          <w:szCs w:val="20"/>
          <w:lang w:val="es-ES_tradnl"/>
        </w:rPr>
        <w:t>Esto apunta a una necesidad urgente de identificar biomarcadores tempranos de TNC, idealmente en una fase preclínica para poder ofrecer un tratamiento oportuno.</w:t>
      </w:r>
    </w:p>
    <w:p w14:paraId="31378C34" w14:textId="47FB4863" w:rsidR="00C53D48" w:rsidRDefault="00C53D48" w:rsidP="00BB0121">
      <w:pPr>
        <w:pBdr>
          <w:top w:val="nil"/>
          <w:left w:val="nil"/>
          <w:bottom w:val="nil"/>
          <w:right w:val="nil"/>
          <w:between w:val="nil"/>
        </w:pBdr>
        <w:spacing w:before="120" w:after="120" w:line="264" w:lineRule="auto"/>
        <w:jc w:val="both"/>
        <w:rPr>
          <w:rFonts w:ascii="Roboto" w:eastAsia="Roboto" w:hAnsi="Roboto" w:cs="Roboto"/>
          <w:noProof/>
          <w:color w:val="000000"/>
          <w:sz w:val="20"/>
          <w:szCs w:val="20"/>
          <w:lang w:val="es-ES_tradnl"/>
        </w:rPr>
      </w:pPr>
      <w:r w:rsidRPr="00BB0121">
        <w:rPr>
          <w:rFonts w:ascii="Roboto" w:eastAsia="Roboto" w:hAnsi="Roboto" w:cs="Roboto"/>
          <w:noProof/>
          <w:color w:val="000000"/>
          <w:sz w:val="20"/>
          <w:szCs w:val="20"/>
          <w:lang w:val="es-ES_tradnl"/>
        </w:rPr>
        <w:drawing>
          <wp:anchor distT="0" distB="0" distL="114300" distR="114300" simplePos="0" relativeHeight="251658240" behindDoc="0" locked="0" layoutInCell="1" allowOverlap="1" wp14:anchorId="50AACC59" wp14:editId="08386008">
            <wp:simplePos x="0" y="0"/>
            <wp:positionH relativeFrom="column">
              <wp:posOffset>3345815</wp:posOffset>
            </wp:positionH>
            <wp:positionV relativeFrom="page">
              <wp:posOffset>4608041</wp:posOffset>
            </wp:positionV>
            <wp:extent cx="3137535" cy="1654810"/>
            <wp:effectExtent l="0" t="0" r="0" b="0"/>
            <wp:wrapTopAndBottom/>
            <wp:docPr id="7139649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3964943"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137535" cy="1654810"/>
                    </a:xfrm>
                    <a:prstGeom prst="rect">
                      <a:avLst/>
                    </a:prstGeom>
                  </pic:spPr>
                </pic:pic>
              </a:graphicData>
            </a:graphic>
            <wp14:sizeRelH relativeFrom="page">
              <wp14:pctWidth>0</wp14:pctWidth>
            </wp14:sizeRelH>
            <wp14:sizeRelV relativeFrom="page">
              <wp14:pctHeight>0</wp14:pctHeight>
            </wp14:sizeRelV>
          </wp:anchor>
        </w:drawing>
      </w:r>
      <w:r w:rsidR="00C85639" w:rsidRPr="00BB0121">
        <w:rPr>
          <w:rFonts w:ascii="Roboto" w:eastAsia="Roboto" w:hAnsi="Roboto" w:cs="Roboto"/>
          <w:noProof/>
          <w:color w:val="000000"/>
          <w:sz w:val="20"/>
          <w:szCs w:val="20"/>
          <w:lang w:val="es-ES_tradnl"/>
        </w:rPr>
        <w:t>Actualmente, se han aceptado biomarcadores de riesgo de deterioro cognitivo</w:t>
      </w:r>
      <w:r w:rsidR="00460055" w:rsidRPr="00BB0121">
        <w:rPr>
          <w:rFonts w:ascii="Roboto" w:eastAsia="Roboto" w:hAnsi="Roboto" w:cs="Roboto"/>
          <w:noProof/>
          <w:color w:val="000000"/>
          <w:sz w:val="20"/>
          <w:szCs w:val="20"/>
          <w:lang w:val="es-ES_tradnl"/>
        </w:rPr>
        <w:t xml:space="preserve"> (</w:t>
      </w:r>
      <w:r w:rsidR="00911742" w:rsidRPr="00BB0121">
        <w:rPr>
          <w:rFonts w:ascii="Roboto" w:eastAsia="Roboto" w:hAnsi="Roboto" w:cs="Roboto"/>
          <w:noProof/>
          <w:color w:val="000000"/>
          <w:sz w:val="20"/>
          <w:szCs w:val="20"/>
          <w:lang w:val="es-ES_tradnl"/>
        </w:rPr>
        <w:t>Jack Jr y Holtzman, 2018</w:t>
      </w:r>
      <w:r w:rsidR="00460055" w:rsidRPr="00BB0121">
        <w:rPr>
          <w:rFonts w:ascii="Roboto" w:eastAsia="Roboto" w:hAnsi="Roboto" w:cs="Roboto"/>
          <w:noProof/>
          <w:color w:val="000000"/>
          <w:sz w:val="20"/>
          <w:szCs w:val="20"/>
          <w:lang w:val="es-ES_tradnl"/>
        </w:rPr>
        <w:t xml:space="preserve">) que no suelen ser empleados en escenarios clínicos cotidianos por su naturaleza invasiva o su alto costo, lo cual dificulta aún más su uso en paises en vía de desarrollo como México. </w:t>
      </w:r>
      <w:r w:rsidR="00152737">
        <w:rPr>
          <w:rFonts w:ascii="Roboto" w:eastAsia="Roboto" w:hAnsi="Roboto" w:cs="Roboto"/>
          <w:noProof/>
          <w:color w:val="000000"/>
          <w:sz w:val="20"/>
          <w:szCs w:val="20"/>
          <w:lang w:val="es-ES_tradnl"/>
        </w:rPr>
        <w:t>U</w:t>
      </w:r>
      <w:r w:rsidR="00460055" w:rsidRPr="00BB0121">
        <w:rPr>
          <w:rFonts w:ascii="Roboto" w:eastAsia="Roboto" w:hAnsi="Roboto" w:cs="Roboto"/>
          <w:noProof/>
          <w:color w:val="000000"/>
          <w:sz w:val="20"/>
          <w:szCs w:val="20"/>
          <w:lang w:val="es-ES_tradnl"/>
        </w:rPr>
        <w:t>na técnica que ha mostrado resultados prometedores en la identificación de riesgo de deterioro cognitivo es el electroencefalograma cuantitativo (qEEG, por sus siglas en inglés). En particular, el exceso de actividad</w:t>
      </w:r>
      <w:r w:rsidR="00BB0121">
        <w:rPr>
          <w:rFonts w:ascii="Roboto" w:eastAsia="Roboto" w:hAnsi="Roboto" w:cs="Roboto"/>
          <w:noProof/>
          <w:color w:val="000000"/>
          <w:sz w:val="20"/>
          <w:szCs w:val="20"/>
          <w:lang w:val="es-ES_tradnl"/>
        </w:rPr>
        <w:t xml:space="preserve"> en el rango de frecuencias</w:t>
      </w:r>
      <w:r w:rsidR="00460055" w:rsidRPr="00BB0121">
        <w:rPr>
          <w:rFonts w:ascii="Roboto" w:eastAsia="Roboto" w:hAnsi="Roboto" w:cs="Roboto"/>
          <w:noProof/>
          <w:color w:val="000000"/>
          <w:sz w:val="20"/>
          <w:szCs w:val="20"/>
          <w:lang w:val="es-ES_tradnl"/>
        </w:rPr>
        <w:t xml:space="preserve"> theta (4-8 Hz), determinado al comparar con base de datos normativas, ha mostrado ser útil para predecir el desarrollo de TNC a mediano plazo (</w:t>
      </w:r>
      <w:r w:rsidR="00911742" w:rsidRPr="00BB0121">
        <w:rPr>
          <w:rFonts w:ascii="Roboto" w:eastAsia="Roboto" w:hAnsi="Roboto" w:cs="Roboto"/>
          <w:noProof/>
          <w:color w:val="000000"/>
          <w:sz w:val="20"/>
          <w:szCs w:val="20"/>
          <w:lang w:val="es-ES_tradnl"/>
        </w:rPr>
        <w:t>Musaeus et al., 2018; Prichep et al, 2006</w:t>
      </w:r>
      <w:r w:rsidR="00460055" w:rsidRPr="00BB0121">
        <w:rPr>
          <w:rFonts w:ascii="Roboto" w:eastAsia="Roboto" w:hAnsi="Roboto" w:cs="Roboto"/>
          <w:noProof/>
          <w:color w:val="000000"/>
          <w:sz w:val="20"/>
          <w:szCs w:val="20"/>
          <w:lang w:val="es-ES_tradnl"/>
        </w:rPr>
        <w:t>)</w:t>
      </w:r>
      <w:r w:rsidR="00B252F5">
        <w:rPr>
          <w:rFonts w:ascii="Roboto" w:eastAsia="Roboto" w:hAnsi="Roboto" w:cs="Roboto"/>
          <w:noProof/>
          <w:color w:val="000000"/>
          <w:sz w:val="20"/>
          <w:szCs w:val="20"/>
          <w:lang w:val="es-ES_tradnl"/>
        </w:rPr>
        <w:t xml:space="preserve">. </w:t>
      </w:r>
    </w:p>
    <w:p w14:paraId="1944C249" w14:textId="77777777" w:rsidR="00C53D48" w:rsidRDefault="00460055" w:rsidP="00BB0121">
      <w:pPr>
        <w:pBdr>
          <w:top w:val="nil"/>
          <w:left w:val="nil"/>
          <w:bottom w:val="nil"/>
          <w:right w:val="nil"/>
          <w:between w:val="nil"/>
        </w:pBdr>
        <w:spacing w:before="120" w:after="120" w:line="264" w:lineRule="auto"/>
        <w:jc w:val="both"/>
        <w:rPr>
          <w:rFonts w:ascii="Roboto" w:eastAsia="Roboto" w:hAnsi="Roboto" w:cs="Roboto"/>
          <w:noProof/>
          <w:color w:val="000000"/>
          <w:sz w:val="20"/>
          <w:szCs w:val="20"/>
          <w:lang w:val="es-ES_tradnl"/>
        </w:rPr>
      </w:pPr>
      <w:r w:rsidRPr="00BB0121">
        <w:rPr>
          <w:rFonts w:ascii="Roboto" w:eastAsia="Roboto" w:hAnsi="Roboto" w:cs="Roboto"/>
          <w:noProof/>
          <w:color w:val="000000"/>
          <w:sz w:val="20"/>
          <w:szCs w:val="20"/>
          <w:lang w:val="es-ES_tradnl"/>
        </w:rPr>
        <w:t>En estudios previos</w:t>
      </w:r>
      <w:r w:rsidR="00BB0121">
        <w:rPr>
          <w:rFonts w:ascii="Roboto" w:eastAsia="Roboto" w:hAnsi="Roboto" w:cs="Roboto"/>
          <w:noProof/>
          <w:color w:val="000000"/>
          <w:sz w:val="20"/>
          <w:szCs w:val="20"/>
          <w:lang w:val="es-ES_tradnl"/>
        </w:rPr>
        <w:t xml:space="preserve">, </w:t>
      </w:r>
      <w:r w:rsidRPr="00BB0121">
        <w:rPr>
          <w:rFonts w:ascii="Roboto" w:eastAsia="Roboto" w:hAnsi="Roboto" w:cs="Roboto"/>
          <w:noProof/>
          <w:color w:val="000000"/>
          <w:sz w:val="20"/>
          <w:szCs w:val="20"/>
          <w:lang w:val="es-ES_tradnl"/>
        </w:rPr>
        <w:t>hemos encontrado que aquellos adultos mayores sanos que que exhiben un exceso de actividad theta en su qEEG</w:t>
      </w:r>
      <w:r w:rsidR="00CC3BE9" w:rsidRPr="00BB0121">
        <w:rPr>
          <w:rFonts w:ascii="Roboto" w:eastAsia="Roboto" w:hAnsi="Roboto" w:cs="Roboto"/>
          <w:noProof/>
          <w:color w:val="000000"/>
          <w:sz w:val="20"/>
          <w:szCs w:val="20"/>
          <w:lang w:val="es-ES_tradnl"/>
        </w:rPr>
        <w:t xml:space="preserve"> muestran alteraciones en la conectividad cerebral funcional (</w:t>
      </w:r>
      <w:r w:rsidR="00911742" w:rsidRPr="00BB0121">
        <w:rPr>
          <w:rFonts w:ascii="Roboto" w:eastAsia="Roboto" w:hAnsi="Roboto" w:cs="Roboto"/>
          <w:noProof/>
          <w:color w:val="000000"/>
          <w:sz w:val="20"/>
          <w:szCs w:val="20"/>
          <w:lang w:val="es-ES_tradnl"/>
        </w:rPr>
        <w:t>Gonzalez-López et al., 2022</w:t>
      </w:r>
      <w:r w:rsidR="00CC3BE9" w:rsidRPr="00BB0121">
        <w:rPr>
          <w:rFonts w:ascii="Roboto" w:eastAsia="Roboto" w:hAnsi="Roboto" w:cs="Roboto"/>
          <w:noProof/>
          <w:color w:val="000000"/>
          <w:sz w:val="20"/>
          <w:szCs w:val="20"/>
          <w:lang w:val="es-ES_tradnl"/>
        </w:rPr>
        <w:t>) y cambios estructurales evaluados mediante resonancia magnética (</w:t>
      </w:r>
      <w:r w:rsidR="00911742" w:rsidRPr="00BB0121">
        <w:rPr>
          <w:rFonts w:ascii="Roboto" w:eastAsia="Roboto" w:hAnsi="Roboto" w:cs="Roboto"/>
          <w:noProof/>
          <w:color w:val="000000"/>
          <w:sz w:val="20"/>
          <w:szCs w:val="20"/>
          <w:lang w:val="es-ES_tradnl"/>
        </w:rPr>
        <w:t>Castro-Chavira et al., 2016</w:t>
      </w:r>
      <w:r w:rsidR="00CC3BE9" w:rsidRPr="00BB0121">
        <w:rPr>
          <w:rFonts w:ascii="Roboto" w:eastAsia="Roboto" w:hAnsi="Roboto" w:cs="Roboto"/>
          <w:noProof/>
          <w:color w:val="000000"/>
          <w:sz w:val="20"/>
          <w:szCs w:val="20"/>
          <w:lang w:val="es-ES_tradnl"/>
        </w:rPr>
        <w:t xml:space="preserve">), aun cuando su evaluación neuropsicológica se encuentra dentro de rangos normales para su edad. </w:t>
      </w:r>
    </w:p>
    <w:p w14:paraId="5EDDB5E8" w14:textId="77777777" w:rsidR="00C53D48" w:rsidRDefault="00B252F5" w:rsidP="00C53D48">
      <w:pPr>
        <w:pBdr>
          <w:top w:val="nil"/>
          <w:left w:val="nil"/>
          <w:bottom w:val="nil"/>
          <w:right w:val="nil"/>
          <w:between w:val="nil"/>
        </w:pBdr>
        <w:spacing w:before="120" w:after="120" w:line="264" w:lineRule="auto"/>
        <w:jc w:val="both"/>
        <w:rPr>
          <w:rFonts w:ascii="Roboto" w:eastAsia="Roboto" w:hAnsi="Roboto" w:cs="Roboto"/>
          <w:noProof/>
          <w:color w:val="000000"/>
          <w:sz w:val="20"/>
          <w:szCs w:val="20"/>
          <w:lang w:val="es-ES_tradnl"/>
        </w:rPr>
      </w:pPr>
      <w:r>
        <w:rPr>
          <w:rFonts w:ascii="Roboto" w:eastAsia="Roboto" w:hAnsi="Roboto" w:cs="Roboto"/>
          <w:noProof/>
          <w:color w:val="000000"/>
          <w:sz w:val="20"/>
          <w:szCs w:val="20"/>
          <w:lang w:val="es-ES_tradnl"/>
        </w:rPr>
        <w:t xml:space="preserve">En </w:t>
      </w:r>
      <w:r w:rsidR="00CC3BE9" w:rsidRPr="00BB0121">
        <w:rPr>
          <w:rFonts w:ascii="Roboto" w:eastAsia="Roboto" w:hAnsi="Roboto" w:cs="Roboto"/>
          <w:noProof/>
          <w:color w:val="000000"/>
          <w:sz w:val="20"/>
          <w:szCs w:val="20"/>
          <w:lang w:val="es-ES_tradnl"/>
        </w:rPr>
        <w:t>el presente trabajo</w:t>
      </w:r>
      <w:r>
        <w:rPr>
          <w:rFonts w:ascii="Roboto" w:eastAsia="Roboto" w:hAnsi="Roboto" w:cs="Roboto"/>
          <w:noProof/>
          <w:color w:val="000000"/>
          <w:sz w:val="20"/>
          <w:szCs w:val="20"/>
          <w:lang w:val="es-ES_tradnl"/>
        </w:rPr>
        <w:t xml:space="preserve"> se</w:t>
      </w:r>
      <w:r w:rsidR="00CC3BE9" w:rsidRPr="00BB0121">
        <w:rPr>
          <w:rFonts w:ascii="Roboto" w:eastAsia="Roboto" w:hAnsi="Roboto" w:cs="Roboto"/>
          <w:noProof/>
          <w:color w:val="000000"/>
          <w:sz w:val="20"/>
          <w:szCs w:val="20"/>
          <w:lang w:val="es-ES_tradnl"/>
        </w:rPr>
        <w:t xml:space="preserve"> buscó comparar la actividad cerebral asociada a la atención involuntaria entre dos grupos de adultos mayores sanos: uno con qEEG normal y otro con exceso de actividad theta. Para ello, se empleó la técnica de potenciales relacionados con eventos </w:t>
      </w:r>
      <w:r>
        <w:rPr>
          <w:rFonts w:ascii="Roboto" w:eastAsia="Roboto" w:hAnsi="Roboto" w:cs="Roboto"/>
          <w:noProof/>
          <w:color w:val="000000"/>
          <w:sz w:val="20"/>
          <w:szCs w:val="20"/>
          <w:lang w:val="es-ES_tradnl"/>
        </w:rPr>
        <w:t>bajo la hipótesis de que</w:t>
      </w:r>
      <w:r w:rsidR="00CC3BE9" w:rsidRPr="00BB0121">
        <w:rPr>
          <w:rFonts w:ascii="Roboto" w:eastAsia="Roboto" w:hAnsi="Roboto" w:cs="Roboto"/>
          <w:noProof/>
          <w:color w:val="000000"/>
          <w:sz w:val="20"/>
          <w:szCs w:val="20"/>
          <w:lang w:val="es-ES_tradnl"/>
        </w:rPr>
        <w:t xml:space="preserve"> el grupo con riesgo presentaría un efecto de distracción más acentuado en la amplitud y latencia de los componentes del potencial de distracción.</w:t>
      </w:r>
    </w:p>
    <w:p w14:paraId="4301945F" w14:textId="77777777" w:rsidR="00C53D48" w:rsidRDefault="00C53D48" w:rsidP="00C53D48">
      <w:pPr>
        <w:pBdr>
          <w:top w:val="nil"/>
          <w:left w:val="nil"/>
          <w:bottom w:val="nil"/>
          <w:right w:val="nil"/>
          <w:between w:val="nil"/>
        </w:pBdr>
        <w:spacing w:before="120" w:after="120" w:line="264" w:lineRule="auto"/>
        <w:jc w:val="both"/>
        <w:rPr>
          <w:rFonts w:ascii="Roboto" w:eastAsia="Roboto" w:hAnsi="Roboto" w:cs="Roboto"/>
          <w:noProof/>
          <w:color w:val="000000"/>
          <w:sz w:val="8"/>
          <w:szCs w:val="8"/>
          <w:lang w:val="es-ES_tradnl"/>
        </w:rPr>
      </w:pPr>
    </w:p>
    <w:p w14:paraId="41E2DC30" w14:textId="77777777" w:rsidR="00C53D48" w:rsidRPr="00C53D48" w:rsidRDefault="00C53D48" w:rsidP="00C53D48">
      <w:pPr>
        <w:pBdr>
          <w:top w:val="nil"/>
          <w:left w:val="nil"/>
          <w:bottom w:val="nil"/>
          <w:right w:val="nil"/>
          <w:between w:val="nil"/>
        </w:pBdr>
        <w:spacing w:before="120" w:line="264" w:lineRule="auto"/>
        <w:jc w:val="both"/>
        <w:rPr>
          <w:rFonts w:ascii="Roboto" w:eastAsia="Roboto" w:hAnsi="Roboto" w:cs="Roboto"/>
          <w:noProof/>
          <w:color w:val="000000"/>
          <w:sz w:val="8"/>
          <w:szCs w:val="8"/>
          <w:lang w:val="es-ES_tradnl"/>
        </w:rPr>
      </w:pPr>
    </w:p>
    <w:p w14:paraId="6F1A70B8" w14:textId="7A986257" w:rsidR="006F5DFC" w:rsidRPr="00C53D48" w:rsidRDefault="00CC3BE9" w:rsidP="00C53D48">
      <w:pPr>
        <w:pBdr>
          <w:top w:val="nil"/>
          <w:left w:val="nil"/>
          <w:bottom w:val="nil"/>
          <w:right w:val="nil"/>
          <w:between w:val="nil"/>
        </w:pBdr>
        <w:spacing w:after="120" w:line="264" w:lineRule="auto"/>
        <w:jc w:val="both"/>
        <w:rPr>
          <w:rFonts w:ascii="Roboto" w:eastAsia="Roboto" w:hAnsi="Roboto" w:cs="Roboto"/>
          <w:noProof/>
          <w:color w:val="000000"/>
          <w:sz w:val="20"/>
          <w:szCs w:val="20"/>
          <w:lang w:val="es-ES_tradnl"/>
        </w:rPr>
      </w:pPr>
      <w:r w:rsidRPr="00BB0121">
        <w:rPr>
          <w:rFonts w:ascii="Roboto" w:eastAsia="Roboto" w:hAnsi="Roboto" w:cs="Roboto"/>
          <w:b/>
          <w:bCs/>
          <w:noProof/>
          <w:color w:val="000000"/>
          <w:sz w:val="20"/>
          <w:szCs w:val="20"/>
          <w:lang w:val="es-ES_tradnl"/>
        </w:rPr>
        <w:t>MÉTODO</w:t>
      </w:r>
    </w:p>
    <w:p w14:paraId="2BDD5E9E" w14:textId="71D5EE4F" w:rsidR="00152737" w:rsidRDefault="00000000" w:rsidP="00BB0121">
      <w:pPr>
        <w:pBdr>
          <w:top w:val="nil"/>
          <w:left w:val="nil"/>
          <w:bottom w:val="nil"/>
          <w:right w:val="nil"/>
          <w:between w:val="nil"/>
        </w:pBdr>
        <w:spacing w:before="120" w:after="120" w:line="264" w:lineRule="auto"/>
        <w:jc w:val="both"/>
        <w:rPr>
          <w:rFonts w:ascii="Roboto" w:eastAsia="Roboto" w:hAnsi="Roboto" w:cs="Roboto"/>
          <w:noProof/>
          <w:color w:val="000000"/>
          <w:sz w:val="20"/>
          <w:szCs w:val="20"/>
          <w:lang w:val="es-ES_tradnl"/>
        </w:rPr>
      </w:pPr>
      <w:r w:rsidRPr="00BB0121">
        <w:rPr>
          <w:rFonts w:ascii="Roboto" w:eastAsia="Roboto" w:hAnsi="Roboto" w:cs="Roboto"/>
          <w:noProof/>
          <w:color w:val="000000"/>
          <w:sz w:val="20"/>
          <w:szCs w:val="20"/>
          <w:lang w:val="es-ES_tradnl"/>
        </w:rPr>
        <w:t>E</w:t>
      </w:r>
      <w:r w:rsidR="005E457F" w:rsidRPr="00BB0121">
        <w:rPr>
          <w:rFonts w:ascii="Roboto" w:eastAsia="Roboto" w:hAnsi="Roboto" w:cs="Roboto"/>
          <w:noProof/>
          <w:color w:val="000000"/>
          <w:sz w:val="20"/>
          <w:szCs w:val="20"/>
          <w:lang w:val="es-ES_tradnl"/>
        </w:rPr>
        <w:t>ste estudio fue aprobado por el Comité de Bioética del Instituto de Neurobiología, UNAM (INEU/SA/CB/109-HRM3)</w:t>
      </w:r>
      <w:r w:rsidR="00BB0121">
        <w:rPr>
          <w:rFonts w:ascii="Roboto" w:eastAsia="Roboto" w:hAnsi="Roboto" w:cs="Roboto"/>
          <w:noProof/>
          <w:color w:val="000000"/>
          <w:sz w:val="20"/>
          <w:szCs w:val="20"/>
          <w:lang w:val="es-ES_tradnl"/>
        </w:rPr>
        <w:t>.</w:t>
      </w:r>
      <w:r w:rsidR="00152737">
        <w:rPr>
          <w:rFonts w:ascii="Roboto" w:eastAsia="Roboto" w:hAnsi="Roboto" w:cs="Roboto"/>
          <w:noProof/>
          <w:color w:val="000000"/>
          <w:sz w:val="20"/>
          <w:szCs w:val="20"/>
          <w:lang w:val="es-ES_tradnl"/>
        </w:rPr>
        <w:t xml:space="preserve"> </w:t>
      </w:r>
    </w:p>
    <w:p w14:paraId="1A56266A" w14:textId="1D4FFF5B" w:rsidR="00BB0121" w:rsidRDefault="005E457F" w:rsidP="00152737">
      <w:pPr>
        <w:pBdr>
          <w:top w:val="nil"/>
          <w:left w:val="nil"/>
          <w:bottom w:val="nil"/>
          <w:right w:val="nil"/>
          <w:between w:val="nil"/>
        </w:pBdr>
        <w:spacing w:after="120" w:line="264" w:lineRule="auto"/>
        <w:jc w:val="both"/>
        <w:rPr>
          <w:rFonts w:ascii="Roboto" w:eastAsia="Roboto" w:hAnsi="Roboto" w:cs="Roboto"/>
          <w:noProof/>
          <w:color w:val="000000"/>
          <w:sz w:val="20"/>
          <w:szCs w:val="20"/>
          <w:lang w:val="es-ES_tradnl"/>
        </w:rPr>
      </w:pPr>
      <w:r w:rsidRPr="00BB0121">
        <w:rPr>
          <w:rFonts w:ascii="Roboto" w:eastAsia="Roboto" w:hAnsi="Roboto" w:cs="Roboto"/>
          <w:noProof/>
          <w:color w:val="000000"/>
          <w:sz w:val="20"/>
          <w:szCs w:val="20"/>
          <w:lang w:val="es-ES_tradnl"/>
        </w:rPr>
        <w:t xml:space="preserve">El estudio se realizó con 50 participantes mayores de 55 años con evaluación cognitiva normal y parámetros clínicos de salud adecuados. Se excluyeron participantes con historia de enfermedad neurológica o psiquiátrica. Los participantes se dividieron en dos grupos: un grupo control con qEEG normal (GC, n = 25) y un grupo con riesgo de deterioro cognitivo </w:t>
      </w:r>
      <w:r w:rsidR="001D31AD" w:rsidRPr="00BB0121">
        <w:rPr>
          <w:rFonts w:ascii="Roboto" w:eastAsia="Roboto" w:hAnsi="Roboto" w:cs="Roboto"/>
          <w:noProof/>
          <w:color w:val="000000"/>
          <w:sz w:val="20"/>
          <w:szCs w:val="20"/>
          <w:lang w:val="es-ES_tradnl"/>
        </w:rPr>
        <w:t xml:space="preserve">(GR, n = 25) </w:t>
      </w:r>
      <w:r w:rsidRPr="00BB0121">
        <w:rPr>
          <w:rFonts w:ascii="Roboto" w:eastAsia="Roboto" w:hAnsi="Roboto" w:cs="Roboto"/>
          <w:noProof/>
          <w:color w:val="000000"/>
          <w:sz w:val="20"/>
          <w:szCs w:val="20"/>
          <w:lang w:val="es-ES_tradnl"/>
        </w:rPr>
        <w:t>conformado por aquellos participantes con exceso de actividad theta en al menos una derivación</w:t>
      </w:r>
      <w:r w:rsidR="001D31AD" w:rsidRPr="00BB0121">
        <w:rPr>
          <w:rFonts w:ascii="Roboto" w:eastAsia="Roboto" w:hAnsi="Roboto" w:cs="Roboto"/>
          <w:noProof/>
          <w:color w:val="000000"/>
          <w:sz w:val="20"/>
          <w:szCs w:val="20"/>
          <w:lang w:val="es-ES_tradnl"/>
        </w:rPr>
        <w:t xml:space="preserve"> (Tabla 1</w:t>
      </w:r>
      <w:r w:rsidRPr="00BB0121">
        <w:rPr>
          <w:rFonts w:ascii="Roboto" w:eastAsia="Roboto" w:hAnsi="Roboto" w:cs="Roboto"/>
          <w:noProof/>
          <w:color w:val="000000"/>
          <w:sz w:val="20"/>
          <w:szCs w:val="20"/>
          <w:lang w:val="es-ES_tradnl"/>
        </w:rPr>
        <w:t>).</w:t>
      </w:r>
      <w:r w:rsidR="00EB5F04" w:rsidRPr="00BB0121">
        <w:rPr>
          <w:rFonts w:ascii="Roboto" w:eastAsia="Roboto" w:hAnsi="Roboto" w:cs="Roboto"/>
          <w:noProof/>
          <w:color w:val="000000"/>
          <w:sz w:val="20"/>
          <w:szCs w:val="20"/>
          <w:lang w:val="es-ES_tradnl"/>
        </w:rPr>
        <w:t xml:space="preserve"> </w:t>
      </w:r>
    </w:p>
    <w:p w14:paraId="69057512" w14:textId="74ED2041" w:rsidR="00BB0121" w:rsidRPr="00BB0121" w:rsidRDefault="00BB0121" w:rsidP="00B252F5">
      <w:pPr>
        <w:pBdr>
          <w:top w:val="nil"/>
          <w:left w:val="nil"/>
          <w:bottom w:val="nil"/>
          <w:right w:val="nil"/>
          <w:between w:val="nil"/>
        </w:pBdr>
        <w:spacing w:before="120" w:line="264" w:lineRule="auto"/>
        <w:jc w:val="both"/>
        <w:rPr>
          <w:rFonts w:ascii="Roboto" w:eastAsia="Roboto" w:hAnsi="Roboto" w:cs="Roboto"/>
          <w:noProof/>
          <w:color w:val="000000"/>
          <w:sz w:val="8"/>
          <w:szCs w:val="8"/>
          <w:lang w:val="es-ES_tradnl"/>
        </w:rPr>
      </w:pPr>
    </w:p>
    <w:p w14:paraId="192256BF" w14:textId="77777777" w:rsidR="00C53D48" w:rsidRDefault="00EB5F04" w:rsidP="00152737">
      <w:pPr>
        <w:pBdr>
          <w:top w:val="nil"/>
          <w:left w:val="nil"/>
          <w:bottom w:val="nil"/>
          <w:right w:val="nil"/>
          <w:between w:val="nil"/>
        </w:pBdr>
        <w:spacing w:after="120" w:line="264" w:lineRule="auto"/>
        <w:jc w:val="both"/>
        <w:rPr>
          <w:rFonts w:ascii="Roboto" w:eastAsia="Roboto" w:hAnsi="Roboto" w:cs="Roboto"/>
          <w:noProof/>
          <w:color w:val="000000"/>
          <w:sz w:val="20"/>
          <w:szCs w:val="20"/>
          <w:lang w:val="es-ES_tradnl"/>
        </w:rPr>
      </w:pPr>
      <w:r w:rsidRPr="00BB0121">
        <w:rPr>
          <w:rFonts w:ascii="Roboto" w:eastAsia="Roboto" w:hAnsi="Roboto" w:cs="Roboto"/>
          <w:noProof/>
          <w:color w:val="000000"/>
          <w:sz w:val="20"/>
          <w:szCs w:val="20"/>
          <w:lang w:val="es-ES_tradnl"/>
        </w:rPr>
        <w:t xml:space="preserve">Posteriormente, los participantes realizaron una tarea </w:t>
      </w:r>
      <w:r w:rsidR="00957457" w:rsidRPr="00BB0121">
        <w:rPr>
          <w:rFonts w:ascii="Roboto" w:eastAsia="Roboto" w:hAnsi="Roboto" w:cs="Roboto"/>
          <w:noProof/>
          <w:color w:val="000000"/>
          <w:sz w:val="20"/>
          <w:szCs w:val="20"/>
          <w:lang w:val="es-ES_tradnl"/>
        </w:rPr>
        <w:t xml:space="preserve">de discriminación </w:t>
      </w:r>
      <w:r w:rsidRPr="00BB0121">
        <w:rPr>
          <w:rFonts w:ascii="Roboto" w:eastAsia="Roboto" w:hAnsi="Roboto" w:cs="Roboto"/>
          <w:noProof/>
          <w:color w:val="000000"/>
          <w:sz w:val="20"/>
          <w:szCs w:val="20"/>
          <w:lang w:val="es-ES_tradnl"/>
        </w:rPr>
        <w:t>auditiva diseñada para evaluar atención involuntaria y el efecto de distracción, para la cual debían de res</w:t>
      </w:r>
      <w:r w:rsidR="00957457" w:rsidRPr="00BB0121">
        <w:rPr>
          <w:rFonts w:ascii="Roboto" w:eastAsia="Roboto" w:hAnsi="Roboto" w:cs="Roboto"/>
          <w:noProof/>
          <w:color w:val="000000"/>
          <w:sz w:val="20"/>
          <w:szCs w:val="20"/>
          <w:lang w:val="es-ES_tradnl"/>
        </w:rPr>
        <w:t>p</w:t>
      </w:r>
      <w:r w:rsidRPr="00BB0121">
        <w:rPr>
          <w:rFonts w:ascii="Roboto" w:eastAsia="Roboto" w:hAnsi="Roboto" w:cs="Roboto"/>
          <w:noProof/>
          <w:color w:val="000000"/>
          <w:sz w:val="20"/>
          <w:szCs w:val="20"/>
          <w:lang w:val="es-ES_tradnl"/>
        </w:rPr>
        <w:t xml:space="preserve">onder a la duración de una serie de sonidos mientras se registró su actividad </w:t>
      </w:r>
      <w:r w:rsidR="00152737">
        <w:rPr>
          <w:rFonts w:ascii="Roboto" w:eastAsia="Roboto" w:hAnsi="Roboto" w:cs="Roboto"/>
          <w:noProof/>
          <w:color w:val="000000"/>
          <w:sz w:val="20"/>
          <w:szCs w:val="20"/>
          <w:lang w:val="es-ES_tradnl"/>
        </w:rPr>
        <w:t xml:space="preserve">eléctrica </w:t>
      </w:r>
      <w:r w:rsidRPr="00BB0121">
        <w:rPr>
          <w:rFonts w:ascii="Roboto" w:eastAsia="Roboto" w:hAnsi="Roboto" w:cs="Roboto"/>
          <w:noProof/>
          <w:color w:val="000000"/>
          <w:sz w:val="20"/>
          <w:szCs w:val="20"/>
          <w:lang w:val="es-ES_tradnl"/>
        </w:rPr>
        <w:t xml:space="preserve">cerebral. </w:t>
      </w:r>
      <w:r w:rsidR="00957457" w:rsidRPr="00BB0121">
        <w:rPr>
          <w:rFonts w:ascii="Roboto" w:eastAsia="Roboto" w:hAnsi="Roboto" w:cs="Roboto"/>
          <w:noProof/>
          <w:color w:val="000000"/>
          <w:sz w:val="20"/>
          <w:szCs w:val="20"/>
          <w:lang w:val="es-ES_tradnl"/>
        </w:rPr>
        <w:t xml:space="preserve">Aunque los participantes debían responder a la duración de los estímulos, </w:t>
      </w:r>
      <w:r w:rsidR="00152737">
        <w:rPr>
          <w:rFonts w:ascii="Roboto" w:eastAsia="Roboto" w:hAnsi="Roboto" w:cs="Roboto"/>
          <w:noProof/>
          <w:color w:val="000000"/>
          <w:sz w:val="20"/>
          <w:szCs w:val="20"/>
          <w:lang w:val="es-ES_tradnl"/>
        </w:rPr>
        <w:t>un</w:t>
      </w:r>
      <w:r w:rsidR="00957457" w:rsidRPr="00BB0121">
        <w:rPr>
          <w:rFonts w:ascii="Roboto" w:eastAsia="Roboto" w:hAnsi="Roboto" w:cs="Roboto"/>
          <w:noProof/>
          <w:color w:val="000000"/>
          <w:sz w:val="20"/>
          <w:szCs w:val="20"/>
          <w:lang w:val="es-ES_tradnl"/>
        </w:rPr>
        <w:t xml:space="preserve"> 20% </w:t>
      </w:r>
      <w:r w:rsidR="00152737">
        <w:rPr>
          <w:rFonts w:ascii="Roboto" w:eastAsia="Roboto" w:hAnsi="Roboto" w:cs="Roboto"/>
          <w:noProof/>
          <w:color w:val="000000"/>
          <w:sz w:val="20"/>
          <w:szCs w:val="20"/>
          <w:lang w:val="es-ES_tradnl"/>
        </w:rPr>
        <w:t>de ellos</w:t>
      </w:r>
      <w:r w:rsidR="00957457" w:rsidRPr="00BB0121">
        <w:rPr>
          <w:rFonts w:ascii="Roboto" w:eastAsia="Roboto" w:hAnsi="Roboto" w:cs="Roboto"/>
          <w:noProof/>
          <w:color w:val="000000"/>
          <w:sz w:val="20"/>
          <w:szCs w:val="20"/>
          <w:lang w:val="es-ES_tradnl"/>
        </w:rPr>
        <w:t xml:space="preserve"> se presentaron </w:t>
      </w:r>
      <w:r w:rsidR="00152737">
        <w:rPr>
          <w:rFonts w:ascii="Roboto" w:eastAsia="Roboto" w:hAnsi="Roboto" w:cs="Roboto"/>
          <w:noProof/>
          <w:color w:val="000000"/>
          <w:sz w:val="20"/>
          <w:szCs w:val="20"/>
          <w:lang w:val="es-ES_tradnl"/>
        </w:rPr>
        <w:t>con otro tono</w:t>
      </w:r>
      <w:r w:rsidR="00957457" w:rsidRPr="00BB0121">
        <w:rPr>
          <w:rFonts w:ascii="Roboto" w:eastAsia="Roboto" w:hAnsi="Roboto" w:cs="Roboto"/>
          <w:noProof/>
          <w:color w:val="000000"/>
          <w:sz w:val="20"/>
          <w:szCs w:val="20"/>
          <w:lang w:val="es-ES_tradnl"/>
        </w:rPr>
        <w:t xml:space="preserve">. Este cambio en los estímulos no es relevante para la tarea del participante pero permite establecer un efecto distractor. </w:t>
      </w:r>
      <w:r w:rsidRPr="00BB0121">
        <w:rPr>
          <w:rFonts w:ascii="Roboto" w:eastAsia="Roboto" w:hAnsi="Roboto" w:cs="Roboto"/>
          <w:noProof/>
          <w:color w:val="000000"/>
          <w:sz w:val="20"/>
          <w:szCs w:val="20"/>
          <w:lang w:val="es-ES_tradnl"/>
        </w:rPr>
        <w:t xml:space="preserve">Se midieron tanto el desempeño conductual como las respuestas cerebrales específicas asociadas al procesamiento automático de cambios en el tono de los estímulos. El análisis estadístico </w:t>
      </w:r>
      <w:r w:rsidR="00152737">
        <w:rPr>
          <w:rFonts w:ascii="Roboto" w:eastAsia="Roboto" w:hAnsi="Roboto" w:cs="Roboto"/>
          <w:noProof/>
          <w:color w:val="000000"/>
          <w:sz w:val="20"/>
          <w:szCs w:val="20"/>
          <w:lang w:val="es-ES_tradnl"/>
        </w:rPr>
        <w:t>empleó</w:t>
      </w:r>
      <w:r w:rsidRPr="00BB0121">
        <w:rPr>
          <w:rFonts w:ascii="Roboto" w:eastAsia="Roboto" w:hAnsi="Roboto" w:cs="Roboto"/>
          <w:noProof/>
          <w:color w:val="000000"/>
          <w:sz w:val="20"/>
          <w:szCs w:val="20"/>
          <w:lang w:val="es-ES_tradnl"/>
        </w:rPr>
        <w:t xml:space="preserve"> métodos</w:t>
      </w:r>
      <w:r w:rsidR="00152737">
        <w:rPr>
          <w:rFonts w:ascii="Roboto" w:eastAsia="Roboto" w:hAnsi="Roboto" w:cs="Roboto"/>
          <w:noProof/>
          <w:color w:val="000000"/>
          <w:sz w:val="20"/>
          <w:szCs w:val="20"/>
          <w:lang w:val="es-ES_tradnl"/>
        </w:rPr>
        <w:t xml:space="preserve"> no paramétricos</w:t>
      </w:r>
      <w:r w:rsidRPr="00BB0121">
        <w:rPr>
          <w:rFonts w:ascii="Roboto" w:eastAsia="Roboto" w:hAnsi="Roboto" w:cs="Roboto"/>
          <w:noProof/>
          <w:color w:val="000000"/>
          <w:sz w:val="20"/>
          <w:szCs w:val="20"/>
          <w:lang w:val="es-ES_tradnl"/>
        </w:rPr>
        <w:t xml:space="preserve"> basados en permutaciones, lo que permite detectar diferencias confiables entre condiciones y grupos, controlando el error por comparaciones múltiples. Además, se evaluaron posibles diferencias en la distribución espacial de los componentes del potencial de distracción: </w:t>
      </w:r>
      <w:r w:rsidRPr="00BB0121">
        <w:rPr>
          <w:rFonts w:ascii="Roboto" w:eastAsia="Roboto" w:hAnsi="Roboto" w:cs="Roboto"/>
          <w:i/>
          <w:iCs/>
          <w:noProof/>
          <w:color w:val="000000"/>
          <w:sz w:val="20"/>
          <w:szCs w:val="20"/>
          <w:lang w:val="es-ES_tradnl"/>
        </w:rPr>
        <w:t>mismatch negativity</w:t>
      </w:r>
      <w:r w:rsidRPr="00BB0121">
        <w:rPr>
          <w:rFonts w:ascii="Roboto" w:eastAsia="Roboto" w:hAnsi="Roboto" w:cs="Roboto"/>
          <w:noProof/>
          <w:color w:val="000000"/>
          <w:sz w:val="20"/>
          <w:szCs w:val="20"/>
          <w:lang w:val="es-ES_tradnl"/>
        </w:rPr>
        <w:t xml:space="preserve"> (MMN), P3a y </w:t>
      </w:r>
      <w:r w:rsidRPr="00BB0121">
        <w:rPr>
          <w:rFonts w:ascii="Roboto" w:eastAsia="Roboto" w:hAnsi="Roboto" w:cs="Roboto"/>
          <w:i/>
          <w:iCs/>
          <w:noProof/>
          <w:color w:val="000000"/>
          <w:sz w:val="20"/>
          <w:szCs w:val="20"/>
          <w:lang w:val="es-ES_tradnl"/>
        </w:rPr>
        <w:t>reorientation negativity</w:t>
      </w:r>
      <w:r w:rsidRPr="00BB0121">
        <w:rPr>
          <w:rFonts w:ascii="Roboto" w:eastAsia="Roboto" w:hAnsi="Roboto" w:cs="Roboto"/>
          <w:noProof/>
          <w:color w:val="000000"/>
          <w:sz w:val="20"/>
          <w:szCs w:val="20"/>
          <w:lang w:val="es-ES_tradnl"/>
        </w:rPr>
        <w:t xml:space="preserve"> (RON).</w:t>
      </w:r>
    </w:p>
    <w:p w14:paraId="56126FC4" w14:textId="13254DB2" w:rsidR="00152737" w:rsidRPr="00C53D48" w:rsidRDefault="00EB5F04" w:rsidP="00152737">
      <w:pPr>
        <w:pBdr>
          <w:top w:val="nil"/>
          <w:left w:val="nil"/>
          <w:bottom w:val="nil"/>
          <w:right w:val="nil"/>
          <w:between w:val="nil"/>
        </w:pBdr>
        <w:spacing w:after="120" w:line="264" w:lineRule="auto"/>
        <w:jc w:val="both"/>
        <w:rPr>
          <w:rFonts w:ascii="Roboto" w:eastAsia="Roboto" w:hAnsi="Roboto" w:cs="Roboto"/>
          <w:noProof/>
          <w:color w:val="000000"/>
          <w:sz w:val="20"/>
          <w:szCs w:val="20"/>
          <w:lang w:val="es-ES_tradnl"/>
        </w:rPr>
      </w:pPr>
      <w:r w:rsidRPr="00BB0121">
        <w:rPr>
          <w:rFonts w:ascii="Roboto" w:eastAsia="Roboto" w:hAnsi="Roboto" w:cs="Roboto"/>
          <w:b/>
          <w:bCs/>
          <w:noProof/>
          <w:color w:val="000000"/>
          <w:sz w:val="20"/>
          <w:szCs w:val="20"/>
          <w:lang w:val="es-ES_tradnl"/>
        </w:rPr>
        <w:lastRenderedPageBreak/>
        <w:t>RESULTADOS</w:t>
      </w:r>
    </w:p>
    <w:p w14:paraId="1FE69DA9" w14:textId="6D5B3336" w:rsidR="00B252F5" w:rsidRPr="00152737" w:rsidRDefault="00C53D48" w:rsidP="00B252F5">
      <w:pPr>
        <w:pBdr>
          <w:top w:val="nil"/>
          <w:left w:val="nil"/>
          <w:bottom w:val="nil"/>
          <w:right w:val="nil"/>
          <w:between w:val="nil"/>
        </w:pBdr>
        <w:spacing w:before="120" w:after="120" w:line="264" w:lineRule="auto"/>
        <w:jc w:val="both"/>
        <w:rPr>
          <w:rFonts w:ascii="Roboto" w:eastAsia="Roboto" w:hAnsi="Roboto" w:cs="Roboto"/>
          <w:b/>
          <w:bCs/>
          <w:noProof/>
          <w:color w:val="000000"/>
          <w:sz w:val="20"/>
          <w:szCs w:val="20"/>
          <w:lang w:val="es-ES_tradnl"/>
        </w:rPr>
      </w:pPr>
      <w:r w:rsidRPr="00BB0121">
        <w:rPr>
          <w:rFonts w:ascii="Roboto" w:eastAsia="Roboto" w:hAnsi="Roboto" w:cs="Roboto"/>
          <w:noProof/>
          <w:color w:val="000000"/>
          <w:sz w:val="20"/>
          <w:szCs w:val="20"/>
          <w:lang w:val="es-ES_tradnl"/>
        </w:rPr>
        <w:drawing>
          <wp:anchor distT="0" distB="0" distL="114300" distR="114300" simplePos="0" relativeHeight="251660288" behindDoc="0" locked="0" layoutInCell="1" allowOverlap="1" wp14:anchorId="34AD8DDF" wp14:editId="021A9F53">
            <wp:simplePos x="0" y="0"/>
            <wp:positionH relativeFrom="column">
              <wp:posOffset>-42545</wp:posOffset>
            </wp:positionH>
            <wp:positionV relativeFrom="page">
              <wp:posOffset>1822136</wp:posOffset>
            </wp:positionV>
            <wp:extent cx="3127375" cy="1706880"/>
            <wp:effectExtent l="0" t="0" r="0" b="0"/>
            <wp:wrapTopAndBottom/>
            <wp:docPr id="16280125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8012588"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127375" cy="1706880"/>
                    </a:xfrm>
                    <a:prstGeom prst="rect">
                      <a:avLst/>
                    </a:prstGeom>
                  </pic:spPr>
                </pic:pic>
              </a:graphicData>
            </a:graphic>
            <wp14:sizeRelH relativeFrom="page">
              <wp14:pctWidth>0</wp14:pctWidth>
            </wp14:sizeRelH>
            <wp14:sizeRelV relativeFrom="page">
              <wp14:pctHeight>0</wp14:pctHeight>
            </wp14:sizeRelV>
          </wp:anchor>
        </w:drawing>
      </w:r>
      <w:r w:rsidR="00EB5F04" w:rsidRPr="00BB0121">
        <w:rPr>
          <w:rFonts w:ascii="Roboto" w:eastAsia="Roboto" w:hAnsi="Roboto" w:cs="Roboto"/>
          <w:noProof/>
          <w:color w:val="000000"/>
          <w:sz w:val="20"/>
          <w:szCs w:val="20"/>
          <w:lang w:val="es-ES_tradnl"/>
        </w:rPr>
        <w:t>El efecto conductual de distracción se observó en ambos grupos</w:t>
      </w:r>
      <w:r w:rsidR="00957457" w:rsidRPr="00BB0121">
        <w:rPr>
          <w:rFonts w:ascii="Roboto" w:eastAsia="Roboto" w:hAnsi="Roboto" w:cs="Roboto"/>
          <w:noProof/>
          <w:color w:val="000000"/>
          <w:sz w:val="20"/>
          <w:szCs w:val="20"/>
          <w:lang w:val="es-ES_tradnl"/>
        </w:rPr>
        <w:t>, evidenciado por una disminución de la precisión y un aumento del tiempo de reacción ante los estímulos infrecuentes. Sin embargo, este efecto de distracción no difirió entre los grupos.</w:t>
      </w:r>
    </w:p>
    <w:p w14:paraId="7E4F9D6B" w14:textId="1ED9906D" w:rsidR="00C53D48" w:rsidRPr="00C53D48" w:rsidRDefault="00C53D48" w:rsidP="00C53D48">
      <w:pPr>
        <w:pBdr>
          <w:top w:val="nil"/>
          <w:left w:val="nil"/>
          <w:bottom w:val="nil"/>
          <w:right w:val="nil"/>
          <w:between w:val="nil"/>
        </w:pBdr>
        <w:spacing w:line="264" w:lineRule="auto"/>
        <w:jc w:val="both"/>
        <w:rPr>
          <w:rFonts w:ascii="Roboto" w:eastAsia="Roboto" w:hAnsi="Roboto" w:cs="Roboto"/>
          <w:noProof/>
          <w:color w:val="000000"/>
          <w:sz w:val="20"/>
          <w:szCs w:val="20"/>
          <w:lang w:val="es-ES_tradnl"/>
        </w:rPr>
      </w:pPr>
      <w:r w:rsidRPr="00C53D48">
        <w:rPr>
          <w:rFonts w:ascii="Roboto" w:eastAsia="Roboto" w:hAnsi="Roboto" w:cs="Roboto"/>
          <w:b/>
          <w:bCs/>
          <w:noProof/>
          <w:color w:val="000000"/>
          <w:sz w:val="20"/>
          <w:szCs w:val="20"/>
          <w:lang w:val="es-ES_tradnl"/>
        </w:rPr>
        <w:t>Figura 1</w:t>
      </w:r>
      <w:r w:rsidRPr="00C53D48">
        <w:rPr>
          <w:rFonts w:ascii="Roboto" w:eastAsia="Roboto" w:hAnsi="Roboto" w:cs="Roboto"/>
          <w:noProof/>
          <w:color w:val="000000"/>
          <w:sz w:val="20"/>
          <w:szCs w:val="20"/>
          <w:lang w:val="es-ES_tradnl"/>
        </w:rPr>
        <w:t xml:space="preserve">. Latencias medias por grupo para los compo-nentes P3a en Cz (izq) y RON en P3 (der). * </w:t>
      </w:r>
      <w:r w:rsidRPr="00C53D48">
        <w:rPr>
          <w:rFonts w:ascii="Roboto" w:eastAsia="Roboto" w:hAnsi="Roboto" w:cs="Roboto"/>
          <w:i/>
          <w:iCs/>
          <w:noProof/>
          <w:color w:val="000000"/>
          <w:sz w:val="20"/>
          <w:szCs w:val="20"/>
          <w:lang w:val="es-ES_tradnl"/>
        </w:rPr>
        <w:t>p</w:t>
      </w:r>
      <w:r w:rsidRPr="00C53D48">
        <w:rPr>
          <w:rFonts w:ascii="Roboto" w:eastAsia="Roboto" w:hAnsi="Roboto" w:cs="Roboto"/>
          <w:noProof/>
          <w:color w:val="000000"/>
          <w:sz w:val="20"/>
          <w:szCs w:val="20"/>
          <w:lang w:val="es-ES_tradnl"/>
        </w:rPr>
        <w:t xml:space="preserve"> &lt; 0.05 corregida por comparaciones múltiples.</w:t>
      </w:r>
    </w:p>
    <w:p w14:paraId="4F56FFCA" w14:textId="77777777" w:rsidR="00C53D48" w:rsidRPr="00C53D48" w:rsidRDefault="00C53D48" w:rsidP="00C53D48">
      <w:pPr>
        <w:pBdr>
          <w:top w:val="nil"/>
          <w:left w:val="nil"/>
          <w:bottom w:val="nil"/>
          <w:right w:val="nil"/>
          <w:between w:val="nil"/>
        </w:pBdr>
        <w:spacing w:line="264" w:lineRule="auto"/>
        <w:jc w:val="both"/>
        <w:rPr>
          <w:rFonts w:ascii="Roboto" w:eastAsia="Roboto" w:hAnsi="Roboto" w:cs="Roboto"/>
          <w:noProof/>
          <w:color w:val="000000"/>
          <w:sz w:val="16"/>
          <w:szCs w:val="16"/>
          <w:lang w:val="en-US"/>
        </w:rPr>
      </w:pPr>
      <w:r w:rsidRPr="00C53D48">
        <w:rPr>
          <w:rFonts w:ascii="Roboto" w:eastAsia="Roboto" w:hAnsi="Roboto" w:cs="Roboto"/>
          <w:noProof/>
          <w:color w:val="000000"/>
          <w:sz w:val="16"/>
          <w:szCs w:val="16"/>
          <w:lang w:val="es-ES_tradnl"/>
        </w:rPr>
        <w:t xml:space="preserve">Adaptado de: González-López, et al., 2025, Brain and Behavior. </w:t>
      </w:r>
      <w:r w:rsidRPr="00C53D48">
        <w:rPr>
          <w:rFonts w:ascii="Roboto" w:eastAsia="Roboto" w:hAnsi="Roboto" w:cs="Roboto"/>
          <w:noProof/>
          <w:color w:val="000000"/>
          <w:sz w:val="16"/>
          <w:szCs w:val="16"/>
          <w:lang w:val="en-US"/>
        </w:rPr>
        <w:t>Licencia Creative Commons CC BY.</w:t>
      </w:r>
    </w:p>
    <w:p w14:paraId="019F198E" w14:textId="291D5D45" w:rsidR="007C6827" w:rsidRPr="00BB0121" w:rsidRDefault="00CF5360" w:rsidP="00BB0121">
      <w:pPr>
        <w:pBdr>
          <w:top w:val="nil"/>
          <w:left w:val="nil"/>
          <w:bottom w:val="nil"/>
          <w:right w:val="nil"/>
          <w:between w:val="nil"/>
        </w:pBdr>
        <w:spacing w:before="120" w:after="120" w:line="264" w:lineRule="auto"/>
        <w:jc w:val="both"/>
        <w:rPr>
          <w:rFonts w:ascii="Roboto" w:eastAsia="Roboto" w:hAnsi="Roboto" w:cs="Roboto"/>
          <w:noProof/>
          <w:color w:val="000000"/>
          <w:sz w:val="20"/>
          <w:szCs w:val="20"/>
          <w:lang w:val="es-ES_tradnl"/>
        </w:rPr>
      </w:pPr>
      <w:r w:rsidRPr="00BB0121">
        <w:rPr>
          <w:rFonts w:ascii="Roboto" w:eastAsia="Roboto" w:hAnsi="Roboto" w:cs="Roboto"/>
          <w:noProof/>
          <w:color w:val="000000"/>
          <w:sz w:val="20"/>
          <w:szCs w:val="20"/>
          <w:lang w:val="es-ES_tradnl"/>
        </w:rPr>
        <w:t xml:space="preserve">Aunque no hubo diferencias en la latencia del componente MMN, asociado a la detección automática del cambio en las propiedades físicas de los estímulos, el grupo con </w:t>
      </w:r>
      <w:r w:rsidR="00B252F5">
        <w:rPr>
          <w:rFonts w:ascii="Roboto" w:eastAsia="Roboto" w:hAnsi="Roboto" w:cs="Roboto"/>
          <w:noProof/>
          <w:color w:val="000000"/>
          <w:sz w:val="20"/>
          <w:szCs w:val="20"/>
          <w:lang w:val="es-ES_tradnl"/>
        </w:rPr>
        <w:t>riesgo</w:t>
      </w:r>
      <w:r w:rsidRPr="00BB0121">
        <w:rPr>
          <w:rFonts w:ascii="Roboto" w:eastAsia="Roboto" w:hAnsi="Roboto" w:cs="Roboto"/>
          <w:noProof/>
          <w:color w:val="000000"/>
          <w:sz w:val="20"/>
          <w:szCs w:val="20"/>
          <w:lang w:val="es-ES_tradnl"/>
        </w:rPr>
        <w:t xml:space="preserve"> mostró un enlentecimiento en etapas posteriores del procesamiento</w:t>
      </w:r>
      <w:r w:rsidR="00B252F5">
        <w:rPr>
          <w:rFonts w:ascii="Roboto" w:eastAsia="Roboto" w:hAnsi="Roboto" w:cs="Roboto"/>
          <w:noProof/>
          <w:color w:val="000000"/>
          <w:sz w:val="20"/>
          <w:szCs w:val="20"/>
          <w:lang w:val="es-ES_tradnl"/>
        </w:rPr>
        <w:t xml:space="preserve"> con</w:t>
      </w:r>
      <w:r w:rsidRPr="00BB0121">
        <w:rPr>
          <w:rFonts w:ascii="Roboto" w:eastAsia="Roboto" w:hAnsi="Roboto" w:cs="Roboto"/>
          <w:noProof/>
          <w:color w:val="000000"/>
          <w:sz w:val="20"/>
          <w:szCs w:val="20"/>
          <w:lang w:val="es-ES_tradnl"/>
        </w:rPr>
        <w:t xml:space="preserve"> mayores latencias en la respuesta asociada a la orientación de la atención (P3a) en regiones centroparietales de la línea media, así como en la respuesta de reorientación atencional (RON) en regiones parietales izquierdas</w:t>
      </w:r>
      <w:r w:rsidR="00B252F5">
        <w:rPr>
          <w:rFonts w:ascii="Roboto" w:eastAsia="Roboto" w:hAnsi="Roboto" w:cs="Roboto"/>
          <w:noProof/>
          <w:color w:val="000000"/>
          <w:sz w:val="20"/>
          <w:szCs w:val="20"/>
          <w:lang w:val="es-ES_tradnl"/>
        </w:rPr>
        <w:t xml:space="preserve"> (Figura 1)</w:t>
      </w:r>
      <w:r w:rsidRPr="00BB0121">
        <w:rPr>
          <w:rFonts w:ascii="Roboto" w:eastAsia="Roboto" w:hAnsi="Roboto" w:cs="Roboto"/>
          <w:noProof/>
          <w:color w:val="000000"/>
          <w:sz w:val="20"/>
          <w:szCs w:val="20"/>
          <w:lang w:val="es-ES_tradnl"/>
        </w:rPr>
        <w:t xml:space="preserve">. </w:t>
      </w:r>
    </w:p>
    <w:p w14:paraId="708D96A7" w14:textId="668FF1F6" w:rsidR="00EB5F04" w:rsidRPr="00BB0121" w:rsidRDefault="00C53D48" w:rsidP="00BB0121">
      <w:pPr>
        <w:pBdr>
          <w:top w:val="nil"/>
          <w:left w:val="nil"/>
          <w:bottom w:val="nil"/>
          <w:right w:val="nil"/>
          <w:between w:val="nil"/>
        </w:pBdr>
        <w:spacing w:before="120" w:after="120" w:line="264" w:lineRule="auto"/>
        <w:jc w:val="both"/>
        <w:rPr>
          <w:rFonts w:ascii="Roboto" w:eastAsia="Roboto" w:hAnsi="Roboto" w:cs="Roboto"/>
          <w:noProof/>
          <w:color w:val="000000"/>
          <w:sz w:val="20"/>
          <w:szCs w:val="20"/>
          <w:lang w:val="es-ES_tradnl"/>
        </w:rPr>
      </w:pPr>
      <w:r w:rsidRPr="00BB0121">
        <w:rPr>
          <w:rFonts w:ascii="Roboto" w:eastAsia="Roboto" w:hAnsi="Roboto" w:cs="Roboto"/>
          <w:noProof/>
          <w:color w:val="000000"/>
          <w:sz w:val="20"/>
          <w:szCs w:val="20"/>
          <w:lang w:val="es-ES_tradnl"/>
        </w:rPr>
        <w:drawing>
          <wp:anchor distT="0" distB="0" distL="114300" distR="114300" simplePos="0" relativeHeight="251659264" behindDoc="0" locked="0" layoutInCell="1" allowOverlap="1" wp14:anchorId="4688802F" wp14:editId="69DF5F87">
            <wp:simplePos x="0" y="0"/>
            <wp:positionH relativeFrom="column">
              <wp:posOffset>-38735</wp:posOffset>
            </wp:positionH>
            <wp:positionV relativeFrom="page">
              <wp:posOffset>6916627</wp:posOffset>
            </wp:positionV>
            <wp:extent cx="3161030" cy="1468120"/>
            <wp:effectExtent l="0" t="0" r="1270" b="5080"/>
            <wp:wrapTopAndBottom/>
            <wp:docPr id="20920958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095864"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161030" cy="1468120"/>
                    </a:xfrm>
                    <a:prstGeom prst="rect">
                      <a:avLst/>
                    </a:prstGeom>
                  </pic:spPr>
                </pic:pic>
              </a:graphicData>
            </a:graphic>
            <wp14:sizeRelH relativeFrom="page">
              <wp14:pctWidth>0</wp14:pctWidth>
            </wp14:sizeRelH>
            <wp14:sizeRelV relativeFrom="page">
              <wp14:pctHeight>0</wp14:pctHeight>
            </wp14:sizeRelV>
          </wp:anchor>
        </w:drawing>
      </w:r>
      <w:r w:rsidR="00CF5360" w:rsidRPr="00BB0121">
        <w:rPr>
          <w:rFonts w:ascii="Roboto" w:eastAsia="Roboto" w:hAnsi="Roboto" w:cs="Roboto"/>
          <w:noProof/>
          <w:color w:val="000000"/>
          <w:sz w:val="20"/>
          <w:szCs w:val="20"/>
          <w:lang w:val="es-ES_tradnl"/>
        </w:rPr>
        <w:t>En términos topográficos, este grupo exhibió una distribución más bilateral de esta respuesta tardía, en contraste con el patrón predominantemente lateralizado hacia el hemisferio derecho observado en el grupo control</w:t>
      </w:r>
      <w:r w:rsidR="00B252F5">
        <w:rPr>
          <w:rFonts w:ascii="Roboto" w:eastAsia="Roboto" w:hAnsi="Roboto" w:cs="Roboto"/>
          <w:noProof/>
          <w:color w:val="000000"/>
          <w:sz w:val="20"/>
          <w:szCs w:val="20"/>
          <w:lang w:val="es-ES_tradnl"/>
        </w:rPr>
        <w:t xml:space="preserve"> (Figura 2)</w:t>
      </w:r>
      <w:r w:rsidR="00CF5360" w:rsidRPr="00BB0121">
        <w:rPr>
          <w:rFonts w:ascii="Roboto" w:eastAsia="Roboto" w:hAnsi="Roboto" w:cs="Roboto"/>
          <w:noProof/>
          <w:color w:val="000000"/>
          <w:sz w:val="20"/>
          <w:szCs w:val="20"/>
          <w:lang w:val="es-ES_tradnl"/>
        </w:rPr>
        <w:t>.</w:t>
      </w:r>
    </w:p>
    <w:p w14:paraId="06471581" w14:textId="6EF66FD0" w:rsidR="00152737" w:rsidRPr="00BB0121" w:rsidRDefault="00152737" w:rsidP="00152737">
      <w:pPr>
        <w:pBdr>
          <w:top w:val="nil"/>
          <w:left w:val="nil"/>
          <w:bottom w:val="nil"/>
          <w:right w:val="nil"/>
          <w:between w:val="nil"/>
        </w:pBdr>
        <w:spacing w:line="264" w:lineRule="auto"/>
        <w:rPr>
          <w:rFonts w:ascii="Roboto" w:eastAsia="Roboto" w:hAnsi="Roboto" w:cs="Roboto"/>
          <w:noProof/>
          <w:color w:val="000000"/>
          <w:sz w:val="20"/>
          <w:szCs w:val="20"/>
          <w:lang w:val="es-ES_tradnl"/>
        </w:rPr>
      </w:pPr>
      <w:r w:rsidRPr="00BB0121">
        <w:rPr>
          <w:rFonts w:ascii="Roboto" w:eastAsia="Roboto" w:hAnsi="Roboto" w:cs="Roboto"/>
          <w:b/>
          <w:bCs/>
          <w:noProof/>
          <w:color w:val="000000"/>
          <w:sz w:val="20"/>
          <w:szCs w:val="20"/>
          <w:lang w:val="es-ES_tradnl"/>
        </w:rPr>
        <w:t>Figura 2</w:t>
      </w:r>
      <w:r w:rsidRPr="00BB0121">
        <w:rPr>
          <w:rFonts w:ascii="Roboto" w:eastAsia="Roboto" w:hAnsi="Roboto" w:cs="Roboto"/>
          <w:noProof/>
          <w:color w:val="000000"/>
          <w:sz w:val="20"/>
          <w:szCs w:val="20"/>
          <w:lang w:val="es-ES_tradnl"/>
        </w:rPr>
        <w:t>. Mapas topográficos de amplitud media en cada grupo para cada componente.</w:t>
      </w:r>
    </w:p>
    <w:p w14:paraId="7010B22E" w14:textId="77777777" w:rsidR="00152737" w:rsidRPr="00B252F5" w:rsidRDefault="00152737" w:rsidP="00C53D48">
      <w:pPr>
        <w:pBdr>
          <w:top w:val="nil"/>
          <w:left w:val="nil"/>
          <w:bottom w:val="nil"/>
          <w:right w:val="nil"/>
          <w:between w:val="nil"/>
        </w:pBdr>
        <w:spacing w:after="240" w:line="264" w:lineRule="auto"/>
        <w:rPr>
          <w:rFonts w:ascii="Roboto" w:eastAsia="Roboto" w:hAnsi="Roboto" w:cs="Roboto"/>
          <w:noProof/>
          <w:color w:val="000000"/>
          <w:sz w:val="16"/>
          <w:szCs w:val="16"/>
          <w:lang w:val="en-US"/>
        </w:rPr>
      </w:pPr>
      <w:r w:rsidRPr="00B252F5">
        <w:rPr>
          <w:rFonts w:ascii="Roboto" w:eastAsia="Roboto" w:hAnsi="Roboto" w:cs="Roboto"/>
          <w:noProof/>
          <w:color w:val="000000"/>
          <w:sz w:val="16"/>
          <w:szCs w:val="16"/>
          <w:lang w:val="es-ES_tradnl"/>
        </w:rPr>
        <w:t xml:space="preserve">Adaptado de: González-López, et al., 2025, Brain and Behavior. </w:t>
      </w:r>
      <w:r w:rsidRPr="00B252F5">
        <w:rPr>
          <w:rFonts w:ascii="Roboto" w:eastAsia="Roboto" w:hAnsi="Roboto" w:cs="Roboto"/>
          <w:noProof/>
          <w:color w:val="000000"/>
          <w:sz w:val="16"/>
          <w:szCs w:val="16"/>
          <w:lang w:val="en-US"/>
        </w:rPr>
        <w:t>Licencia Creative Commons CC BY.</w:t>
      </w:r>
    </w:p>
    <w:p w14:paraId="7EB25868" w14:textId="3E7FEEB6" w:rsidR="006F5DFC" w:rsidRPr="00BB0121" w:rsidRDefault="00CF5360" w:rsidP="00BB0121">
      <w:pPr>
        <w:pBdr>
          <w:top w:val="nil"/>
          <w:left w:val="nil"/>
          <w:bottom w:val="nil"/>
          <w:right w:val="nil"/>
          <w:between w:val="nil"/>
        </w:pBdr>
        <w:spacing w:before="120" w:after="120" w:line="264" w:lineRule="auto"/>
        <w:jc w:val="both"/>
        <w:rPr>
          <w:rFonts w:ascii="Roboto" w:eastAsia="Roboto" w:hAnsi="Roboto" w:cs="Roboto"/>
          <w:b/>
          <w:bCs/>
          <w:noProof/>
          <w:color w:val="000000"/>
          <w:sz w:val="20"/>
          <w:szCs w:val="20"/>
          <w:lang w:val="es-ES_tradnl"/>
        </w:rPr>
      </w:pPr>
      <w:r w:rsidRPr="00BB0121">
        <w:rPr>
          <w:rFonts w:ascii="Roboto" w:eastAsia="Roboto" w:hAnsi="Roboto" w:cs="Roboto"/>
          <w:b/>
          <w:bCs/>
          <w:noProof/>
          <w:color w:val="000000"/>
          <w:sz w:val="20"/>
          <w:szCs w:val="20"/>
          <w:lang w:val="es-ES_tradnl"/>
        </w:rPr>
        <w:t>DISCUSIÓN</w:t>
      </w:r>
    </w:p>
    <w:p w14:paraId="1239912B" w14:textId="2C377732" w:rsidR="00CF5360" w:rsidRPr="00BB0121" w:rsidRDefault="00CF5360" w:rsidP="00BB0121">
      <w:pPr>
        <w:keepNext/>
        <w:spacing w:before="120" w:after="120" w:line="264" w:lineRule="auto"/>
        <w:jc w:val="both"/>
        <w:rPr>
          <w:rFonts w:ascii="Roboto" w:eastAsia="Roboto" w:hAnsi="Roboto" w:cs="Roboto"/>
          <w:noProof/>
          <w:color w:val="000000"/>
          <w:sz w:val="20"/>
          <w:szCs w:val="20"/>
          <w:lang w:val="es-ES_tradnl"/>
        </w:rPr>
      </w:pPr>
      <w:r w:rsidRPr="00BB0121">
        <w:rPr>
          <w:rFonts w:ascii="Roboto" w:eastAsia="Roboto" w:hAnsi="Roboto" w:cs="Roboto"/>
          <w:noProof/>
          <w:color w:val="000000"/>
          <w:sz w:val="20"/>
          <w:szCs w:val="20"/>
          <w:lang w:val="es-ES_tradnl"/>
        </w:rPr>
        <w:t xml:space="preserve">Nuestros hallazgos indican una relación relevante entre el enlentecimiento de ciertas respuestas cerebrales asociadas a la distracción y la presencia de exceso de </w:t>
      </w:r>
      <w:r w:rsidRPr="00BB0121">
        <w:rPr>
          <w:rFonts w:ascii="Roboto" w:eastAsia="Roboto" w:hAnsi="Roboto" w:cs="Roboto"/>
          <w:noProof/>
          <w:color w:val="000000"/>
          <w:sz w:val="20"/>
          <w:szCs w:val="20"/>
          <w:lang w:val="es-ES_tradnl"/>
        </w:rPr>
        <w:t>actividad theta. En particular, se observaron retrasos en procesos relacionados con la orientación y la reorientación atencional; no obstante, estos no se reflejan aún en el desempeño conductual. Esto sugiere que, en etapas previas a la aparición de síntomas de deterioro cognitivo, los individuos podrían mantener un rendimiento conductual adecuado mediante mecanismos compensatorios. En esta línea, la dis</w:t>
      </w:r>
      <w:r w:rsidR="00B252F5">
        <w:rPr>
          <w:rFonts w:ascii="Roboto" w:eastAsia="Roboto" w:hAnsi="Roboto" w:cs="Roboto"/>
          <w:noProof/>
          <w:color w:val="000000"/>
          <w:sz w:val="20"/>
          <w:szCs w:val="20"/>
          <w:lang w:val="es-ES_tradnl"/>
        </w:rPr>
        <w:t>-</w:t>
      </w:r>
      <w:r w:rsidRPr="00BB0121">
        <w:rPr>
          <w:rFonts w:ascii="Roboto" w:eastAsia="Roboto" w:hAnsi="Roboto" w:cs="Roboto"/>
          <w:noProof/>
          <w:color w:val="000000"/>
          <w:sz w:val="20"/>
          <w:szCs w:val="20"/>
          <w:lang w:val="es-ES_tradnl"/>
        </w:rPr>
        <w:t>tribución más amplia de la actividad cerebral observada en el grupo con riesgo podría reflejar el reclutamiento de regiones adicionales para sostener el desempeño. Cabe destacar que estas diferencias se presentaron en procesos atencionales más complejos, pero no en mecanismos más tempranos y automáticos.</w:t>
      </w:r>
    </w:p>
    <w:p w14:paraId="2CA72BC2" w14:textId="610A78D7" w:rsidR="006F5DFC" w:rsidRDefault="00CF5360" w:rsidP="00BB0121">
      <w:pPr>
        <w:keepNext/>
        <w:spacing w:before="120" w:after="120" w:line="264" w:lineRule="auto"/>
        <w:jc w:val="both"/>
        <w:rPr>
          <w:rFonts w:ascii="Roboto" w:eastAsia="Roboto" w:hAnsi="Roboto" w:cs="Roboto"/>
          <w:noProof/>
          <w:color w:val="000000"/>
          <w:sz w:val="20"/>
          <w:szCs w:val="20"/>
          <w:lang w:val="es-ES_tradnl"/>
        </w:rPr>
      </w:pPr>
      <w:r w:rsidRPr="00BB0121">
        <w:rPr>
          <w:rFonts w:ascii="Roboto" w:eastAsia="Roboto" w:hAnsi="Roboto" w:cs="Roboto"/>
          <w:noProof/>
          <w:color w:val="000000"/>
          <w:sz w:val="20"/>
          <w:szCs w:val="20"/>
          <w:lang w:val="es-ES_tradnl"/>
        </w:rPr>
        <w:t>En conjunto, los resultados sugieren que adultos mayores aparentemente sanos pueden presentar alteraciones cerebrales sutiles que no son detectables mediante evaluaciones conductuales convencionales. Esto tiene implicaciones importantes para la identificación temprana de riesgo de deterioro cognitivo. En este sentido, el uso de medidas electrofisiológicas podría contribuir al desarrollo de estrategias de detección e intervención temprana, antes de que los cambios se manifiesten clínicamente.</w:t>
      </w:r>
    </w:p>
    <w:p w14:paraId="20A6D3AB" w14:textId="2A68168F" w:rsidR="004F5C7D" w:rsidRPr="00B252F5" w:rsidRDefault="004F5C7D" w:rsidP="00BB0121">
      <w:pPr>
        <w:keepNext/>
        <w:spacing w:before="120" w:after="120" w:line="264" w:lineRule="auto"/>
        <w:jc w:val="both"/>
        <w:rPr>
          <w:rFonts w:ascii="Roboto" w:eastAsia="Roboto" w:hAnsi="Roboto" w:cs="Roboto"/>
          <w:noProof/>
          <w:color w:val="000000"/>
          <w:sz w:val="20"/>
          <w:szCs w:val="20"/>
          <w:lang w:val="es-ES_tradnl"/>
        </w:rPr>
      </w:pPr>
      <w:r>
        <w:rPr>
          <w:rFonts w:ascii="Roboto" w:eastAsia="Roboto" w:hAnsi="Roboto" w:cs="Roboto"/>
          <w:noProof/>
          <w:color w:val="000000"/>
          <w:sz w:val="20"/>
          <w:szCs w:val="20"/>
        </w:rPr>
        <w:t xml:space="preserve">NOTA: </w:t>
      </w:r>
      <w:r w:rsidRPr="004F5C7D">
        <w:rPr>
          <w:rFonts w:ascii="Roboto" w:eastAsia="Roboto" w:hAnsi="Roboto" w:cs="Roboto"/>
          <w:noProof/>
          <w:color w:val="000000"/>
          <w:sz w:val="20"/>
          <w:szCs w:val="20"/>
        </w:rPr>
        <w:t xml:space="preserve">Este trabajo se basa en resultados </w:t>
      </w:r>
      <w:r>
        <w:rPr>
          <w:rFonts w:ascii="Roboto" w:eastAsia="Roboto" w:hAnsi="Roboto" w:cs="Roboto"/>
          <w:noProof/>
          <w:color w:val="000000"/>
          <w:sz w:val="20"/>
          <w:szCs w:val="20"/>
        </w:rPr>
        <w:t>de González-López et al., 2025</w:t>
      </w:r>
      <w:r w:rsidRPr="004F5C7D">
        <w:rPr>
          <w:rFonts w:ascii="-webkit-standard" w:hAnsi="-webkit-standard"/>
          <w:color w:val="FFFFFF"/>
          <w:sz w:val="27"/>
          <w:szCs w:val="27"/>
        </w:rPr>
        <w:t xml:space="preserve"> </w:t>
      </w:r>
      <w:r w:rsidRPr="004F5C7D">
        <w:rPr>
          <w:rFonts w:ascii="Roboto" w:eastAsia="Roboto" w:hAnsi="Roboto" w:cs="Roboto"/>
          <w:noProof/>
          <w:color w:val="000000"/>
          <w:sz w:val="20"/>
          <w:szCs w:val="20"/>
        </w:rPr>
        <w:t>publicado</w:t>
      </w:r>
      <w:r>
        <w:rPr>
          <w:rFonts w:ascii="Roboto" w:eastAsia="Roboto" w:hAnsi="Roboto" w:cs="Roboto"/>
          <w:noProof/>
          <w:color w:val="000000"/>
          <w:sz w:val="20"/>
          <w:szCs w:val="20"/>
        </w:rPr>
        <w:t>s</w:t>
      </w:r>
      <w:r w:rsidRPr="004F5C7D">
        <w:rPr>
          <w:rFonts w:ascii="Roboto" w:eastAsia="Roboto" w:hAnsi="Roboto" w:cs="Roboto"/>
          <w:noProof/>
          <w:color w:val="000000"/>
          <w:sz w:val="20"/>
          <w:szCs w:val="20"/>
        </w:rPr>
        <w:t xml:space="preserve"> en </w:t>
      </w:r>
      <w:r w:rsidRPr="004F5C7D">
        <w:rPr>
          <w:rFonts w:ascii="Roboto" w:eastAsia="Roboto" w:hAnsi="Roboto" w:cs="Roboto"/>
          <w:i/>
          <w:iCs/>
          <w:noProof/>
          <w:color w:val="000000"/>
          <w:sz w:val="20"/>
          <w:szCs w:val="20"/>
        </w:rPr>
        <w:t>Brain and Behavior</w:t>
      </w:r>
      <w:r>
        <w:rPr>
          <w:rFonts w:ascii="Roboto" w:eastAsia="Roboto" w:hAnsi="Roboto" w:cs="Roboto"/>
          <w:noProof/>
          <w:color w:val="000000"/>
          <w:sz w:val="20"/>
          <w:szCs w:val="20"/>
        </w:rPr>
        <w:t xml:space="preserve"> bajo l</w:t>
      </w:r>
      <w:r w:rsidRPr="004F5C7D">
        <w:rPr>
          <w:rFonts w:ascii="Roboto" w:eastAsia="Roboto" w:hAnsi="Roboto" w:cs="Roboto"/>
          <w:noProof/>
          <w:color w:val="000000"/>
          <w:sz w:val="20"/>
          <w:szCs w:val="20"/>
        </w:rPr>
        <w:t>icencia Creative Commons CC BY.</w:t>
      </w:r>
    </w:p>
    <w:p w14:paraId="244679DC" w14:textId="3033E429" w:rsidR="006F5DFC" w:rsidRPr="00BB0121" w:rsidRDefault="00000000" w:rsidP="00C53D48">
      <w:pPr>
        <w:spacing w:before="240" w:after="120" w:line="264" w:lineRule="auto"/>
        <w:jc w:val="both"/>
        <w:rPr>
          <w:rFonts w:ascii="Roboto" w:eastAsia="Roboto" w:hAnsi="Roboto" w:cs="Roboto"/>
          <w:b/>
          <w:bCs/>
          <w:noProof/>
          <w:sz w:val="20"/>
          <w:szCs w:val="20"/>
          <w:lang w:val="es-ES_tradnl"/>
        </w:rPr>
      </w:pPr>
      <w:r w:rsidRPr="00BB0121">
        <w:rPr>
          <w:rFonts w:ascii="Roboto" w:eastAsia="Roboto" w:hAnsi="Roboto" w:cs="Roboto"/>
          <w:b/>
          <w:bCs/>
          <w:noProof/>
          <w:sz w:val="20"/>
          <w:szCs w:val="20"/>
          <w:lang w:val="es-ES_tradnl"/>
        </w:rPr>
        <w:t>REFERENCIAS</w:t>
      </w:r>
    </w:p>
    <w:p w14:paraId="084745AE" w14:textId="32E3A67F" w:rsidR="003C304D" w:rsidRPr="00C53D48" w:rsidRDefault="003C304D" w:rsidP="00BB0121">
      <w:pPr>
        <w:spacing w:before="120" w:after="120" w:line="264" w:lineRule="auto"/>
        <w:ind w:left="284" w:hanging="284"/>
        <w:rPr>
          <w:rFonts w:ascii="Roboto" w:eastAsia="Roboto" w:hAnsi="Roboto" w:cs="Roboto"/>
          <w:noProof/>
          <w:sz w:val="17"/>
          <w:szCs w:val="17"/>
          <w:lang w:val="es-ES_tradnl"/>
        </w:rPr>
      </w:pPr>
      <w:r w:rsidRPr="00C53D48">
        <w:rPr>
          <w:rFonts w:ascii="Roboto" w:eastAsia="Roboto" w:hAnsi="Roboto" w:cs="Roboto"/>
          <w:noProof/>
          <w:sz w:val="17"/>
          <w:szCs w:val="17"/>
          <w:lang w:val="es-ES_tradnl"/>
        </w:rPr>
        <w:t xml:space="preserve">Castro-Chavira, S. A., Barrios, F. A., Pasaye, E. H., Alatorre-Cruz, G. C., &amp; Fernández, T. (2016). </w:t>
      </w:r>
      <w:r w:rsidRPr="00C53D48">
        <w:rPr>
          <w:rFonts w:ascii="Roboto" w:eastAsia="Roboto" w:hAnsi="Roboto" w:cs="Roboto"/>
          <w:noProof/>
          <w:sz w:val="17"/>
          <w:szCs w:val="17"/>
          <w:lang w:val="en-US"/>
        </w:rPr>
        <w:t>Compensatory larger cortical thickness in healthy elderly individuals with electroencephalographic risk for cognitive decline. </w:t>
      </w:r>
      <w:r w:rsidRPr="00C53D48">
        <w:rPr>
          <w:rFonts w:ascii="Roboto" w:eastAsia="Roboto" w:hAnsi="Roboto" w:cs="Roboto"/>
          <w:i/>
          <w:iCs/>
          <w:noProof/>
          <w:sz w:val="17"/>
          <w:szCs w:val="17"/>
          <w:lang w:val="es-ES_tradnl"/>
        </w:rPr>
        <w:t>Neuroreport</w:t>
      </w:r>
      <w:r w:rsidRPr="00C53D48">
        <w:rPr>
          <w:rFonts w:ascii="Roboto" w:eastAsia="Roboto" w:hAnsi="Roboto" w:cs="Roboto"/>
          <w:noProof/>
          <w:sz w:val="17"/>
          <w:szCs w:val="17"/>
          <w:lang w:val="es-ES_tradnl"/>
        </w:rPr>
        <w:t>, </w:t>
      </w:r>
      <w:r w:rsidRPr="00C53D48">
        <w:rPr>
          <w:rFonts w:ascii="Roboto" w:eastAsia="Roboto" w:hAnsi="Roboto" w:cs="Roboto"/>
          <w:i/>
          <w:iCs/>
          <w:noProof/>
          <w:sz w:val="17"/>
          <w:szCs w:val="17"/>
          <w:lang w:val="es-ES_tradnl"/>
        </w:rPr>
        <w:t>27</w:t>
      </w:r>
      <w:r w:rsidRPr="00C53D48">
        <w:rPr>
          <w:rFonts w:ascii="Roboto" w:eastAsia="Roboto" w:hAnsi="Roboto" w:cs="Roboto"/>
          <w:noProof/>
          <w:sz w:val="17"/>
          <w:szCs w:val="17"/>
          <w:lang w:val="es-ES_tradnl"/>
        </w:rPr>
        <w:t>(9), 710-715.</w:t>
      </w:r>
    </w:p>
    <w:p w14:paraId="0F5401F1" w14:textId="1ACA608E" w:rsidR="003C304D" w:rsidRPr="00C53D48" w:rsidRDefault="003C304D" w:rsidP="00BB0121">
      <w:pPr>
        <w:spacing w:before="120" w:after="120" w:line="264" w:lineRule="auto"/>
        <w:ind w:left="284" w:hanging="284"/>
        <w:rPr>
          <w:rFonts w:ascii="Roboto" w:eastAsia="Roboto" w:hAnsi="Roboto" w:cs="Roboto"/>
          <w:noProof/>
          <w:sz w:val="17"/>
          <w:szCs w:val="17"/>
          <w:lang w:val="en-US"/>
        </w:rPr>
      </w:pPr>
      <w:r w:rsidRPr="00C53D48">
        <w:rPr>
          <w:rFonts w:ascii="Roboto" w:eastAsia="Roboto" w:hAnsi="Roboto" w:cs="Roboto"/>
          <w:noProof/>
          <w:sz w:val="17"/>
          <w:szCs w:val="17"/>
          <w:lang w:val="es-ES_tradnl"/>
        </w:rPr>
        <w:t xml:space="preserve">González-López, M., Gonzalez-Moreira, E., Areces-González, A., Paz-Linares, D., &amp; Fernández, T. (2022). </w:t>
      </w:r>
      <w:r w:rsidRPr="00C53D48">
        <w:rPr>
          <w:rFonts w:ascii="Roboto" w:eastAsia="Roboto" w:hAnsi="Roboto" w:cs="Roboto"/>
          <w:noProof/>
          <w:sz w:val="17"/>
          <w:szCs w:val="17"/>
          <w:lang w:val="en-US"/>
        </w:rPr>
        <w:t>Who's driving? The default mode network in healthy elderly individuals at risk of cognitive decline. </w:t>
      </w:r>
      <w:r w:rsidRPr="00C53D48">
        <w:rPr>
          <w:rFonts w:ascii="Roboto" w:eastAsia="Roboto" w:hAnsi="Roboto" w:cs="Roboto"/>
          <w:i/>
          <w:iCs/>
          <w:noProof/>
          <w:sz w:val="17"/>
          <w:szCs w:val="17"/>
          <w:lang w:val="en-US"/>
        </w:rPr>
        <w:t>Frontiers in Neurology</w:t>
      </w:r>
      <w:r w:rsidRPr="00C53D48">
        <w:rPr>
          <w:rFonts w:ascii="Roboto" w:eastAsia="Roboto" w:hAnsi="Roboto" w:cs="Roboto"/>
          <w:noProof/>
          <w:sz w:val="17"/>
          <w:szCs w:val="17"/>
          <w:lang w:val="en-US"/>
        </w:rPr>
        <w:t>, </w:t>
      </w:r>
      <w:r w:rsidRPr="00C53D48">
        <w:rPr>
          <w:rFonts w:ascii="Roboto" w:eastAsia="Roboto" w:hAnsi="Roboto" w:cs="Roboto"/>
          <w:i/>
          <w:iCs/>
          <w:noProof/>
          <w:sz w:val="17"/>
          <w:szCs w:val="17"/>
          <w:lang w:val="en-US"/>
        </w:rPr>
        <w:t>13</w:t>
      </w:r>
      <w:r w:rsidRPr="00C53D48">
        <w:rPr>
          <w:rFonts w:ascii="Roboto" w:eastAsia="Roboto" w:hAnsi="Roboto" w:cs="Roboto"/>
          <w:noProof/>
          <w:sz w:val="17"/>
          <w:szCs w:val="17"/>
          <w:lang w:val="en-US"/>
        </w:rPr>
        <w:t>, 1009574.</w:t>
      </w:r>
    </w:p>
    <w:p w14:paraId="221B1119" w14:textId="5D33E79C" w:rsidR="003C304D" w:rsidRPr="00C53D48" w:rsidRDefault="003C304D" w:rsidP="00BB0121">
      <w:pPr>
        <w:spacing w:before="120" w:after="120" w:line="264" w:lineRule="auto"/>
        <w:ind w:left="284" w:hanging="284"/>
        <w:rPr>
          <w:rFonts w:ascii="Roboto" w:eastAsia="Roboto" w:hAnsi="Roboto" w:cs="Roboto"/>
          <w:noProof/>
          <w:sz w:val="17"/>
          <w:szCs w:val="17"/>
          <w:lang w:val="en-US"/>
        </w:rPr>
      </w:pPr>
      <w:r w:rsidRPr="00C53D48">
        <w:rPr>
          <w:rFonts w:ascii="Roboto" w:eastAsia="Roboto" w:hAnsi="Roboto" w:cs="Roboto"/>
          <w:noProof/>
          <w:sz w:val="17"/>
          <w:szCs w:val="17"/>
          <w:lang w:val="en-US"/>
        </w:rPr>
        <w:t>González‐López, M., Solís‐Vivanco, R., Harmony, T., &amp; Fernández, T. (2025). Involuntary Attention in Healthy Older Adults at Electroencephalographic Risk of Cognitive Decline: An ERP Study. </w:t>
      </w:r>
      <w:r w:rsidRPr="00C53D48">
        <w:rPr>
          <w:rFonts w:ascii="Roboto" w:eastAsia="Roboto" w:hAnsi="Roboto" w:cs="Roboto"/>
          <w:i/>
          <w:iCs/>
          <w:noProof/>
          <w:sz w:val="17"/>
          <w:szCs w:val="17"/>
          <w:lang w:val="en-US"/>
        </w:rPr>
        <w:t>Brain and Behavior</w:t>
      </w:r>
      <w:r w:rsidRPr="00C53D48">
        <w:rPr>
          <w:rFonts w:ascii="Roboto" w:eastAsia="Roboto" w:hAnsi="Roboto" w:cs="Roboto"/>
          <w:noProof/>
          <w:sz w:val="17"/>
          <w:szCs w:val="17"/>
          <w:lang w:val="en-US"/>
        </w:rPr>
        <w:t>, </w:t>
      </w:r>
      <w:r w:rsidRPr="00C53D48">
        <w:rPr>
          <w:rFonts w:ascii="Roboto" w:eastAsia="Roboto" w:hAnsi="Roboto" w:cs="Roboto"/>
          <w:i/>
          <w:iCs/>
          <w:noProof/>
          <w:sz w:val="17"/>
          <w:szCs w:val="17"/>
          <w:lang w:val="en-US"/>
        </w:rPr>
        <w:t>15</w:t>
      </w:r>
      <w:r w:rsidRPr="00C53D48">
        <w:rPr>
          <w:rFonts w:ascii="Roboto" w:eastAsia="Roboto" w:hAnsi="Roboto" w:cs="Roboto"/>
          <w:noProof/>
          <w:sz w:val="17"/>
          <w:szCs w:val="17"/>
          <w:lang w:val="en-US"/>
        </w:rPr>
        <w:t>(10), e70970.</w:t>
      </w:r>
    </w:p>
    <w:p w14:paraId="3F064A01" w14:textId="6197D9F5" w:rsidR="003C304D" w:rsidRPr="00C53D48" w:rsidRDefault="003C304D" w:rsidP="00BB0121">
      <w:pPr>
        <w:spacing w:before="120" w:after="120" w:line="264" w:lineRule="auto"/>
        <w:ind w:left="284" w:hanging="284"/>
        <w:rPr>
          <w:rFonts w:ascii="Roboto" w:eastAsia="Roboto" w:hAnsi="Roboto" w:cs="Roboto"/>
          <w:noProof/>
          <w:sz w:val="17"/>
          <w:szCs w:val="17"/>
          <w:lang w:val="en-US"/>
        </w:rPr>
      </w:pPr>
      <w:r w:rsidRPr="00C53D48">
        <w:rPr>
          <w:rFonts w:ascii="Roboto" w:eastAsia="Roboto" w:hAnsi="Roboto" w:cs="Roboto"/>
          <w:noProof/>
          <w:sz w:val="17"/>
          <w:szCs w:val="17"/>
          <w:lang w:val="en-US"/>
        </w:rPr>
        <w:t>Jack Jr, C. R., Bennett, D. A., Blennow, K., Carrillo, M. C., Dunn, B., Haeberlein, S. B., ... &amp; Silverberg, N. (2018). NIA‐AA research framework: toward a biological definition of Alzheimer's disease. </w:t>
      </w:r>
      <w:r w:rsidRPr="00C53D48">
        <w:rPr>
          <w:rFonts w:ascii="Roboto" w:eastAsia="Roboto" w:hAnsi="Roboto" w:cs="Roboto"/>
          <w:i/>
          <w:iCs/>
          <w:noProof/>
          <w:sz w:val="17"/>
          <w:szCs w:val="17"/>
          <w:lang w:val="en-US"/>
        </w:rPr>
        <w:t>Alzheimer's &amp; dementia</w:t>
      </w:r>
      <w:r w:rsidRPr="00C53D48">
        <w:rPr>
          <w:rFonts w:ascii="Roboto" w:eastAsia="Roboto" w:hAnsi="Roboto" w:cs="Roboto"/>
          <w:noProof/>
          <w:sz w:val="17"/>
          <w:szCs w:val="17"/>
          <w:lang w:val="en-US"/>
        </w:rPr>
        <w:t>, </w:t>
      </w:r>
      <w:r w:rsidRPr="00C53D48">
        <w:rPr>
          <w:rFonts w:ascii="Roboto" w:eastAsia="Roboto" w:hAnsi="Roboto" w:cs="Roboto"/>
          <w:i/>
          <w:iCs/>
          <w:noProof/>
          <w:sz w:val="17"/>
          <w:szCs w:val="17"/>
          <w:lang w:val="en-US"/>
        </w:rPr>
        <w:t>14</w:t>
      </w:r>
      <w:r w:rsidRPr="00C53D48">
        <w:rPr>
          <w:rFonts w:ascii="Roboto" w:eastAsia="Roboto" w:hAnsi="Roboto" w:cs="Roboto"/>
          <w:noProof/>
          <w:sz w:val="17"/>
          <w:szCs w:val="17"/>
          <w:lang w:val="en-US"/>
        </w:rPr>
        <w:t>(4), 535-562.</w:t>
      </w:r>
    </w:p>
    <w:p w14:paraId="1168B3C5" w14:textId="2576983B" w:rsidR="003C304D" w:rsidRPr="00C53D48" w:rsidRDefault="003C304D" w:rsidP="00BB0121">
      <w:pPr>
        <w:spacing w:before="120" w:after="120" w:line="264" w:lineRule="auto"/>
        <w:ind w:left="284" w:hanging="284"/>
        <w:rPr>
          <w:rFonts w:ascii="Roboto" w:eastAsia="Roboto" w:hAnsi="Roboto" w:cs="Roboto"/>
          <w:noProof/>
          <w:sz w:val="17"/>
          <w:szCs w:val="17"/>
          <w:lang w:val="en-US"/>
        </w:rPr>
      </w:pPr>
      <w:r w:rsidRPr="00C53D48">
        <w:rPr>
          <w:rFonts w:ascii="Roboto" w:eastAsia="Roboto" w:hAnsi="Roboto" w:cs="Roboto"/>
          <w:noProof/>
          <w:sz w:val="17"/>
          <w:szCs w:val="17"/>
          <w:lang w:val="en-US"/>
        </w:rPr>
        <w:t>Musaeus, C. S., Engedal, K., Høgh, P., Jelic, V., Mørup, M., Naik, M., ... &amp; Andersen, B. B. (2018). EEG theta power is an early marker of cognitive decline in dementia due to Alzheimer’s disease. </w:t>
      </w:r>
      <w:r w:rsidRPr="00C53D48">
        <w:rPr>
          <w:rFonts w:ascii="Roboto" w:eastAsia="Roboto" w:hAnsi="Roboto" w:cs="Roboto"/>
          <w:i/>
          <w:iCs/>
          <w:noProof/>
          <w:sz w:val="17"/>
          <w:szCs w:val="17"/>
          <w:lang w:val="en-US"/>
        </w:rPr>
        <w:t>Journal of Alzheimer’s Disease</w:t>
      </w:r>
      <w:r w:rsidRPr="00C53D48">
        <w:rPr>
          <w:rFonts w:ascii="Roboto" w:eastAsia="Roboto" w:hAnsi="Roboto" w:cs="Roboto"/>
          <w:noProof/>
          <w:sz w:val="17"/>
          <w:szCs w:val="17"/>
          <w:lang w:val="en-US"/>
        </w:rPr>
        <w:t>, </w:t>
      </w:r>
      <w:r w:rsidRPr="00C53D48">
        <w:rPr>
          <w:rFonts w:ascii="Roboto" w:eastAsia="Roboto" w:hAnsi="Roboto" w:cs="Roboto"/>
          <w:i/>
          <w:iCs/>
          <w:noProof/>
          <w:sz w:val="17"/>
          <w:szCs w:val="17"/>
          <w:lang w:val="en-US"/>
        </w:rPr>
        <w:t>64</w:t>
      </w:r>
      <w:r w:rsidRPr="00C53D48">
        <w:rPr>
          <w:rFonts w:ascii="Roboto" w:eastAsia="Roboto" w:hAnsi="Roboto" w:cs="Roboto"/>
          <w:noProof/>
          <w:sz w:val="17"/>
          <w:szCs w:val="17"/>
          <w:lang w:val="en-US"/>
        </w:rPr>
        <w:t>(4), 1359-1371.</w:t>
      </w:r>
    </w:p>
    <w:p w14:paraId="6F1A8F2A" w14:textId="38AD2BF4" w:rsidR="006F5DFC" w:rsidRPr="00C53D48" w:rsidRDefault="003C304D" w:rsidP="004F5C7D">
      <w:pPr>
        <w:spacing w:before="120" w:after="120" w:line="264" w:lineRule="auto"/>
        <w:ind w:left="284" w:hanging="284"/>
        <w:rPr>
          <w:rFonts w:ascii="Roboto" w:eastAsia="Roboto" w:hAnsi="Roboto" w:cs="Roboto"/>
          <w:noProof/>
          <w:sz w:val="17"/>
          <w:szCs w:val="17"/>
          <w:lang w:val="es-ES_tradnl"/>
        </w:rPr>
      </w:pPr>
      <w:r w:rsidRPr="00C53D48">
        <w:rPr>
          <w:rFonts w:ascii="Roboto" w:hAnsi="Roboto" w:cs="Arial"/>
          <w:noProof/>
          <w:color w:val="222222"/>
          <w:sz w:val="17"/>
          <w:szCs w:val="17"/>
          <w:shd w:val="clear" w:color="auto" w:fill="FFFFFF"/>
          <w:lang w:val="en-US"/>
        </w:rPr>
        <w:t>Prichep, L. S., John, E. R., Ferris, S. H., Rausch, L., Fang, Z., Cancro, R., ... &amp; Reisberg, B. (2006). Prediction of longitudinal cognitive decline in normal elderly with subjective complaints using electrophysiological imaging.</w:t>
      </w:r>
      <w:r w:rsidRPr="00C53D48">
        <w:rPr>
          <w:rStyle w:val="apple-converted-space"/>
          <w:rFonts w:ascii="Roboto" w:hAnsi="Roboto" w:cs="Arial"/>
          <w:noProof/>
          <w:color w:val="222222"/>
          <w:sz w:val="17"/>
          <w:szCs w:val="17"/>
          <w:shd w:val="clear" w:color="auto" w:fill="FFFFFF"/>
          <w:lang w:val="en-US"/>
        </w:rPr>
        <w:t> </w:t>
      </w:r>
      <w:r w:rsidRPr="00C53D48">
        <w:rPr>
          <w:rFonts w:ascii="Roboto" w:hAnsi="Roboto" w:cs="Arial"/>
          <w:i/>
          <w:iCs/>
          <w:noProof/>
          <w:color w:val="222222"/>
          <w:sz w:val="17"/>
          <w:szCs w:val="17"/>
          <w:lang w:val="es-ES_tradnl"/>
        </w:rPr>
        <w:t>Neurobiology of aging</w:t>
      </w:r>
      <w:r w:rsidRPr="00C53D48">
        <w:rPr>
          <w:rFonts w:ascii="Roboto" w:hAnsi="Roboto" w:cs="Arial"/>
          <w:noProof/>
          <w:color w:val="222222"/>
          <w:sz w:val="17"/>
          <w:szCs w:val="17"/>
          <w:shd w:val="clear" w:color="auto" w:fill="FFFFFF"/>
          <w:lang w:val="es-ES_tradnl"/>
        </w:rPr>
        <w:t>,</w:t>
      </w:r>
      <w:r w:rsidRPr="00C53D48">
        <w:rPr>
          <w:rStyle w:val="apple-converted-space"/>
          <w:rFonts w:ascii="Roboto" w:hAnsi="Roboto" w:cs="Arial"/>
          <w:noProof/>
          <w:color w:val="222222"/>
          <w:sz w:val="17"/>
          <w:szCs w:val="17"/>
          <w:shd w:val="clear" w:color="auto" w:fill="FFFFFF"/>
          <w:lang w:val="es-ES_tradnl"/>
        </w:rPr>
        <w:t> </w:t>
      </w:r>
      <w:r w:rsidRPr="00C53D48">
        <w:rPr>
          <w:rFonts w:ascii="Roboto" w:hAnsi="Roboto" w:cs="Arial"/>
          <w:i/>
          <w:iCs/>
          <w:noProof/>
          <w:color w:val="222222"/>
          <w:sz w:val="17"/>
          <w:szCs w:val="17"/>
          <w:lang w:val="es-ES_tradnl"/>
        </w:rPr>
        <w:t>27</w:t>
      </w:r>
      <w:r w:rsidRPr="00C53D48">
        <w:rPr>
          <w:rFonts w:ascii="Roboto" w:hAnsi="Roboto" w:cs="Arial"/>
          <w:noProof/>
          <w:color w:val="222222"/>
          <w:sz w:val="17"/>
          <w:szCs w:val="17"/>
          <w:shd w:val="clear" w:color="auto" w:fill="FFFFFF"/>
          <w:lang w:val="es-ES_tradnl"/>
        </w:rPr>
        <w:t>(3), 471-481.</w:t>
      </w:r>
    </w:p>
    <w:p w14:paraId="68F336F7" w14:textId="77777777" w:rsidR="006F5DFC" w:rsidRPr="00BB0121" w:rsidRDefault="006F5DFC">
      <w:pPr>
        <w:jc w:val="both"/>
        <w:rPr>
          <w:rFonts w:ascii="Roboto" w:eastAsia="Roboto" w:hAnsi="Roboto" w:cs="Roboto"/>
          <w:noProof/>
          <w:sz w:val="20"/>
          <w:szCs w:val="20"/>
          <w:lang w:val="es-ES_tradnl"/>
        </w:rPr>
        <w:sectPr w:rsidR="006F5DFC" w:rsidRPr="00BB0121" w:rsidSect="00C53D48">
          <w:type w:val="continuous"/>
          <w:pgSz w:w="11906" w:h="16838"/>
          <w:pgMar w:top="1134" w:right="851" w:bottom="1134" w:left="851" w:header="357" w:footer="720" w:gutter="0"/>
          <w:cols w:num="2" w:space="720" w:equalWidth="0">
            <w:col w:w="4934" w:space="335"/>
            <w:col w:w="4934" w:space="0"/>
          </w:cols>
        </w:sectPr>
      </w:pPr>
    </w:p>
    <w:p w14:paraId="5590938C" w14:textId="77777777" w:rsidR="006F5DFC" w:rsidRPr="00BB0121" w:rsidRDefault="00000000">
      <w:pPr>
        <w:spacing w:before="240"/>
        <w:jc w:val="center"/>
        <w:rPr>
          <w:rFonts w:ascii="Roboto" w:eastAsia="Roboto" w:hAnsi="Roboto" w:cs="Roboto"/>
          <w:b/>
          <w:bCs/>
          <w:noProof/>
          <w:color w:val="FF0000"/>
          <w:sz w:val="20"/>
          <w:szCs w:val="20"/>
          <w:lang w:val="es-ES_tradnl"/>
        </w:rPr>
      </w:pPr>
      <w:r w:rsidRPr="00BB0121">
        <w:rPr>
          <w:rFonts w:ascii="Roboto" w:eastAsia="Roboto" w:hAnsi="Roboto" w:cs="Roboto"/>
          <w:b/>
          <w:bCs/>
          <w:noProof/>
          <w:color w:val="FF0000"/>
          <w:sz w:val="20"/>
          <w:szCs w:val="20"/>
          <w:lang w:val="es-ES_tradnl"/>
        </w:rPr>
        <w:lastRenderedPageBreak/>
        <w:t>NO ELIMINAR ESTA HOJA DEL ARCHIVO. ENVÍE EL ARCHIVO COMPLETO</w:t>
      </w:r>
    </w:p>
    <w:p w14:paraId="26793854" w14:textId="77777777" w:rsidR="006F5DFC" w:rsidRPr="00BB0121" w:rsidRDefault="00000000">
      <w:pPr>
        <w:spacing w:before="240"/>
        <w:jc w:val="center"/>
        <w:rPr>
          <w:rFonts w:ascii="Roboto" w:eastAsia="Roboto" w:hAnsi="Roboto" w:cs="Roboto"/>
          <w:b/>
          <w:bCs/>
          <w:noProof/>
          <w:color w:val="FF0000"/>
          <w:sz w:val="20"/>
          <w:szCs w:val="20"/>
          <w:lang w:val="es-ES_tradnl"/>
        </w:rPr>
      </w:pPr>
      <w:r w:rsidRPr="00BB0121">
        <w:rPr>
          <w:rFonts w:ascii="Roboto" w:eastAsia="Roboto" w:hAnsi="Roboto" w:cs="Roboto"/>
          <w:b/>
          <w:bCs/>
          <w:noProof/>
          <w:color w:val="FF0000"/>
          <w:sz w:val="20"/>
          <w:szCs w:val="20"/>
          <w:lang w:val="es-ES_tradnl"/>
        </w:rPr>
        <w:t>Declaración de originalidad y autorización de publicación</w:t>
      </w:r>
    </w:p>
    <w:p w14:paraId="1372B986" w14:textId="77777777" w:rsidR="006F5DFC" w:rsidRPr="00BB0121" w:rsidRDefault="00000000">
      <w:pPr>
        <w:spacing w:before="240"/>
        <w:jc w:val="center"/>
        <w:rPr>
          <w:rFonts w:ascii="Roboto" w:eastAsia="Roboto" w:hAnsi="Roboto" w:cs="Roboto"/>
          <w:b/>
          <w:bCs/>
          <w:noProof/>
          <w:sz w:val="20"/>
          <w:szCs w:val="20"/>
          <w:lang w:val="es-ES_tradnl"/>
        </w:rPr>
      </w:pPr>
      <w:r w:rsidRPr="00BB0121">
        <w:rPr>
          <w:rFonts w:ascii="Roboto" w:eastAsia="Roboto" w:hAnsi="Roboto" w:cs="Roboto"/>
          <w:b/>
          <w:bCs/>
          <w:noProof/>
          <w:sz w:val="20"/>
          <w:szCs w:val="20"/>
          <w:lang w:val="es-ES_tradnl"/>
        </w:rPr>
        <w:t>III Encuentro de Investigadores de la Red Internacional de Universidades Regnum Christi (RIU)</w:t>
      </w:r>
    </w:p>
    <w:p w14:paraId="3343F657" w14:textId="77777777" w:rsidR="006F5DFC" w:rsidRPr="00BB0121" w:rsidRDefault="00000000" w:rsidP="004F5C7D">
      <w:pPr>
        <w:spacing w:after="120"/>
        <w:jc w:val="both"/>
        <w:rPr>
          <w:rFonts w:ascii="Roboto" w:eastAsia="Roboto" w:hAnsi="Roboto" w:cs="Roboto"/>
          <w:noProof/>
          <w:sz w:val="20"/>
          <w:szCs w:val="20"/>
          <w:lang w:val="es-ES_tradnl"/>
        </w:rPr>
      </w:pPr>
      <w:r w:rsidRPr="00BB0121">
        <w:rPr>
          <w:rFonts w:ascii="Roboto" w:eastAsia="Roboto" w:hAnsi="Roboto" w:cs="Roboto"/>
          <w:noProof/>
          <w:sz w:val="20"/>
          <w:szCs w:val="20"/>
          <w:lang w:val="es-ES_tradnl"/>
        </w:rPr>
        <w:t xml:space="preserve">Al enviar el presente resumen para su inclusión en las </w:t>
      </w:r>
      <w:r w:rsidRPr="00BB0121">
        <w:rPr>
          <w:rFonts w:ascii="Roboto" w:eastAsia="Roboto" w:hAnsi="Roboto" w:cs="Roboto"/>
          <w:b/>
          <w:bCs/>
          <w:noProof/>
          <w:sz w:val="20"/>
          <w:szCs w:val="20"/>
          <w:lang w:val="es-ES_tradnl"/>
        </w:rPr>
        <w:t>Memorias del III Encuentro de Investigadores de la Red Internacional de Universidades Regnum Christi (RIU)</w:t>
      </w:r>
      <w:r w:rsidRPr="00BB0121">
        <w:rPr>
          <w:rFonts w:ascii="Roboto" w:eastAsia="Roboto" w:hAnsi="Roboto" w:cs="Roboto"/>
          <w:noProof/>
          <w:sz w:val="20"/>
          <w:szCs w:val="20"/>
          <w:lang w:val="es-ES_tradnl"/>
        </w:rPr>
        <w:t>, los autores declaran y aceptan lo siguiente:</w:t>
      </w:r>
    </w:p>
    <w:p w14:paraId="514E24F9" w14:textId="77777777" w:rsidR="006F5DFC" w:rsidRPr="00BB0121" w:rsidRDefault="00000000" w:rsidP="004F5C7D">
      <w:pPr>
        <w:spacing w:after="120"/>
        <w:jc w:val="both"/>
        <w:rPr>
          <w:rFonts w:ascii="Roboto" w:eastAsia="Roboto" w:hAnsi="Roboto" w:cs="Roboto"/>
          <w:b/>
          <w:bCs/>
          <w:noProof/>
          <w:sz w:val="20"/>
          <w:szCs w:val="20"/>
          <w:lang w:val="es-ES_tradnl"/>
        </w:rPr>
      </w:pPr>
      <w:r w:rsidRPr="00BB0121">
        <w:rPr>
          <w:rFonts w:ascii="Roboto" w:eastAsia="Roboto" w:hAnsi="Roboto" w:cs="Roboto"/>
          <w:b/>
          <w:bCs/>
          <w:noProof/>
          <w:sz w:val="20"/>
          <w:szCs w:val="20"/>
          <w:lang w:val="es-ES_tradnl"/>
        </w:rPr>
        <w:t>1. Declaración de originalidad</w:t>
      </w:r>
    </w:p>
    <w:p w14:paraId="3DED353B" w14:textId="77777777" w:rsidR="006F5DFC" w:rsidRPr="00BB0121" w:rsidRDefault="00000000" w:rsidP="004F5C7D">
      <w:pPr>
        <w:spacing w:after="120"/>
        <w:jc w:val="both"/>
        <w:rPr>
          <w:rFonts w:ascii="Roboto" w:eastAsia="Roboto" w:hAnsi="Roboto" w:cs="Roboto"/>
          <w:noProof/>
          <w:sz w:val="20"/>
          <w:szCs w:val="20"/>
          <w:lang w:val="es-ES_tradnl"/>
        </w:rPr>
      </w:pPr>
      <w:r w:rsidRPr="00BB0121">
        <w:rPr>
          <w:rFonts w:ascii="Roboto" w:eastAsia="Roboto" w:hAnsi="Roboto" w:cs="Roboto"/>
          <w:noProof/>
          <w:sz w:val="20"/>
          <w:szCs w:val="20"/>
          <w:lang w:val="es-ES_tradnl"/>
        </w:rPr>
        <w:t xml:space="preserve">Los autores declaran que el trabajo presentado es </w:t>
      </w:r>
      <w:r w:rsidRPr="00BB0121">
        <w:rPr>
          <w:rFonts w:ascii="Roboto" w:eastAsia="Roboto" w:hAnsi="Roboto" w:cs="Roboto"/>
          <w:b/>
          <w:bCs/>
          <w:noProof/>
          <w:sz w:val="20"/>
          <w:szCs w:val="20"/>
          <w:lang w:val="es-ES_tradnl"/>
        </w:rPr>
        <w:t>original</w:t>
      </w:r>
      <w:r w:rsidRPr="00BB0121">
        <w:rPr>
          <w:rFonts w:ascii="Roboto" w:eastAsia="Roboto" w:hAnsi="Roboto" w:cs="Roboto"/>
          <w:noProof/>
          <w:sz w:val="20"/>
          <w:szCs w:val="20"/>
          <w:lang w:val="es-ES_tradnl"/>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501FEAEE" w14:textId="77777777" w:rsidR="006F5DFC" w:rsidRPr="00BB0121" w:rsidRDefault="00000000" w:rsidP="004F5C7D">
      <w:pPr>
        <w:spacing w:after="120"/>
        <w:jc w:val="both"/>
        <w:rPr>
          <w:rFonts w:ascii="Roboto" w:eastAsia="Roboto" w:hAnsi="Roboto" w:cs="Roboto"/>
          <w:b/>
          <w:bCs/>
          <w:noProof/>
          <w:sz w:val="20"/>
          <w:szCs w:val="20"/>
          <w:lang w:val="es-ES_tradnl"/>
        </w:rPr>
      </w:pPr>
      <w:r w:rsidRPr="00BB0121">
        <w:rPr>
          <w:rFonts w:ascii="Roboto" w:eastAsia="Roboto" w:hAnsi="Roboto" w:cs="Roboto"/>
          <w:b/>
          <w:bCs/>
          <w:noProof/>
          <w:sz w:val="20"/>
          <w:szCs w:val="20"/>
          <w:lang w:val="es-ES_tradnl"/>
        </w:rPr>
        <w:t>2. Titularidad de los derechos</w:t>
      </w:r>
    </w:p>
    <w:p w14:paraId="738485C6" w14:textId="77777777" w:rsidR="006F5DFC" w:rsidRPr="00BB0121" w:rsidRDefault="00000000" w:rsidP="004F5C7D">
      <w:pPr>
        <w:spacing w:after="120"/>
        <w:jc w:val="both"/>
        <w:rPr>
          <w:rFonts w:ascii="Roboto" w:eastAsia="Roboto" w:hAnsi="Roboto" w:cs="Roboto"/>
          <w:noProof/>
          <w:sz w:val="20"/>
          <w:szCs w:val="20"/>
          <w:lang w:val="es-ES_tradnl"/>
        </w:rPr>
      </w:pPr>
      <w:r w:rsidRPr="00BB0121">
        <w:rPr>
          <w:rFonts w:ascii="Roboto" w:eastAsia="Roboto" w:hAnsi="Roboto" w:cs="Roboto"/>
          <w:noProof/>
          <w:sz w:val="20"/>
          <w:szCs w:val="20"/>
          <w:lang w:val="es-ES_tradnl"/>
        </w:rPr>
        <w:t xml:space="preserve">Los autores </w:t>
      </w:r>
      <w:r w:rsidRPr="00BB0121">
        <w:rPr>
          <w:rFonts w:ascii="Roboto" w:eastAsia="Roboto" w:hAnsi="Roboto" w:cs="Roboto"/>
          <w:b/>
          <w:bCs/>
          <w:noProof/>
          <w:sz w:val="20"/>
          <w:szCs w:val="20"/>
          <w:lang w:val="es-ES_tradnl"/>
        </w:rPr>
        <w:t>conservan la titularidad de los derechos de autor y de propiedad intelectual</w:t>
      </w:r>
      <w:r w:rsidRPr="00BB0121">
        <w:rPr>
          <w:rFonts w:ascii="Roboto" w:eastAsia="Roboto" w:hAnsi="Roboto" w:cs="Roboto"/>
          <w:noProof/>
          <w:sz w:val="20"/>
          <w:szCs w:val="20"/>
          <w:lang w:val="es-ES_tradnl"/>
        </w:rPr>
        <w:t xml:space="preserve"> sobre el contenido del resumen y sobre la investigación descrita en el mismo. La aceptación de esta declaración </w:t>
      </w:r>
      <w:r w:rsidRPr="00BB0121">
        <w:rPr>
          <w:rFonts w:ascii="Roboto" w:eastAsia="Roboto" w:hAnsi="Roboto" w:cs="Roboto"/>
          <w:b/>
          <w:bCs/>
          <w:noProof/>
          <w:sz w:val="20"/>
          <w:szCs w:val="20"/>
          <w:lang w:val="es-ES_tradnl"/>
        </w:rPr>
        <w:t>no implica transferencia de derechos patrimoniales</w:t>
      </w:r>
      <w:r w:rsidRPr="00BB0121">
        <w:rPr>
          <w:rFonts w:ascii="Roboto" w:eastAsia="Roboto" w:hAnsi="Roboto" w:cs="Roboto"/>
          <w:noProof/>
          <w:sz w:val="20"/>
          <w:szCs w:val="20"/>
          <w:lang w:val="es-ES_tradnl"/>
        </w:rPr>
        <w:t xml:space="preserve"> al organizador del congreso ni al sello editorial responsable de la publicación.</w:t>
      </w:r>
    </w:p>
    <w:p w14:paraId="3E0CEA8D" w14:textId="77777777" w:rsidR="006F5DFC" w:rsidRPr="00BB0121" w:rsidRDefault="00000000" w:rsidP="004F5C7D">
      <w:pPr>
        <w:spacing w:after="120"/>
        <w:jc w:val="both"/>
        <w:rPr>
          <w:rFonts w:ascii="Roboto" w:eastAsia="Roboto" w:hAnsi="Roboto" w:cs="Roboto"/>
          <w:b/>
          <w:bCs/>
          <w:noProof/>
          <w:sz w:val="20"/>
          <w:szCs w:val="20"/>
          <w:lang w:val="es-ES_tradnl"/>
        </w:rPr>
      </w:pPr>
      <w:r w:rsidRPr="00BB0121">
        <w:rPr>
          <w:rFonts w:ascii="Roboto" w:eastAsia="Roboto" w:hAnsi="Roboto" w:cs="Roboto"/>
          <w:b/>
          <w:bCs/>
          <w:noProof/>
          <w:sz w:val="20"/>
          <w:szCs w:val="20"/>
          <w:lang w:val="es-ES_tradnl"/>
        </w:rPr>
        <w:t>3. Licencia de publicación</w:t>
      </w:r>
    </w:p>
    <w:p w14:paraId="108EF32D" w14:textId="77777777" w:rsidR="006F5DFC" w:rsidRPr="00BB0121" w:rsidRDefault="00000000" w:rsidP="004F5C7D">
      <w:pPr>
        <w:spacing w:after="120"/>
        <w:jc w:val="both"/>
        <w:rPr>
          <w:rFonts w:ascii="Roboto" w:eastAsia="Roboto" w:hAnsi="Roboto" w:cs="Roboto"/>
          <w:noProof/>
          <w:sz w:val="20"/>
          <w:szCs w:val="20"/>
          <w:lang w:val="es-ES_tradnl"/>
        </w:rPr>
      </w:pPr>
      <w:r w:rsidRPr="00BB0121">
        <w:rPr>
          <w:rFonts w:ascii="Roboto" w:eastAsia="Roboto" w:hAnsi="Roboto" w:cs="Roboto"/>
          <w:noProof/>
          <w:sz w:val="20"/>
          <w:szCs w:val="20"/>
          <w:lang w:val="es-ES_tradnl"/>
        </w:rPr>
        <w:t xml:space="preserve">Los autores conceden al </w:t>
      </w:r>
      <w:r w:rsidRPr="00BB0121">
        <w:rPr>
          <w:rFonts w:ascii="Roboto" w:eastAsia="Roboto" w:hAnsi="Roboto" w:cs="Roboto"/>
          <w:b/>
          <w:bCs/>
          <w:noProof/>
          <w:sz w:val="20"/>
          <w:szCs w:val="20"/>
          <w:lang w:val="es-ES_tradnl"/>
        </w:rPr>
        <w:t>Sello Editorial de la Universidad Anáhuac Mayab</w:t>
      </w:r>
      <w:r w:rsidRPr="00BB0121">
        <w:rPr>
          <w:rFonts w:ascii="Roboto" w:eastAsia="Roboto" w:hAnsi="Roboto" w:cs="Roboto"/>
          <w:noProof/>
          <w:sz w:val="20"/>
          <w:szCs w:val="20"/>
          <w:lang w:val="es-ES_tradnl"/>
        </w:rPr>
        <w:t xml:space="preserve">, en su carácter de responsable de la edición de las memorias del evento, una </w:t>
      </w:r>
      <w:r w:rsidRPr="00BB0121">
        <w:rPr>
          <w:rFonts w:ascii="Roboto" w:eastAsia="Roboto" w:hAnsi="Roboto" w:cs="Roboto"/>
          <w:b/>
          <w:bCs/>
          <w:noProof/>
          <w:sz w:val="20"/>
          <w:szCs w:val="20"/>
          <w:lang w:val="es-ES_tradnl"/>
        </w:rPr>
        <w:t>licencia no exclusiva, gratuita y por tiempo indefinido</w:t>
      </w:r>
      <w:r w:rsidRPr="00BB0121">
        <w:rPr>
          <w:rFonts w:ascii="Roboto" w:eastAsia="Roboto" w:hAnsi="Roboto" w:cs="Roboto"/>
          <w:noProof/>
          <w:sz w:val="20"/>
          <w:szCs w:val="20"/>
          <w:lang w:val="es-ES_tradnl"/>
        </w:rPr>
        <w:t xml:space="preserve"> para:</w:t>
      </w:r>
    </w:p>
    <w:p w14:paraId="5713B18E" w14:textId="77777777" w:rsidR="006F5DFC" w:rsidRPr="00BB0121" w:rsidRDefault="00000000" w:rsidP="004F5C7D">
      <w:pPr>
        <w:numPr>
          <w:ilvl w:val="0"/>
          <w:numId w:val="1"/>
        </w:numPr>
        <w:spacing w:after="120"/>
        <w:jc w:val="both"/>
        <w:rPr>
          <w:rFonts w:ascii="Roboto" w:eastAsia="Roboto" w:hAnsi="Roboto" w:cs="Roboto"/>
          <w:noProof/>
          <w:sz w:val="20"/>
          <w:szCs w:val="20"/>
          <w:lang w:val="es-ES_tradnl"/>
        </w:rPr>
      </w:pPr>
      <w:r w:rsidRPr="00BB0121">
        <w:rPr>
          <w:rFonts w:ascii="Roboto" w:eastAsia="Roboto" w:hAnsi="Roboto" w:cs="Roboto"/>
          <w:noProof/>
          <w:sz w:val="20"/>
          <w:szCs w:val="20"/>
          <w:lang w:val="es-ES_tradnl"/>
        </w:rPr>
        <w:t xml:space="preserve">Publicar el resumen como parte de las </w:t>
      </w:r>
      <w:r w:rsidRPr="00BB0121">
        <w:rPr>
          <w:rFonts w:ascii="Roboto" w:eastAsia="Roboto" w:hAnsi="Roboto" w:cs="Roboto"/>
          <w:b/>
          <w:bCs/>
          <w:noProof/>
          <w:sz w:val="20"/>
          <w:szCs w:val="20"/>
          <w:lang w:val="es-ES_tradnl"/>
        </w:rPr>
        <w:t>Memorias del III Encuentro de Investigadores de la RIU</w:t>
      </w:r>
      <w:r w:rsidRPr="00BB0121">
        <w:rPr>
          <w:rFonts w:ascii="Roboto" w:eastAsia="Roboto" w:hAnsi="Roboto" w:cs="Roboto"/>
          <w:noProof/>
          <w:sz w:val="20"/>
          <w:szCs w:val="20"/>
          <w:lang w:val="es-ES_tradnl"/>
        </w:rPr>
        <w:t>.</w:t>
      </w:r>
    </w:p>
    <w:p w14:paraId="298F74DF" w14:textId="77777777" w:rsidR="006F5DFC" w:rsidRPr="00BB0121" w:rsidRDefault="00000000" w:rsidP="004F5C7D">
      <w:pPr>
        <w:numPr>
          <w:ilvl w:val="0"/>
          <w:numId w:val="1"/>
        </w:numPr>
        <w:spacing w:after="120"/>
        <w:jc w:val="both"/>
        <w:rPr>
          <w:rFonts w:ascii="Roboto" w:eastAsia="Roboto" w:hAnsi="Roboto" w:cs="Roboto"/>
          <w:noProof/>
          <w:sz w:val="20"/>
          <w:szCs w:val="20"/>
          <w:lang w:val="es-ES_tradnl"/>
        </w:rPr>
      </w:pPr>
      <w:r w:rsidRPr="00BB0121">
        <w:rPr>
          <w:rFonts w:ascii="Roboto" w:eastAsia="Roboto" w:hAnsi="Roboto" w:cs="Roboto"/>
          <w:noProof/>
          <w:sz w:val="20"/>
          <w:szCs w:val="20"/>
          <w:lang w:val="es-ES_tradnl"/>
        </w:rPr>
        <w:t xml:space="preserve">Realizar las adaptaciones editoriales necesarias para su </w:t>
      </w:r>
      <w:r w:rsidRPr="00BB0121">
        <w:rPr>
          <w:rFonts w:ascii="Roboto" w:eastAsia="Roboto" w:hAnsi="Roboto" w:cs="Roboto"/>
          <w:b/>
          <w:bCs/>
          <w:noProof/>
          <w:sz w:val="20"/>
          <w:szCs w:val="20"/>
          <w:lang w:val="es-ES_tradnl"/>
        </w:rPr>
        <w:t>corrección de estilo, maquetación y edición</w:t>
      </w:r>
      <w:r w:rsidRPr="00BB0121">
        <w:rPr>
          <w:rFonts w:ascii="Roboto" w:eastAsia="Roboto" w:hAnsi="Roboto" w:cs="Roboto"/>
          <w:noProof/>
          <w:sz w:val="20"/>
          <w:szCs w:val="20"/>
          <w:lang w:val="es-ES_tradnl"/>
        </w:rPr>
        <w:t xml:space="preserve"> dentro del volumen de memorias.</w:t>
      </w:r>
    </w:p>
    <w:p w14:paraId="7F835225" w14:textId="77777777" w:rsidR="006F5DFC" w:rsidRPr="00BB0121" w:rsidRDefault="00000000" w:rsidP="004F5C7D">
      <w:pPr>
        <w:numPr>
          <w:ilvl w:val="0"/>
          <w:numId w:val="1"/>
        </w:numPr>
        <w:spacing w:after="120"/>
        <w:jc w:val="both"/>
        <w:rPr>
          <w:rFonts w:ascii="Roboto" w:eastAsia="Roboto" w:hAnsi="Roboto" w:cs="Roboto"/>
          <w:noProof/>
          <w:sz w:val="20"/>
          <w:szCs w:val="20"/>
          <w:lang w:val="es-ES_tradnl"/>
        </w:rPr>
      </w:pPr>
      <w:r w:rsidRPr="00BB0121">
        <w:rPr>
          <w:rFonts w:ascii="Roboto" w:eastAsia="Roboto" w:hAnsi="Roboto" w:cs="Roboto"/>
          <w:noProof/>
          <w:sz w:val="20"/>
          <w:szCs w:val="20"/>
          <w:lang w:val="es-ES_tradnl"/>
        </w:rPr>
        <w:t xml:space="preserve">Reproducir, distribuir y comunicar públicamente el contenido en </w:t>
      </w:r>
      <w:r w:rsidRPr="00BB0121">
        <w:rPr>
          <w:rFonts w:ascii="Roboto" w:eastAsia="Roboto" w:hAnsi="Roboto" w:cs="Roboto"/>
          <w:b/>
          <w:bCs/>
          <w:noProof/>
          <w:sz w:val="20"/>
          <w:szCs w:val="20"/>
          <w:lang w:val="es-ES_tradnl"/>
        </w:rPr>
        <w:t>formatos impresos y digitales</w:t>
      </w:r>
      <w:r w:rsidRPr="00BB0121">
        <w:rPr>
          <w:rFonts w:ascii="Roboto" w:eastAsia="Roboto" w:hAnsi="Roboto" w:cs="Roboto"/>
          <w:noProof/>
          <w:sz w:val="20"/>
          <w:szCs w:val="20"/>
          <w:lang w:val="es-ES_tradnl"/>
        </w:rPr>
        <w:t>.</w:t>
      </w:r>
    </w:p>
    <w:p w14:paraId="6BF34C0D" w14:textId="77777777" w:rsidR="006F5DFC" w:rsidRPr="00BB0121" w:rsidRDefault="00000000" w:rsidP="004F5C7D">
      <w:pPr>
        <w:numPr>
          <w:ilvl w:val="0"/>
          <w:numId w:val="1"/>
        </w:numPr>
        <w:spacing w:after="120"/>
        <w:jc w:val="both"/>
        <w:rPr>
          <w:rFonts w:ascii="Roboto" w:eastAsia="Roboto" w:hAnsi="Roboto" w:cs="Roboto"/>
          <w:noProof/>
          <w:sz w:val="20"/>
          <w:szCs w:val="20"/>
          <w:lang w:val="es-ES_tradnl"/>
        </w:rPr>
      </w:pPr>
      <w:r w:rsidRPr="00BB0121">
        <w:rPr>
          <w:rFonts w:ascii="Roboto" w:eastAsia="Roboto" w:hAnsi="Roboto" w:cs="Roboto"/>
          <w:noProof/>
          <w:sz w:val="20"/>
          <w:szCs w:val="20"/>
          <w:lang w:val="es-ES_tradnl"/>
        </w:rPr>
        <w:t xml:space="preserve">Difundir la obra a través de </w:t>
      </w:r>
      <w:r w:rsidRPr="00BB0121">
        <w:rPr>
          <w:rFonts w:ascii="Roboto" w:eastAsia="Roboto" w:hAnsi="Roboto" w:cs="Roboto"/>
          <w:b/>
          <w:bCs/>
          <w:noProof/>
          <w:sz w:val="20"/>
          <w:szCs w:val="20"/>
          <w:lang w:val="es-ES_tradnl"/>
        </w:rPr>
        <w:t>repositorios institucionales, bibliotecas digitales, plataformas académicas, bases de datos, sitios web institucionales y otros medios de difusión científica</w:t>
      </w:r>
      <w:r w:rsidRPr="00BB0121">
        <w:rPr>
          <w:rFonts w:ascii="Roboto" w:eastAsia="Roboto" w:hAnsi="Roboto" w:cs="Roboto"/>
          <w:noProof/>
          <w:sz w:val="20"/>
          <w:szCs w:val="20"/>
          <w:lang w:val="es-ES_tradnl"/>
        </w:rPr>
        <w:t xml:space="preserve"> vinculados al congreso, a la Universidad Anáhuac Mayab o a la Red Internacional de Universidades Regnum Christi.</w:t>
      </w:r>
    </w:p>
    <w:p w14:paraId="6FB97D3D" w14:textId="77777777" w:rsidR="006F5DFC" w:rsidRPr="00BB0121" w:rsidRDefault="00000000" w:rsidP="004F5C7D">
      <w:pPr>
        <w:spacing w:after="120"/>
        <w:jc w:val="both"/>
        <w:rPr>
          <w:rFonts w:ascii="Roboto" w:eastAsia="Roboto" w:hAnsi="Roboto" w:cs="Roboto"/>
          <w:b/>
          <w:bCs/>
          <w:noProof/>
          <w:sz w:val="20"/>
          <w:szCs w:val="20"/>
          <w:lang w:val="es-ES_tradnl"/>
        </w:rPr>
      </w:pPr>
      <w:r w:rsidRPr="00BB0121">
        <w:rPr>
          <w:rFonts w:ascii="Roboto" w:eastAsia="Roboto" w:hAnsi="Roboto" w:cs="Roboto"/>
          <w:b/>
          <w:bCs/>
          <w:noProof/>
          <w:sz w:val="20"/>
          <w:szCs w:val="20"/>
          <w:lang w:val="es-ES_tradnl"/>
        </w:rPr>
        <w:t>4. Alcance de la autorización</w:t>
      </w:r>
    </w:p>
    <w:p w14:paraId="3A068A5E" w14:textId="77777777" w:rsidR="006F5DFC" w:rsidRPr="00BB0121" w:rsidRDefault="00000000" w:rsidP="004F5C7D">
      <w:pPr>
        <w:spacing w:after="120"/>
        <w:jc w:val="both"/>
        <w:rPr>
          <w:rFonts w:ascii="Roboto" w:eastAsia="Roboto" w:hAnsi="Roboto" w:cs="Roboto"/>
          <w:noProof/>
          <w:sz w:val="20"/>
          <w:szCs w:val="20"/>
          <w:lang w:val="es-ES_tradnl"/>
        </w:rPr>
      </w:pPr>
      <w:r w:rsidRPr="00BB0121">
        <w:rPr>
          <w:rFonts w:ascii="Roboto" w:eastAsia="Roboto" w:hAnsi="Roboto" w:cs="Roboto"/>
          <w:noProof/>
          <w:sz w:val="20"/>
          <w:szCs w:val="20"/>
          <w:lang w:val="es-ES_tradnl"/>
        </w:rPr>
        <w:t xml:space="preserve">La presente autorización se limita exclusivamente a la </w:t>
      </w:r>
      <w:r w:rsidRPr="00BB0121">
        <w:rPr>
          <w:rFonts w:ascii="Roboto" w:eastAsia="Roboto" w:hAnsi="Roboto" w:cs="Roboto"/>
          <w:b/>
          <w:bCs/>
          <w:noProof/>
          <w:sz w:val="20"/>
          <w:szCs w:val="20"/>
          <w:lang w:val="es-ES_tradnl"/>
        </w:rPr>
        <w:t>publicación del resumen dentro de las memorias del congreso</w:t>
      </w:r>
      <w:r w:rsidRPr="00BB0121">
        <w:rPr>
          <w:rFonts w:ascii="Roboto" w:eastAsia="Roboto" w:hAnsi="Roboto" w:cs="Roboto"/>
          <w:noProof/>
          <w:sz w:val="20"/>
          <w:szCs w:val="20"/>
          <w:lang w:val="es-ES_tradnl"/>
        </w:rPr>
        <w:t xml:space="preserve"> y no restringe el derecho de los autores a:</w:t>
      </w:r>
    </w:p>
    <w:p w14:paraId="27F6FFB5" w14:textId="77777777" w:rsidR="006F5DFC" w:rsidRPr="00BB0121" w:rsidRDefault="00000000" w:rsidP="004F5C7D">
      <w:pPr>
        <w:numPr>
          <w:ilvl w:val="0"/>
          <w:numId w:val="2"/>
        </w:numPr>
        <w:spacing w:after="120"/>
        <w:jc w:val="both"/>
        <w:rPr>
          <w:rFonts w:ascii="Roboto" w:eastAsia="Roboto" w:hAnsi="Roboto" w:cs="Roboto"/>
          <w:noProof/>
          <w:sz w:val="20"/>
          <w:szCs w:val="20"/>
          <w:lang w:val="es-ES_tradnl"/>
        </w:rPr>
      </w:pPr>
      <w:r w:rsidRPr="00BB0121">
        <w:rPr>
          <w:rFonts w:ascii="Roboto" w:eastAsia="Roboto" w:hAnsi="Roboto" w:cs="Roboto"/>
          <w:noProof/>
          <w:sz w:val="20"/>
          <w:szCs w:val="20"/>
          <w:lang w:val="es-ES_tradnl"/>
        </w:rPr>
        <w:t xml:space="preserve">Publicar versiones ampliadas del trabajo en </w:t>
      </w:r>
      <w:r w:rsidRPr="00BB0121">
        <w:rPr>
          <w:rFonts w:ascii="Roboto" w:eastAsia="Roboto" w:hAnsi="Roboto" w:cs="Roboto"/>
          <w:b/>
          <w:bCs/>
          <w:noProof/>
          <w:sz w:val="20"/>
          <w:szCs w:val="20"/>
          <w:lang w:val="es-ES_tradnl"/>
        </w:rPr>
        <w:t>revistas científicas, libros u otros medios académicos</w:t>
      </w:r>
      <w:r w:rsidRPr="00BB0121">
        <w:rPr>
          <w:rFonts w:ascii="Roboto" w:eastAsia="Roboto" w:hAnsi="Roboto" w:cs="Roboto"/>
          <w:noProof/>
          <w:sz w:val="20"/>
          <w:szCs w:val="20"/>
          <w:lang w:val="es-ES_tradnl"/>
        </w:rPr>
        <w:t>.</w:t>
      </w:r>
    </w:p>
    <w:p w14:paraId="49BC8823" w14:textId="77777777" w:rsidR="006F5DFC" w:rsidRPr="00BB0121" w:rsidRDefault="00000000" w:rsidP="004F5C7D">
      <w:pPr>
        <w:numPr>
          <w:ilvl w:val="0"/>
          <w:numId w:val="2"/>
        </w:numPr>
        <w:spacing w:after="120"/>
        <w:jc w:val="both"/>
        <w:rPr>
          <w:rFonts w:ascii="Roboto" w:eastAsia="Roboto" w:hAnsi="Roboto" w:cs="Roboto"/>
          <w:noProof/>
          <w:sz w:val="20"/>
          <w:szCs w:val="20"/>
          <w:lang w:val="es-ES_tradnl"/>
        </w:rPr>
      </w:pPr>
      <w:r w:rsidRPr="00BB0121">
        <w:rPr>
          <w:rFonts w:ascii="Roboto" w:eastAsia="Roboto" w:hAnsi="Roboto" w:cs="Roboto"/>
          <w:noProof/>
          <w:sz w:val="20"/>
          <w:szCs w:val="20"/>
          <w:lang w:val="es-ES_tradnl"/>
        </w:rPr>
        <w:t xml:space="preserve">Utilizar el contenido en </w:t>
      </w:r>
      <w:r w:rsidRPr="00BB0121">
        <w:rPr>
          <w:rFonts w:ascii="Roboto" w:eastAsia="Roboto" w:hAnsi="Roboto" w:cs="Roboto"/>
          <w:b/>
          <w:bCs/>
          <w:noProof/>
          <w:sz w:val="20"/>
          <w:szCs w:val="20"/>
          <w:lang w:val="es-ES_tradnl"/>
        </w:rPr>
        <w:t>tesis, proyectos de investigación, reportes técnicos u otras publicaciones académicas</w:t>
      </w:r>
      <w:r w:rsidRPr="00BB0121">
        <w:rPr>
          <w:rFonts w:ascii="Roboto" w:eastAsia="Roboto" w:hAnsi="Roboto" w:cs="Roboto"/>
          <w:noProof/>
          <w:sz w:val="20"/>
          <w:szCs w:val="20"/>
          <w:lang w:val="es-ES_tradnl"/>
        </w:rPr>
        <w:t>.</w:t>
      </w:r>
    </w:p>
    <w:p w14:paraId="60BF8832" w14:textId="77777777" w:rsidR="006F5DFC" w:rsidRPr="00BB0121" w:rsidRDefault="00000000" w:rsidP="004F5C7D">
      <w:pPr>
        <w:numPr>
          <w:ilvl w:val="0"/>
          <w:numId w:val="2"/>
        </w:numPr>
        <w:spacing w:after="120"/>
        <w:jc w:val="both"/>
        <w:rPr>
          <w:rFonts w:ascii="Roboto" w:eastAsia="Roboto" w:hAnsi="Roboto" w:cs="Roboto"/>
          <w:noProof/>
          <w:sz w:val="20"/>
          <w:szCs w:val="20"/>
          <w:lang w:val="es-ES_tradnl"/>
        </w:rPr>
      </w:pPr>
      <w:r w:rsidRPr="00BB0121">
        <w:rPr>
          <w:rFonts w:ascii="Roboto" w:eastAsia="Roboto" w:hAnsi="Roboto" w:cs="Roboto"/>
          <w:noProof/>
          <w:sz w:val="20"/>
          <w:szCs w:val="20"/>
          <w:lang w:val="es-ES_tradnl"/>
        </w:rPr>
        <w:t>Difundir su investigación en otros espacios científicos o de divulgación.</w:t>
      </w:r>
    </w:p>
    <w:p w14:paraId="2ED8CC11" w14:textId="77777777" w:rsidR="006F5DFC" w:rsidRPr="00BB0121" w:rsidRDefault="00000000" w:rsidP="004F5C7D">
      <w:pPr>
        <w:spacing w:after="120"/>
        <w:jc w:val="both"/>
        <w:rPr>
          <w:rFonts w:ascii="Roboto" w:eastAsia="Roboto" w:hAnsi="Roboto" w:cs="Roboto"/>
          <w:b/>
          <w:bCs/>
          <w:noProof/>
          <w:sz w:val="20"/>
          <w:szCs w:val="20"/>
          <w:lang w:val="es-ES_tradnl"/>
        </w:rPr>
      </w:pPr>
      <w:r w:rsidRPr="00BB0121">
        <w:rPr>
          <w:rFonts w:ascii="Roboto" w:eastAsia="Roboto" w:hAnsi="Roboto" w:cs="Roboto"/>
          <w:b/>
          <w:bCs/>
          <w:noProof/>
          <w:sz w:val="20"/>
          <w:szCs w:val="20"/>
          <w:lang w:val="es-ES_tradnl"/>
        </w:rPr>
        <w:t>5. Responsabilidad del contenido</w:t>
      </w:r>
    </w:p>
    <w:p w14:paraId="4E198337" w14:textId="77777777" w:rsidR="006F5DFC" w:rsidRPr="00BB0121" w:rsidRDefault="00000000" w:rsidP="004F5C7D">
      <w:pPr>
        <w:spacing w:after="120"/>
        <w:jc w:val="both"/>
        <w:rPr>
          <w:rFonts w:ascii="Roboto" w:eastAsia="Roboto" w:hAnsi="Roboto" w:cs="Roboto"/>
          <w:noProof/>
          <w:sz w:val="20"/>
          <w:szCs w:val="20"/>
          <w:lang w:val="es-ES_tradnl"/>
        </w:rPr>
      </w:pPr>
      <w:r w:rsidRPr="00BB0121">
        <w:rPr>
          <w:rFonts w:ascii="Roboto" w:eastAsia="Roboto" w:hAnsi="Roboto" w:cs="Roboto"/>
          <w:noProof/>
          <w:sz w:val="20"/>
          <w:szCs w:val="20"/>
          <w:lang w:val="es-ES_tradnl"/>
        </w:rPr>
        <w:t xml:space="preserve">Los autores asumen plena responsabilidad por el contenido del resumen, incluyendo la </w:t>
      </w:r>
      <w:r w:rsidRPr="00BB0121">
        <w:rPr>
          <w:rFonts w:ascii="Roboto" w:eastAsia="Roboto" w:hAnsi="Roboto" w:cs="Roboto"/>
          <w:b/>
          <w:bCs/>
          <w:noProof/>
          <w:sz w:val="20"/>
          <w:szCs w:val="20"/>
          <w:lang w:val="es-ES_tradnl"/>
        </w:rPr>
        <w:t>veracidad de la información presentada, el cumplimiento de normas éticas de investigación y el respeto a derechos de terceros</w:t>
      </w:r>
      <w:r w:rsidRPr="00BB0121">
        <w:rPr>
          <w:rFonts w:ascii="Roboto" w:eastAsia="Roboto" w:hAnsi="Roboto" w:cs="Roboto"/>
          <w:noProof/>
          <w:sz w:val="20"/>
          <w:szCs w:val="20"/>
          <w:lang w:val="es-ES_tradnl"/>
        </w:rPr>
        <w:t>.</w:t>
      </w:r>
    </w:p>
    <w:p w14:paraId="43CBA30E" w14:textId="77777777" w:rsidR="006F5DFC" w:rsidRPr="00BB0121" w:rsidRDefault="00000000" w:rsidP="004F5C7D">
      <w:pPr>
        <w:spacing w:after="120"/>
        <w:jc w:val="both"/>
        <w:rPr>
          <w:rFonts w:ascii="Roboto" w:eastAsia="Roboto" w:hAnsi="Roboto" w:cs="Roboto"/>
          <w:b/>
          <w:bCs/>
          <w:noProof/>
          <w:sz w:val="20"/>
          <w:szCs w:val="20"/>
          <w:lang w:val="es-ES_tradnl"/>
        </w:rPr>
      </w:pPr>
      <w:r w:rsidRPr="00BB0121">
        <w:rPr>
          <w:rFonts w:ascii="Roboto" w:eastAsia="Roboto" w:hAnsi="Roboto" w:cs="Roboto"/>
          <w:b/>
          <w:bCs/>
          <w:noProof/>
          <w:sz w:val="20"/>
          <w:szCs w:val="20"/>
          <w:lang w:val="es-ES_tradnl"/>
        </w:rPr>
        <w:t>6. Aceptación de la declaración</w:t>
      </w:r>
    </w:p>
    <w:p w14:paraId="763B3443" w14:textId="77777777" w:rsidR="006F5DFC" w:rsidRPr="00BB0121" w:rsidRDefault="00000000" w:rsidP="004F5C7D">
      <w:pPr>
        <w:spacing w:after="120"/>
        <w:jc w:val="both"/>
        <w:rPr>
          <w:rFonts w:ascii="Roboto" w:eastAsia="Roboto" w:hAnsi="Roboto" w:cs="Roboto"/>
          <w:noProof/>
          <w:sz w:val="20"/>
          <w:szCs w:val="20"/>
          <w:lang w:val="es-ES_tradnl"/>
        </w:rPr>
      </w:pPr>
      <w:r w:rsidRPr="00BB0121">
        <w:rPr>
          <w:rFonts w:ascii="Roboto" w:eastAsia="Roboto" w:hAnsi="Roboto" w:cs="Roboto"/>
          <w:noProof/>
          <w:sz w:val="20"/>
          <w:szCs w:val="20"/>
          <w:lang w:val="es-ES_tradnl"/>
        </w:rPr>
        <w:t xml:space="preserve">El envío del resumen mediante el sistema o formato oficial del congreso </w:t>
      </w:r>
      <w:r w:rsidRPr="00BB0121">
        <w:rPr>
          <w:rFonts w:ascii="Roboto" w:eastAsia="Roboto" w:hAnsi="Roboto" w:cs="Roboto"/>
          <w:b/>
          <w:bCs/>
          <w:noProof/>
          <w:sz w:val="20"/>
          <w:szCs w:val="20"/>
          <w:lang w:val="es-ES_tradnl"/>
        </w:rPr>
        <w:t>constituye evidencia de que todos los autores conocen y aceptan los términos de la presente declaración y autorización de publicación</w:t>
      </w:r>
      <w:r w:rsidRPr="00BB0121">
        <w:rPr>
          <w:rFonts w:ascii="Roboto" w:eastAsia="Roboto" w:hAnsi="Roboto" w:cs="Roboto"/>
          <w:noProof/>
          <w:sz w:val="20"/>
          <w:szCs w:val="20"/>
          <w:lang w:val="es-ES_tradnl"/>
        </w:rPr>
        <w:t>.</w:t>
      </w:r>
    </w:p>
    <w:p w14:paraId="5850E8EC" w14:textId="0EF2937D" w:rsidR="006F5DFC" w:rsidRPr="00BB0121" w:rsidRDefault="00000000" w:rsidP="004F5C7D">
      <w:pPr>
        <w:spacing w:after="120"/>
        <w:jc w:val="both"/>
        <w:rPr>
          <w:rFonts w:ascii="Roboto" w:eastAsia="Roboto" w:hAnsi="Roboto" w:cs="Roboto"/>
          <w:noProof/>
          <w:sz w:val="20"/>
          <w:szCs w:val="20"/>
          <w:lang w:val="es-ES_tradnl"/>
        </w:rPr>
      </w:pPr>
      <w:r w:rsidRPr="00BB0121">
        <w:rPr>
          <w:rFonts w:ascii="Roboto" w:eastAsia="Roboto" w:hAnsi="Roboto" w:cs="Roboto"/>
          <w:noProof/>
          <w:sz w:val="20"/>
          <w:szCs w:val="20"/>
          <w:lang w:val="es-ES_tradnl"/>
        </w:rPr>
        <w:t>(  X  )  Declaro que he leído y acepto los términos de esta declaración y autorización de publicación.</w:t>
      </w:r>
    </w:p>
    <w:p w14:paraId="0A8E9EC9" w14:textId="3875D5BB" w:rsidR="004F5C7D" w:rsidRPr="004F5C7D" w:rsidRDefault="00000000" w:rsidP="004F5C7D">
      <w:pPr>
        <w:spacing w:after="120"/>
        <w:rPr>
          <w:rFonts w:ascii="Roboto" w:eastAsia="Roboto" w:hAnsi="Roboto" w:cs="Roboto"/>
          <w:b/>
          <w:bCs/>
          <w:noProof/>
          <w:sz w:val="20"/>
          <w:szCs w:val="20"/>
          <w:lang w:val="es-ES_tradnl"/>
        </w:rPr>
      </w:pPr>
      <w:r w:rsidRPr="00BB0121">
        <w:rPr>
          <w:rFonts w:ascii="Roboto" w:eastAsia="Roboto" w:hAnsi="Roboto" w:cs="Roboto"/>
          <w:b/>
          <w:bCs/>
          <w:noProof/>
          <w:sz w:val="20"/>
          <w:szCs w:val="20"/>
          <w:lang w:val="es-ES_tradnl"/>
        </w:rPr>
        <w:t>Autor responsable:</w:t>
      </w:r>
      <w:r w:rsidR="004F5C7D">
        <w:rPr>
          <w:rFonts w:ascii="Roboto" w:eastAsia="Roboto" w:hAnsi="Roboto" w:cs="Roboto"/>
          <w:b/>
          <w:bCs/>
          <w:noProof/>
          <w:sz w:val="20"/>
          <w:szCs w:val="20"/>
          <w:lang w:val="es-ES_tradnl"/>
        </w:rPr>
        <w:t xml:space="preserve"> </w:t>
      </w:r>
      <w:r w:rsidR="004F5C7D" w:rsidRPr="004F5C7D">
        <w:rPr>
          <w:rFonts w:ascii="Roboto" w:eastAsia="Roboto" w:hAnsi="Roboto" w:cs="Roboto"/>
          <w:noProof/>
          <w:sz w:val="20"/>
          <w:szCs w:val="20"/>
          <w:lang w:val="es-ES_tradnl"/>
        </w:rPr>
        <w:t>Mauricio González López</w:t>
      </w:r>
      <w:r w:rsidRPr="00BB0121">
        <w:rPr>
          <w:rFonts w:ascii="Roboto" w:eastAsia="Roboto" w:hAnsi="Roboto" w:cs="Roboto"/>
          <w:b/>
          <w:bCs/>
          <w:noProof/>
          <w:sz w:val="20"/>
          <w:szCs w:val="20"/>
          <w:lang w:val="es-ES_tradnl"/>
        </w:rPr>
        <w:br/>
        <w:t>Institución:</w:t>
      </w:r>
      <w:r w:rsidR="004F5C7D">
        <w:rPr>
          <w:rFonts w:ascii="Roboto" w:eastAsia="Roboto" w:hAnsi="Roboto" w:cs="Roboto"/>
          <w:b/>
          <w:bCs/>
          <w:noProof/>
          <w:sz w:val="20"/>
          <w:szCs w:val="20"/>
          <w:lang w:val="es-ES_tradnl"/>
        </w:rPr>
        <w:t xml:space="preserve"> </w:t>
      </w:r>
      <w:r w:rsidR="004F5C7D" w:rsidRPr="004F5C7D">
        <w:rPr>
          <w:rFonts w:ascii="Roboto" w:eastAsia="Roboto" w:hAnsi="Roboto" w:cs="Roboto"/>
          <w:noProof/>
          <w:sz w:val="20"/>
          <w:szCs w:val="20"/>
          <w:lang w:val="es-ES_tradnl"/>
        </w:rPr>
        <w:t>Universidad Anáhuac Querétaro</w:t>
      </w:r>
      <w:r w:rsidRPr="00BB0121">
        <w:rPr>
          <w:rFonts w:ascii="Roboto" w:eastAsia="Roboto" w:hAnsi="Roboto" w:cs="Roboto"/>
          <w:b/>
          <w:bCs/>
          <w:noProof/>
          <w:sz w:val="20"/>
          <w:szCs w:val="20"/>
          <w:lang w:val="es-ES_tradnl"/>
        </w:rPr>
        <w:br/>
        <w:t>Título del trabajo con autores:</w:t>
      </w:r>
      <w:r w:rsidR="004F5C7D">
        <w:rPr>
          <w:rFonts w:ascii="Roboto" w:eastAsia="Roboto" w:hAnsi="Roboto" w:cs="Roboto"/>
          <w:b/>
          <w:bCs/>
          <w:noProof/>
          <w:sz w:val="20"/>
          <w:szCs w:val="20"/>
          <w:lang w:val="es-ES_tradnl"/>
        </w:rPr>
        <w:t xml:space="preserve"> </w:t>
      </w:r>
      <w:r w:rsidR="004F5C7D" w:rsidRPr="004F5C7D">
        <w:rPr>
          <w:rFonts w:ascii="Roboto" w:eastAsia="Roboto" w:hAnsi="Roboto" w:cs="Roboto"/>
          <w:noProof/>
          <w:sz w:val="20"/>
          <w:szCs w:val="20"/>
          <w:lang w:val="es-ES_tradnl"/>
        </w:rPr>
        <w:t>Correlato neurofisiológico de la atención Involuntaria en adultos mayores sanos con riesgo de deterioro cognitivo: Un estudio de potenciales relacionados con eventos</w:t>
      </w:r>
      <w:r w:rsidR="004F5C7D">
        <w:rPr>
          <w:rFonts w:ascii="Roboto" w:eastAsia="Roboto" w:hAnsi="Roboto" w:cs="Roboto"/>
          <w:noProof/>
          <w:sz w:val="20"/>
          <w:szCs w:val="20"/>
          <w:lang w:val="es-ES_tradnl"/>
        </w:rPr>
        <w:t>.</w:t>
      </w:r>
      <w:r w:rsidR="004F5C7D" w:rsidRPr="004F5C7D">
        <w:rPr>
          <w:rFonts w:ascii="Roboto" w:eastAsia="Roboto" w:hAnsi="Roboto" w:cs="Roboto"/>
          <w:b/>
          <w:bCs/>
          <w:noProof/>
          <w:sz w:val="20"/>
          <w:szCs w:val="20"/>
          <w:lang w:val="es-ES_tradnl"/>
        </w:rPr>
        <w:t xml:space="preserve"> </w:t>
      </w:r>
      <w:r w:rsidR="004F5C7D" w:rsidRPr="004F5C7D">
        <w:rPr>
          <w:rFonts w:ascii="Roboto" w:eastAsia="Roboto" w:hAnsi="Roboto" w:cs="Roboto"/>
          <w:noProof/>
          <w:sz w:val="20"/>
          <w:szCs w:val="20"/>
          <w:lang w:val="es-ES_tradnl"/>
        </w:rPr>
        <w:t>González-López, M., Solís-Vivanco R., Harmony-Baillet, T. y Fernández, T.</w:t>
      </w:r>
    </w:p>
    <w:p w14:paraId="330485DE" w14:textId="1C6E2DEF" w:rsidR="006F5DFC" w:rsidRPr="004F5C7D" w:rsidRDefault="006F5DFC" w:rsidP="004F5C7D">
      <w:pPr>
        <w:spacing w:before="240" w:after="240"/>
        <w:rPr>
          <w:rFonts w:ascii="Roboto" w:eastAsia="Roboto" w:hAnsi="Roboto" w:cs="Roboto"/>
          <w:noProof/>
          <w:sz w:val="20"/>
          <w:szCs w:val="20"/>
          <w:lang w:val="es-ES_tradnl"/>
        </w:rPr>
      </w:pPr>
    </w:p>
    <w:sectPr w:rsidR="006F5DFC" w:rsidRPr="004F5C7D">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69C08E" w14:textId="77777777" w:rsidR="00006194" w:rsidRDefault="00006194">
      <w:r>
        <w:separator/>
      </w:r>
    </w:p>
  </w:endnote>
  <w:endnote w:type="continuationSeparator" w:id="0">
    <w:p w14:paraId="6CF45B79" w14:textId="77777777" w:rsidR="00006194" w:rsidRDefault="000061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3C5E4EE7-E766-1F45-BC39-99F7EF24DD8E}"/>
    <w:embedBold r:id="rId2" w:fontKey="{092504B9-DFF1-CF48-B609-0055028D532F}"/>
    <w:embedItalic r:id="rId3" w:fontKey="{BEFB7B3C-7B07-044E-B328-3CBA0A75BBF2}"/>
  </w:font>
  <w:font w:name="Calibri">
    <w:panose1 w:val="020F0502020204030204"/>
    <w:charset w:val="00"/>
    <w:family w:val="swiss"/>
    <w:pitch w:val="variable"/>
    <w:sig w:usb0="E0002AFF" w:usb1="C000247B" w:usb2="00000009" w:usb3="00000000" w:csb0="000001FF" w:csb1="00000000"/>
    <w:embedRegular r:id="rId4" w:fontKey="{5D84467F-8389-BD42-92DC-E5C19B729CB1}"/>
  </w:font>
  <w:font w:name="Georgia">
    <w:panose1 w:val="02040502050405020303"/>
    <w:charset w:val="00"/>
    <w:family w:val="roman"/>
    <w:pitch w:val="variable"/>
    <w:sig w:usb0="00000287" w:usb1="00000000" w:usb2="00000000" w:usb3="00000000" w:csb0="0000009F" w:csb1="00000000"/>
    <w:embedItalic r:id="rId5" w:fontKey="{33DB7F32-B5CD-8746-B145-D6894471EDC4}"/>
  </w:font>
  <w:font w:name="Roboto">
    <w:panose1 w:val="02000000000000000000"/>
    <w:charset w:val="00"/>
    <w:family w:val="auto"/>
    <w:pitch w:val="variable"/>
    <w:sig w:usb0="E0000AFF" w:usb1="5000217F" w:usb2="00000021" w:usb3="00000000" w:csb0="0000019F" w:csb1="00000000"/>
    <w:embedRegular r:id="rId6" w:fontKey="{7B57F553-77F8-6F4F-9B30-93A61CB1AC60}"/>
    <w:embedBold r:id="rId7" w:fontKey="{24A42978-6B8C-1346-AB58-CDA8C52F9301}"/>
    <w:embedItalic r:id="rId8" w:fontKey="{3E419C81-9224-724E-BCA7-2617223E087F}"/>
  </w:font>
  <w:font w:name="-webkit-standard">
    <w:altName w:val="Cambria"/>
    <w:panose1 w:val="020B06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embedRegular r:id="rId10" w:fontKey="{339D9886-C020-2B42-B40C-D334B51A94A6}"/>
    <w:embedItalic r:id="rId11" w:fontKey="{2843D2F9-036C-C448-9D92-C914CD715249}"/>
  </w:font>
  <w:font w:name="Calibri Light">
    <w:panose1 w:val="020F0302020204030204"/>
    <w:charset w:val="00"/>
    <w:family w:val="swiss"/>
    <w:pitch w:val="variable"/>
    <w:sig w:usb0="E0002AFF" w:usb1="C000247B" w:usb2="00000009" w:usb3="00000000" w:csb0="000001FF" w:csb1="00000000"/>
    <w:embedRegular r:id="rId12" w:fontKey="{C73E7CA3-25F5-2F4D-8F4C-506EABE6244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31B7E1" w14:textId="77777777" w:rsidR="00006194" w:rsidRDefault="00006194">
      <w:r>
        <w:separator/>
      </w:r>
    </w:p>
  </w:footnote>
  <w:footnote w:type="continuationSeparator" w:id="0">
    <w:p w14:paraId="632A81C6" w14:textId="77777777" w:rsidR="00006194" w:rsidRDefault="000061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CB8533" w14:textId="77777777" w:rsidR="006F5DFC" w:rsidRDefault="006F5DFC">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F874C3"/>
    <w:multiLevelType w:val="multilevel"/>
    <w:tmpl w:val="67D840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52A4F71"/>
    <w:multiLevelType w:val="multilevel"/>
    <w:tmpl w:val="F1AE36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579364239">
    <w:abstractNumId w:val="1"/>
  </w:num>
  <w:num w:numId="2" w16cid:durableId="981135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9"/>
  <w:embedTrueTypeFonts/>
  <w:defaultTabStop w:val="720"/>
  <w:autoHyphenation/>
  <w:consecutiveHyphenLimit w:val="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5DFC"/>
    <w:rsid w:val="00006194"/>
    <w:rsid w:val="000652E8"/>
    <w:rsid w:val="000957DD"/>
    <w:rsid w:val="00152737"/>
    <w:rsid w:val="001D31AD"/>
    <w:rsid w:val="003C304D"/>
    <w:rsid w:val="00460055"/>
    <w:rsid w:val="004F5C7D"/>
    <w:rsid w:val="005E457F"/>
    <w:rsid w:val="005F123E"/>
    <w:rsid w:val="0065412C"/>
    <w:rsid w:val="006F5DFC"/>
    <w:rsid w:val="007C6827"/>
    <w:rsid w:val="00911742"/>
    <w:rsid w:val="00957457"/>
    <w:rsid w:val="00B252F5"/>
    <w:rsid w:val="00BB0121"/>
    <w:rsid w:val="00C53D48"/>
    <w:rsid w:val="00C85639"/>
    <w:rsid w:val="00CC3BE9"/>
    <w:rsid w:val="00CF5360"/>
    <w:rsid w:val="00D56541"/>
    <w:rsid w:val="00EB5F04"/>
    <w:rsid w:val="00F14414"/>
    <w:rsid w:val="00F6268C"/>
    <w:rsid w:val="00FE160B"/>
  </w:rsids>
  <m:mathPr>
    <m:mathFont m:val="Cambria Math"/>
    <m:brkBin m:val="before"/>
    <m:brkBinSub m:val="--"/>
    <m:smallFrac m:val="0"/>
    <m:dispDef/>
    <m:lMargin m:val="0"/>
    <m:rMargin m:val="0"/>
    <m:defJc m:val="centerGroup"/>
    <m:wrapIndent m:val="1440"/>
    <m:intLim m:val="subSup"/>
    <m:naryLim m:val="undOvr"/>
  </m:mathPr>
  <w:themeFontLang w:val="en-MX"/>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0FA2F92"/>
  <w15:docId w15:val="{26F338B7-EAAB-AA41-9F57-D3A3D9A91A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bCs/>
      <w:sz w:val="48"/>
      <w:szCs w:val="48"/>
    </w:rPr>
  </w:style>
  <w:style w:type="paragraph" w:styleId="Heading2">
    <w:name w:val="heading 2"/>
    <w:basedOn w:val="Normal"/>
    <w:next w:val="Normal"/>
    <w:uiPriority w:val="9"/>
    <w:semiHidden/>
    <w:unhideWhenUsed/>
    <w:qFormat/>
    <w:pPr>
      <w:keepNext/>
      <w:keepLines/>
      <w:spacing w:before="360" w:after="80"/>
      <w:outlineLvl w:val="1"/>
    </w:pPr>
    <w:rPr>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bCs/>
      <w:sz w:val="28"/>
      <w:szCs w:val="28"/>
    </w:rPr>
  </w:style>
  <w:style w:type="paragraph" w:styleId="Heading4">
    <w:name w:val="heading 4"/>
    <w:basedOn w:val="Normal"/>
    <w:next w:val="Normal"/>
    <w:uiPriority w:val="9"/>
    <w:semiHidden/>
    <w:unhideWhenUsed/>
    <w:qFormat/>
    <w:pPr>
      <w:keepNext/>
      <w:keepLines/>
      <w:spacing w:before="240" w:after="40"/>
      <w:outlineLvl w:val="3"/>
    </w:pPr>
    <w:rPr>
      <w:b/>
      <w:bCs/>
    </w:rPr>
  </w:style>
  <w:style w:type="paragraph" w:styleId="Heading5">
    <w:name w:val="heading 5"/>
    <w:basedOn w:val="Normal"/>
    <w:next w:val="Normal"/>
    <w:uiPriority w:val="9"/>
    <w:semiHidden/>
    <w:unhideWhenUsed/>
    <w:qFormat/>
    <w:pPr>
      <w:keepNext/>
      <w:keepLines/>
      <w:spacing w:before="220" w:after="40"/>
      <w:outlineLvl w:val="4"/>
    </w:pPr>
    <w:rPr>
      <w:b/>
      <w:bCs/>
      <w:sz w:val="22"/>
      <w:szCs w:val="22"/>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table" w:customStyle="1" w:styleId="TableNormal1">
    <w:name w:val="TableNormal"/>
    <w:tblPr>
      <w:tblCellMar>
        <w:top w:w="100" w:type="dxa"/>
        <w:left w:w="100" w:type="dxa"/>
        <w:bottom w:w="100" w:type="dxa"/>
        <w:right w:w="100" w:type="dxa"/>
      </w:tblCellMar>
    </w:tblPr>
  </w:style>
  <w:style w:type="paragraph" w:styleId="Header">
    <w:name w:val="header"/>
    <w:basedOn w:val="Normal"/>
    <w:link w:val="HeaderCh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HeaderChar">
    <w:name w:val="Header Char"/>
    <w:basedOn w:val="DefaultParagraphFont"/>
    <w:link w:val="Header"/>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CommentText">
    <w:name w:val="annotation text"/>
    <w:basedOn w:val="Normal"/>
    <w:link w:val="CommentTextChar"/>
    <w:rsid w:val="005625FC"/>
    <w:rPr>
      <w:sz w:val="20"/>
      <w:szCs w:val="20"/>
    </w:rPr>
  </w:style>
  <w:style w:type="character" w:customStyle="1" w:styleId="CommentTextChar">
    <w:name w:val="Comment Text Char"/>
    <w:basedOn w:val="DefaultParagraphFont"/>
    <w:link w:val="CommentText"/>
    <w:rsid w:val="005625FC"/>
    <w:rPr>
      <w:rFonts w:ascii="Times New Roman" w:eastAsia="Times New Roman" w:hAnsi="Times New Roman" w:cs="Times New Roman"/>
      <w:sz w:val="20"/>
      <w:szCs w:val="20"/>
      <w:lang w:val="tr-TR" w:eastAsia="tr-TR"/>
    </w:rPr>
  </w:style>
  <w:style w:type="character" w:styleId="Hyperlink">
    <w:name w:val="Hyperlink"/>
    <w:basedOn w:val="DefaultParagraphFont"/>
    <w:uiPriority w:val="99"/>
    <w:unhideWhenUsed/>
    <w:rsid w:val="005625FC"/>
    <w:rPr>
      <w:color w:val="0563C1" w:themeColor="hyperlink"/>
      <w:u w:val="single"/>
    </w:rPr>
  </w:style>
  <w:style w:type="paragraph" w:styleId="Footer">
    <w:name w:val="footer"/>
    <w:basedOn w:val="Normal"/>
    <w:link w:val="FooterChar"/>
    <w:uiPriority w:val="99"/>
    <w:unhideWhenUsed/>
    <w:rsid w:val="00B12BB3"/>
    <w:pPr>
      <w:tabs>
        <w:tab w:val="center" w:pos="4419"/>
        <w:tab w:val="right" w:pos="8838"/>
      </w:tabs>
    </w:pPr>
  </w:style>
  <w:style w:type="character" w:customStyle="1" w:styleId="FooterChar">
    <w:name w:val="Footer Char"/>
    <w:basedOn w:val="DefaultParagraphFont"/>
    <w:link w:val="Footer"/>
    <w:uiPriority w:val="99"/>
    <w:rsid w:val="00B12BB3"/>
    <w:rPr>
      <w:rFonts w:ascii="Times New Roman" w:eastAsia="Times New Roman" w:hAnsi="Times New Roman" w:cs="Times New Roman"/>
      <w:sz w:val="24"/>
      <w:szCs w:val="24"/>
      <w:lang w:val="tr-TR" w:eastAsia="tr-TR"/>
    </w:rPr>
  </w:style>
  <w:style w:type="character" w:styleId="UnresolvedMention">
    <w:name w:val="Unresolved Mention"/>
    <w:basedOn w:val="DefaultParagraphFont"/>
    <w:uiPriority w:val="99"/>
    <w:semiHidden/>
    <w:unhideWhenUsed/>
    <w:rsid w:val="00AC5917"/>
    <w:rPr>
      <w:color w:val="605E5C"/>
      <w:shd w:val="clear" w:color="auto" w:fill="E1DFDD"/>
    </w:rPr>
  </w:style>
  <w:style w:type="table" w:customStyle="1" w:styleId="a">
    <w:basedOn w:val="TableNormal1"/>
    <w:tblPr>
      <w:tblStyleRowBandSize w:val="1"/>
      <w:tblStyleColBandSize w:val="1"/>
      <w:tblCellMar>
        <w:top w:w="0" w:type="dxa"/>
        <w:left w:w="115" w:type="dxa"/>
        <w:bottom w:w="0" w:type="dxa"/>
        <w:right w:w="115" w:type="dxa"/>
      </w:tblCellMar>
    </w:tblPr>
  </w:style>
  <w:style w:type="table" w:customStyle="1" w:styleId="a0">
    <w:basedOn w:val="TableNormal1"/>
    <w:tblPr>
      <w:tblStyleRowBandSize w:val="1"/>
      <w:tblStyleColBandSize w:val="1"/>
      <w:tblCellMar>
        <w:top w:w="0" w:type="dxa"/>
        <w:left w:w="115" w:type="dxa"/>
        <w:bottom w:w="0" w:type="dxa"/>
        <w:right w:w="115"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1"/>
    <w:tblPr>
      <w:tblStyleRowBandSize w:val="1"/>
      <w:tblStyleColBandSize w:val="1"/>
      <w:tblCellMar>
        <w:top w:w="0" w:type="dxa"/>
        <w:left w:w="115" w:type="dxa"/>
        <w:bottom w:w="0" w:type="dxa"/>
        <w:right w:w="115" w:type="dxa"/>
      </w:tblCellMar>
    </w:tblPr>
  </w:style>
  <w:style w:type="table" w:customStyle="1" w:styleId="a2">
    <w:basedOn w:val="TableNormal1"/>
    <w:tblPr>
      <w:tblStyleRowBandSize w:val="1"/>
      <w:tblStyleColBandSize w:val="1"/>
      <w:tblCellMar>
        <w:top w:w="0" w:type="dxa"/>
        <w:left w:w="115" w:type="dxa"/>
        <w:bottom w:w="0" w:type="dxa"/>
        <w:right w:w="115" w:type="dxa"/>
      </w:tblCellMar>
    </w:tblPr>
  </w:style>
  <w:style w:type="character" w:customStyle="1" w:styleId="apple-converted-space">
    <w:name w:val="apple-converted-space"/>
    <w:basedOn w:val="DefaultParagraphFont"/>
    <w:rsid w:val="003C30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orcid.org/0000-0001-8256-9636"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uricio.gonzalezl@anahuac.mx"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rcid.org/0000-0002-2842-7773" TargetMode="Externa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hyperlink" Target="https://orcid.org/0000-0002-4209-3191" TargetMode="External"/><Relationship Id="rId4" Type="http://schemas.openxmlformats.org/officeDocument/2006/relationships/settings" Target="settings.xml"/><Relationship Id="rId9" Type="http://schemas.openxmlformats.org/officeDocument/2006/relationships/hyperlink" Target="https://orcid.org/0000-0002-4176-917X" TargetMode="External"/><Relationship Id="rId14" Type="http://schemas.openxmlformats.org/officeDocument/2006/relationships/image" Target="media/image1.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1838</Words>
  <Characters>10961</Characters>
  <Application>Microsoft Office Word</Application>
  <DocSecurity>0</DocSecurity>
  <Lines>233</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Mauricio González López</cp:lastModifiedBy>
  <cp:revision>2</cp:revision>
  <dcterms:created xsi:type="dcterms:W3CDTF">2026-03-23T02:51:00Z</dcterms:created>
  <dcterms:modified xsi:type="dcterms:W3CDTF">2026-03-23T02:51:00Z</dcterms:modified>
</cp:coreProperties>
</file>