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3C7D577" w14:textId="77777777" w:rsidR="003E71ED" w:rsidRPr="003E71ED" w:rsidRDefault="003E71ED" w:rsidP="003E71ED">
      <w:pPr>
        <w:spacing w:before="60"/>
        <w:jc w:val="center"/>
        <w:rPr>
          <w:rFonts w:ascii="Roboto" w:eastAsia="Roboto" w:hAnsi="Roboto" w:cs="Roboto"/>
          <w:b/>
          <w:color w:val="000000"/>
        </w:rPr>
      </w:pPr>
      <w:bookmarkStart w:id="0" w:name="_Hlk224814025"/>
      <w:r w:rsidRPr="003E71ED">
        <w:rPr>
          <w:rFonts w:ascii="Roboto" w:eastAsia="Roboto" w:hAnsi="Roboto" w:cs="Roboto"/>
          <w:b/>
          <w:color w:val="000000"/>
        </w:rPr>
        <w:t>Habilidades gerenciales y empleabilidad en egresados universitarios de carreras económico-administrativas</w:t>
      </w:r>
    </w:p>
    <w:p w14:paraId="2D6D4A1D" w14:textId="77777777" w:rsidR="00174E13" w:rsidRPr="002364C0" w:rsidRDefault="003E71ED" w:rsidP="00174E13">
      <w:pPr>
        <w:spacing w:before="60"/>
        <w:jc w:val="center"/>
        <w:rPr>
          <w:rFonts w:ascii="Roboto" w:eastAsia="Roboto" w:hAnsi="Roboto" w:cs="Roboto"/>
          <w:b/>
          <w:color w:val="000000"/>
          <w:sz w:val="20"/>
          <w:szCs w:val="20"/>
        </w:rPr>
      </w:pPr>
      <w:r w:rsidRPr="002364C0">
        <w:rPr>
          <w:rFonts w:ascii="Roboto" w:eastAsia="Roboto" w:hAnsi="Roboto" w:cs="Roboto"/>
          <w:b/>
          <w:color w:val="000000"/>
          <w:sz w:val="20"/>
          <w:szCs w:val="20"/>
        </w:rPr>
        <w:t>Orellana Santibáñez Luis Hernán</w:t>
      </w:r>
      <w:r w:rsidR="002364C0" w:rsidRPr="002364C0">
        <w:rPr>
          <w:rFonts w:ascii="Roboto" w:eastAsia="Roboto" w:hAnsi="Roboto" w:cs="Roboto"/>
          <w:b/>
          <w:color w:val="000000"/>
          <w:sz w:val="20"/>
          <w:szCs w:val="20"/>
          <w:vertAlign w:val="superscript"/>
        </w:rPr>
        <w:t>1</w:t>
      </w:r>
      <w:r w:rsidR="00174E13">
        <w:rPr>
          <w:rFonts w:ascii="Roboto" w:eastAsia="Roboto" w:hAnsi="Roboto" w:cs="Roboto"/>
          <w:b/>
          <w:color w:val="000000"/>
          <w:sz w:val="20"/>
          <w:szCs w:val="20"/>
        </w:rPr>
        <w:t xml:space="preserve">, </w:t>
      </w:r>
      <w:r w:rsidR="00174E13" w:rsidRPr="002364C0">
        <w:rPr>
          <w:rFonts w:ascii="Roboto" w:eastAsia="Roboto" w:hAnsi="Roboto" w:cs="Roboto"/>
          <w:b/>
          <w:color w:val="000000"/>
          <w:sz w:val="20"/>
          <w:szCs w:val="20"/>
        </w:rPr>
        <w:t>Pacheco Pantoja María Antonieta</w:t>
      </w:r>
      <w:r w:rsidR="00174E13" w:rsidRPr="002364C0">
        <w:rPr>
          <w:rFonts w:ascii="Roboto" w:eastAsia="Roboto" w:hAnsi="Roboto" w:cs="Roboto"/>
          <w:b/>
          <w:color w:val="000000"/>
          <w:sz w:val="20"/>
          <w:szCs w:val="20"/>
          <w:vertAlign w:val="superscript"/>
        </w:rPr>
        <w:t>2</w:t>
      </w:r>
      <w:r w:rsidR="00174E13" w:rsidRPr="002364C0">
        <w:rPr>
          <w:rFonts w:ascii="Roboto" w:eastAsia="Roboto" w:hAnsi="Roboto" w:cs="Roboto"/>
          <w:b/>
          <w:color w:val="000000"/>
          <w:sz w:val="20"/>
          <w:szCs w:val="20"/>
        </w:rPr>
        <w:t xml:space="preserve"> </w:t>
      </w:r>
    </w:p>
    <w:bookmarkEnd w:id="0"/>
    <w:p w14:paraId="08D013D8" w14:textId="28B9A239" w:rsidR="003E71ED" w:rsidRPr="00174E13" w:rsidRDefault="003E71ED" w:rsidP="003E71ED">
      <w:pPr>
        <w:spacing w:before="60"/>
        <w:jc w:val="center"/>
        <w:rPr>
          <w:rFonts w:ascii="Roboto" w:eastAsia="Roboto" w:hAnsi="Roboto" w:cs="Roboto"/>
          <w:bCs/>
          <w:color w:val="000000" w:themeColor="text1"/>
          <w:sz w:val="20"/>
          <w:szCs w:val="20"/>
          <w:u w:val="single"/>
        </w:rPr>
      </w:pPr>
      <w:r w:rsidRPr="00174E13">
        <w:rPr>
          <w:rFonts w:ascii="Roboto" w:eastAsia="Roboto" w:hAnsi="Roboto" w:cs="Roboto"/>
          <w:bCs/>
          <w:color w:val="000000"/>
          <w:sz w:val="20"/>
          <w:szCs w:val="20"/>
          <w:vertAlign w:val="superscript"/>
        </w:rPr>
        <w:t xml:space="preserve">1 </w:t>
      </w:r>
      <w:hyperlink r:id="rId8" w:history="1">
        <w:r w:rsidR="00174E13" w:rsidRPr="00174E13">
          <w:rPr>
            <w:rStyle w:val="Hipervnculo"/>
            <w:rFonts w:ascii="Roboto" w:eastAsia="Roboto" w:hAnsi="Roboto" w:cs="Roboto"/>
            <w:bCs/>
            <w:color w:val="000000" w:themeColor="text1"/>
            <w:sz w:val="20"/>
            <w:szCs w:val="20"/>
          </w:rPr>
          <w:t>https://orcid.org/0009-0007-6940-3085</w:t>
        </w:r>
      </w:hyperlink>
    </w:p>
    <w:p w14:paraId="2A03ACC0" w14:textId="4D80F867" w:rsidR="00174E13" w:rsidRPr="00174E13" w:rsidRDefault="003E71ED" w:rsidP="003E71ED">
      <w:pPr>
        <w:spacing w:before="60"/>
        <w:jc w:val="center"/>
        <w:rPr>
          <w:rFonts w:ascii="Roboto" w:eastAsia="Roboto" w:hAnsi="Roboto" w:cs="Roboto"/>
          <w:bCs/>
          <w:color w:val="000000" w:themeColor="text1"/>
          <w:sz w:val="20"/>
          <w:szCs w:val="20"/>
          <w:u w:val="single"/>
        </w:rPr>
      </w:pPr>
      <w:r w:rsidRPr="00174E13">
        <w:rPr>
          <w:rFonts w:ascii="Roboto" w:eastAsia="Roboto" w:hAnsi="Roboto" w:cs="Roboto"/>
          <w:bCs/>
          <w:color w:val="000000" w:themeColor="text1"/>
          <w:sz w:val="20"/>
          <w:szCs w:val="20"/>
          <w:u w:val="single"/>
          <w:vertAlign w:val="superscript"/>
        </w:rPr>
        <w:t>2</w:t>
      </w:r>
      <w:r w:rsidRPr="00174E13">
        <w:rPr>
          <w:rFonts w:ascii="Roboto" w:eastAsia="Roboto" w:hAnsi="Roboto" w:cs="Roboto"/>
          <w:bCs/>
          <w:color w:val="000000" w:themeColor="text1"/>
          <w:sz w:val="20"/>
          <w:szCs w:val="20"/>
          <w:u w:val="single"/>
        </w:rPr>
        <w:t xml:space="preserve"> </w:t>
      </w:r>
      <w:hyperlink r:id="rId9" w:history="1">
        <w:r w:rsidR="00174E13" w:rsidRPr="00174E13">
          <w:rPr>
            <w:rStyle w:val="Hipervnculo"/>
            <w:rFonts w:ascii="Roboto" w:eastAsia="Roboto" w:hAnsi="Roboto" w:cs="Roboto"/>
            <w:bCs/>
            <w:color w:val="000000" w:themeColor="text1"/>
            <w:sz w:val="20"/>
            <w:szCs w:val="20"/>
          </w:rPr>
          <w:t>https://orcid.org/0009-0006-0564-7382</w:t>
        </w:r>
      </w:hyperlink>
    </w:p>
    <w:p w14:paraId="67C66334" w14:textId="2696382F" w:rsidR="00174E13" w:rsidRPr="00174E13" w:rsidRDefault="00174E13" w:rsidP="00174E13">
      <w:pPr>
        <w:spacing w:before="60"/>
        <w:jc w:val="center"/>
        <w:rPr>
          <w:rFonts w:ascii="Roboto" w:eastAsia="Roboto" w:hAnsi="Roboto" w:cs="Roboto"/>
          <w:sz w:val="20"/>
          <w:szCs w:val="20"/>
        </w:rPr>
      </w:pPr>
      <w:r w:rsidRPr="00174E13">
        <w:rPr>
          <w:rFonts w:ascii="Roboto" w:eastAsia="Roboto" w:hAnsi="Roboto" w:cs="Roboto"/>
          <w:sz w:val="20"/>
          <w:szCs w:val="20"/>
        </w:rPr>
        <w:t xml:space="preserve">*Autor de correspondencia (e-mail: </w:t>
      </w:r>
      <w:hyperlink r:id="rId10" w:history="1">
        <w:r w:rsidRPr="00174E13">
          <w:rPr>
            <w:rStyle w:val="Hipervnculo"/>
            <w:rFonts w:ascii="Roboto" w:eastAsia="Roboto" w:hAnsi="Roboto" w:cs="Roboto"/>
            <w:color w:val="000000" w:themeColor="text1"/>
            <w:sz w:val="20"/>
            <w:szCs w:val="20"/>
            <w:u w:val="none"/>
          </w:rPr>
          <w:t>luis.orellana@anahuac.mx</w:t>
        </w:r>
      </w:hyperlink>
      <w:r w:rsidRPr="00174E13">
        <w:rPr>
          <w:rFonts w:ascii="Roboto" w:eastAsia="Roboto" w:hAnsi="Roboto" w:cs="Roboto"/>
          <w:sz w:val="20"/>
          <w:szCs w:val="20"/>
        </w:rPr>
        <w:t>, maria.pacheco@anahuac.mx)</w:t>
      </w:r>
    </w:p>
    <w:p w14:paraId="1FED52E5" w14:textId="1A9039BC" w:rsidR="00032957" w:rsidRPr="002364C0" w:rsidRDefault="00000000" w:rsidP="003E71ED">
      <w:pPr>
        <w:spacing w:before="60"/>
        <w:jc w:val="center"/>
        <w:rPr>
          <w:rFonts w:ascii="Roboto" w:eastAsia="Roboto" w:hAnsi="Roboto" w:cs="Roboto"/>
          <w:b/>
          <w:sz w:val="20"/>
          <w:szCs w:val="20"/>
        </w:rPr>
        <w:sectPr w:rsidR="00032957" w:rsidRPr="002364C0" w:rsidSect="002364C0">
          <w:headerReference w:type="default" r:id="rId11"/>
          <w:pgSz w:w="11906" w:h="16838"/>
          <w:pgMar w:top="1134" w:right="851" w:bottom="1134" w:left="851" w:header="357" w:footer="720" w:gutter="0"/>
          <w:pgNumType w:start="1"/>
          <w:cols w:space="720"/>
        </w:sectPr>
      </w:pPr>
      <w:r>
        <w:rPr>
          <w:rFonts w:ascii="Roboto" w:hAnsi="Roboto"/>
          <w:b/>
          <w:sz w:val="20"/>
          <w:szCs w:val="20"/>
        </w:rPr>
        <w:pict w14:anchorId="13A4732A">
          <v:rect id="_x0000_i1025" style="width:0;height:1.5pt" o:hralign="center" o:hrstd="t" o:hr="t" fillcolor="#a0a0a0" stroked="f"/>
        </w:pict>
      </w:r>
    </w:p>
    <w:p w14:paraId="6CF62FBB" w14:textId="77777777" w:rsidR="003E71ED" w:rsidRPr="003E71ED" w:rsidRDefault="003E71ED" w:rsidP="003E71ED">
      <w:pPr>
        <w:jc w:val="both"/>
        <w:rPr>
          <w:rFonts w:ascii="Roboto" w:eastAsia="Roboto" w:hAnsi="Roboto" w:cs="Roboto"/>
          <w:b/>
          <w:bCs/>
          <w:sz w:val="20"/>
          <w:szCs w:val="20"/>
        </w:rPr>
      </w:pPr>
      <w:r w:rsidRPr="003E71ED">
        <w:rPr>
          <w:rFonts w:ascii="Roboto" w:eastAsia="Roboto" w:hAnsi="Roboto" w:cs="Roboto"/>
          <w:b/>
          <w:bCs/>
          <w:sz w:val="20"/>
          <w:szCs w:val="20"/>
        </w:rPr>
        <w:t>Resumen</w:t>
      </w:r>
    </w:p>
    <w:p w14:paraId="240E8F86" w14:textId="5A223272" w:rsidR="003E71ED" w:rsidRPr="003E71ED" w:rsidRDefault="003E71ED" w:rsidP="003E71ED">
      <w:pPr>
        <w:jc w:val="both"/>
        <w:rPr>
          <w:rFonts w:ascii="Roboto" w:eastAsia="Roboto" w:hAnsi="Roboto" w:cs="Roboto"/>
          <w:sz w:val="20"/>
          <w:szCs w:val="20"/>
        </w:rPr>
      </w:pPr>
      <w:r w:rsidRPr="003E71ED">
        <w:rPr>
          <w:rFonts w:ascii="Roboto" w:eastAsia="Roboto" w:hAnsi="Roboto" w:cs="Roboto"/>
          <w:sz w:val="20"/>
          <w:szCs w:val="20"/>
        </w:rPr>
        <w:t>La empleabilidad se configura como un proceso dinámico, multidimensional y de responsabilidad compartida que no se agota en la obtención del primer empleo, sino que comprende la capacidad de acceder, mantenerse, progresar y transitar en mercados laborales cambiantes (</w:t>
      </w:r>
      <w:proofErr w:type="spellStart"/>
      <w:r w:rsidRPr="003E71ED">
        <w:rPr>
          <w:rFonts w:ascii="Roboto" w:eastAsia="Roboto" w:hAnsi="Roboto" w:cs="Roboto"/>
          <w:sz w:val="20"/>
          <w:szCs w:val="20"/>
        </w:rPr>
        <w:t>Hillage</w:t>
      </w:r>
      <w:proofErr w:type="spellEnd"/>
      <w:r w:rsidRPr="003E71ED">
        <w:rPr>
          <w:rFonts w:ascii="Roboto" w:eastAsia="Roboto" w:hAnsi="Roboto" w:cs="Roboto"/>
          <w:sz w:val="20"/>
          <w:szCs w:val="20"/>
        </w:rPr>
        <w:t xml:space="preserve"> &amp; </w:t>
      </w:r>
      <w:proofErr w:type="spellStart"/>
      <w:r w:rsidRPr="003E71ED">
        <w:rPr>
          <w:rFonts w:ascii="Roboto" w:eastAsia="Roboto" w:hAnsi="Roboto" w:cs="Roboto"/>
          <w:sz w:val="20"/>
          <w:szCs w:val="20"/>
        </w:rPr>
        <w:t>Pollard</w:t>
      </w:r>
      <w:proofErr w:type="spellEnd"/>
      <w:r w:rsidRPr="003E71ED">
        <w:rPr>
          <w:rFonts w:ascii="Roboto" w:eastAsia="Roboto" w:hAnsi="Roboto" w:cs="Roboto"/>
          <w:sz w:val="20"/>
          <w:szCs w:val="20"/>
        </w:rPr>
        <w:t>, 1998; Pedraza López, 2023). En este marco, el presente trabajo integra hallazgos de una investigación desarrollada con egresados de licenciaturas económico-administrativas de una institución de educación superior del sureste mexicano y los articula con evidencia reciente sobre competencias transversales, socioemocionales, digitales y dispositivos institucionales de apoyo a la inserción laboral (Carrizosa, 2019; Orellana y Cuneo, 2019). El análisis triangula tres fuentes: un estudio mixto con 76 egresados y un grupo focal de 12 participantes, la revisión de 183 vacantes recibidas por la universidad y la consulta a empleadores del entorno empresarial yucateco. Los resultados muestran mayor suficiencia percibida en habilidades humanas y conceptuales, pero brechas persistentes en tecnología aplicada y capacidades técnico-operativas. De forma convergente, las vacantes privilegian competencias humanas para la inserción inicial, mientras los empleadores subrayan la relevancia creciente de la comunicación, la ética, el trabajo en equipo, el pensamiento analítico, la resiliencia y las competencias digitales. Se concluye que la empleabilidad exige una formación equilibrada entre lo humano, analítico y técnico, así como mecanismos institucionales alineados al contexto laboral.</w:t>
      </w:r>
    </w:p>
    <w:p w14:paraId="5DA4D23B" w14:textId="77777777" w:rsidR="003E71ED" w:rsidRPr="002364C0" w:rsidRDefault="003E71ED" w:rsidP="003E71ED">
      <w:pPr>
        <w:jc w:val="both"/>
        <w:rPr>
          <w:rFonts w:ascii="Roboto" w:eastAsia="Roboto" w:hAnsi="Roboto" w:cs="Roboto"/>
          <w:b/>
          <w:bCs/>
          <w:sz w:val="20"/>
          <w:szCs w:val="20"/>
        </w:rPr>
      </w:pPr>
      <w:r w:rsidRPr="002364C0">
        <w:rPr>
          <w:rFonts w:ascii="Roboto" w:eastAsia="Roboto" w:hAnsi="Roboto" w:cs="Roboto"/>
          <w:b/>
          <w:bCs/>
          <w:sz w:val="20"/>
          <w:szCs w:val="20"/>
        </w:rPr>
        <w:t>Planteamiento del problema</w:t>
      </w:r>
    </w:p>
    <w:p w14:paraId="11E76D9C" w14:textId="06244D17" w:rsidR="003E71ED" w:rsidRPr="003E71ED" w:rsidRDefault="003E71ED" w:rsidP="003E71ED">
      <w:pPr>
        <w:jc w:val="both"/>
        <w:rPr>
          <w:rFonts w:ascii="Roboto" w:eastAsia="Roboto" w:hAnsi="Roboto" w:cs="Roboto"/>
          <w:sz w:val="20"/>
          <w:szCs w:val="20"/>
        </w:rPr>
      </w:pPr>
      <w:r w:rsidRPr="003E71ED">
        <w:rPr>
          <w:rFonts w:ascii="Roboto" w:eastAsia="Roboto" w:hAnsi="Roboto" w:cs="Roboto"/>
          <w:sz w:val="20"/>
          <w:szCs w:val="20"/>
        </w:rPr>
        <w:t>La literatura coincide en que la empleabilidad no puede reducirse al título universitario ni a la inserción coyuntural en un puesto de trabajo, sino que remite a la capacidad de acceder, conservar, progresar y adaptarse a lo largo de la trayectoria profesional (</w:t>
      </w:r>
      <w:proofErr w:type="spellStart"/>
      <w:r w:rsidRPr="003E71ED">
        <w:rPr>
          <w:rFonts w:ascii="Roboto" w:eastAsia="Roboto" w:hAnsi="Roboto" w:cs="Roboto"/>
          <w:sz w:val="20"/>
          <w:szCs w:val="20"/>
        </w:rPr>
        <w:t>Hillage</w:t>
      </w:r>
      <w:proofErr w:type="spellEnd"/>
      <w:r w:rsidRPr="003E71ED">
        <w:rPr>
          <w:rFonts w:ascii="Roboto" w:eastAsia="Roboto" w:hAnsi="Roboto" w:cs="Roboto"/>
          <w:sz w:val="20"/>
          <w:szCs w:val="20"/>
        </w:rPr>
        <w:t xml:space="preserve"> &amp; </w:t>
      </w:r>
      <w:proofErr w:type="spellStart"/>
      <w:r w:rsidRPr="003E71ED">
        <w:rPr>
          <w:rFonts w:ascii="Roboto" w:eastAsia="Roboto" w:hAnsi="Roboto" w:cs="Roboto"/>
          <w:sz w:val="20"/>
          <w:szCs w:val="20"/>
        </w:rPr>
        <w:t>Pollard</w:t>
      </w:r>
      <w:proofErr w:type="spellEnd"/>
      <w:r w:rsidRPr="003E71ED">
        <w:rPr>
          <w:rFonts w:ascii="Roboto" w:eastAsia="Roboto" w:hAnsi="Roboto" w:cs="Roboto"/>
          <w:sz w:val="20"/>
          <w:szCs w:val="20"/>
        </w:rPr>
        <w:t>, 1998; Paredes y Ortiz, 2019; Pedraza, 2023). En carreras económico-administrativas, este debate resulta relevante debido a los procesos de transformación digital, la flexibilización del trabajo, la paulatina adopción de las competencias en los perfiles requeridos</w:t>
      </w:r>
      <w:r w:rsidR="00363FEE">
        <w:rPr>
          <w:rFonts w:ascii="Roboto" w:eastAsia="Roboto" w:hAnsi="Roboto" w:cs="Roboto"/>
          <w:sz w:val="20"/>
          <w:szCs w:val="20"/>
        </w:rPr>
        <w:t xml:space="preserve"> principalmente</w:t>
      </w:r>
      <w:r w:rsidRPr="003E71ED">
        <w:rPr>
          <w:rFonts w:ascii="Roboto" w:eastAsia="Roboto" w:hAnsi="Roboto" w:cs="Roboto"/>
          <w:sz w:val="20"/>
          <w:szCs w:val="20"/>
        </w:rPr>
        <w:t xml:space="preserve"> (Carrizosa, 2019; Juárez y Marqués, 2019). Asimismo, la evidencia muestra que la empleabilidad depende no sólo de atributos individuales, sino también de dispositivos institucionales como el seguimiento de egresados, los servicios de carrera, la orientación profesional y la retroalimentación curricular basada en el mercado de trabajo que obliga a estar buscando la alineación </w:t>
      </w:r>
      <w:r w:rsidR="00363FEE">
        <w:rPr>
          <w:rFonts w:ascii="Roboto" w:eastAsia="Roboto" w:hAnsi="Roboto" w:cs="Roboto"/>
          <w:sz w:val="20"/>
          <w:szCs w:val="20"/>
        </w:rPr>
        <w:t xml:space="preserve">de </w:t>
      </w:r>
      <w:r w:rsidRPr="003E71ED">
        <w:rPr>
          <w:rFonts w:ascii="Roboto" w:eastAsia="Roboto" w:hAnsi="Roboto" w:cs="Roboto"/>
          <w:sz w:val="20"/>
          <w:szCs w:val="20"/>
        </w:rPr>
        <w:t xml:space="preserve">la </w:t>
      </w:r>
      <w:r w:rsidRPr="003E71ED">
        <w:rPr>
          <w:rFonts w:ascii="Roboto" w:eastAsia="Roboto" w:hAnsi="Roboto" w:cs="Roboto"/>
          <w:sz w:val="20"/>
          <w:szCs w:val="20"/>
        </w:rPr>
        <w:t>formación universitaria con los requerimientos del entorno (</w:t>
      </w:r>
      <w:proofErr w:type="spellStart"/>
      <w:r w:rsidRPr="003E71ED">
        <w:rPr>
          <w:rFonts w:ascii="Roboto" w:eastAsia="Roboto" w:hAnsi="Roboto" w:cs="Roboto"/>
          <w:sz w:val="20"/>
          <w:szCs w:val="20"/>
        </w:rPr>
        <w:t>Tushar</w:t>
      </w:r>
      <w:proofErr w:type="spellEnd"/>
      <w:r w:rsidRPr="003E71ED">
        <w:rPr>
          <w:rFonts w:ascii="Roboto" w:eastAsia="Roboto" w:hAnsi="Roboto" w:cs="Roboto"/>
          <w:sz w:val="20"/>
          <w:szCs w:val="20"/>
        </w:rPr>
        <w:t xml:space="preserve"> y </w:t>
      </w:r>
      <w:proofErr w:type="spellStart"/>
      <w:r w:rsidRPr="003E71ED">
        <w:rPr>
          <w:rFonts w:ascii="Roboto" w:eastAsia="Roboto" w:hAnsi="Roboto" w:cs="Roboto"/>
          <w:sz w:val="20"/>
          <w:szCs w:val="20"/>
        </w:rPr>
        <w:t>Sooraksa</w:t>
      </w:r>
      <w:proofErr w:type="spellEnd"/>
      <w:r w:rsidRPr="003E71ED">
        <w:rPr>
          <w:rFonts w:ascii="Roboto" w:eastAsia="Roboto" w:hAnsi="Roboto" w:cs="Roboto"/>
          <w:sz w:val="20"/>
          <w:szCs w:val="20"/>
        </w:rPr>
        <w:t xml:space="preserve"> 2023; Cheng et al, 2022; Orellana y Cuneo, 2019; Benites y Chica, 2017).  Bajo estas premisas, la investigación buscó contrastar tres planos complementarios: la autopercepción de suficiencia en habilidades gerenciales de los egresados, las competencias solicitadas en vacantes, y la valoración de empleadores que contratan estos perfiles.</w:t>
      </w:r>
    </w:p>
    <w:p w14:paraId="7664A1D5" w14:textId="77777777" w:rsidR="003E71ED" w:rsidRPr="003E71ED" w:rsidRDefault="003E71ED" w:rsidP="003E71ED">
      <w:pPr>
        <w:jc w:val="both"/>
        <w:rPr>
          <w:rFonts w:ascii="Roboto" w:eastAsia="Roboto" w:hAnsi="Roboto" w:cs="Roboto"/>
          <w:b/>
          <w:bCs/>
          <w:sz w:val="20"/>
          <w:szCs w:val="20"/>
        </w:rPr>
      </w:pPr>
      <w:r w:rsidRPr="003E71ED">
        <w:rPr>
          <w:rFonts w:ascii="Roboto" w:eastAsia="Roboto" w:hAnsi="Roboto" w:cs="Roboto"/>
          <w:b/>
          <w:bCs/>
          <w:sz w:val="20"/>
          <w:szCs w:val="20"/>
        </w:rPr>
        <w:t>Método</w:t>
      </w:r>
    </w:p>
    <w:p w14:paraId="0DA15002" w14:textId="77777777" w:rsidR="003E71ED" w:rsidRPr="003E71ED" w:rsidRDefault="003E71ED" w:rsidP="003E71ED">
      <w:pPr>
        <w:jc w:val="both"/>
        <w:rPr>
          <w:rFonts w:ascii="Roboto" w:eastAsia="Roboto" w:hAnsi="Roboto" w:cs="Roboto"/>
          <w:sz w:val="20"/>
          <w:szCs w:val="20"/>
        </w:rPr>
      </w:pPr>
      <w:r w:rsidRPr="003E71ED">
        <w:rPr>
          <w:rFonts w:ascii="Roboto" w:eastAsia="Roboto" w:hAnsi="Roboto" w:cs="Roboto"/>
          <w:sz w:val="20"/>
          <w:szCs w:val="20"/>
        </w:rPr>
        <w:t>El primer componente correspondió a un estudio mixto, descriptivo y transversal con 76 egresados pertenecientes a las generaciones 2023, 2024 y 2025, todos con empleo de tiempo completo. El cuestionario mostró consistencia interna adecuada (alfa de Cronbach = 0.926) y validez para análisis factorial (KMO = 0.871; Bartlett p &lt; .001). El segundo componente analizó 183 vacantes y ofertas de prácticas para este tipo de perfiles y que fueron recibidas por la universidad entre 2024 y 2025, con codificación dicotómica de competencias técnicas, humanas y conceptuales. El tercer componente recuperó la opinión de empleadores del entorno empresarial de Yucatán respecto de competencias actuales, tendencias y expectativas de incorporación laboral para los perfiles de egreso en estudio.</w:t>
      </w:r>
    </w:p>
    <w:p w14:paraId="0087184C" w14:textId="77777777" w:rsidR="003E71ED" w:rsidRPr="003E71ED" w:rsidRDefault="003E71ED" w:rsidP="003E71ED">
      <w:pPr>
        <w:jc w:val="both"/>
        <w:rPr>
          <w:rFonts w:ascii="Roboto" w:eastAsia="Roboto" w:hAnsi="Roboto" w:cs="Roboto"/>
          <w:sz w:val="20"/>
          <w:szCs w:val="20"/>
        </w:rPr>
      </w:pPr>
      <w:r w:rsidRPr="003E71ED">
        <w:rPr>
          <w:rFonts w:ascii="Roboto" w:eastAsia="Roboto" w:hAnsi="Roboto" w:cs="Roboto"/>
          <w:sz w:val="20"/>
          <w:szCs w:val="20"/>
        </w:rPr>
        <w:t>Los hallazgos sugieren que la universidad no debe responder a las demandas del mercado reforzando únicamente las llamadas habilidades blandas. Si bien las competencias humanas facilitan la inserción inicial, la sostenibilidad de la empleabilidad requiere también fortalecer lo técnico, lo conceptual y lo digital; además, demanda apoyos institucionales que conecten formación, transición e inserción laboral (Carrizosa Prieto, 2019; Orellana y Cuneo, 2019; Barrios et al., 2019). En esa lógica, la evidencia revisada coincide en que la empleabilidad es tanto una capacidad individual como una construcción relacional e institucional, modulada por el contexto del mercado de trabajo (</w:t>
      </w:r>
      <w:proofErr w:type="spellStart"/>
      <w:r w:rsidRPr="003E71ED">
        <w:rPr>
          <w:rFonts w:ascii="Roboto" w:eastAsia="Roboto" w:hAnsi="Roboto" w:cs="Roboto"/>
          <w:sz w:val="20"/>
          <w:szCs w:val="20"/>
        </w:rPr>
        <w:t>Hillage</w:t>
      </w:r>
      <w:proofErr w:type="spellEnd"/>
      <w:r w:rsidRPr="003E71ED">
        <w:rPr>
          <w:rFonts w:ascii="Roboto" w:eastAsia="Roboto" w:hAnsi="Roboto" w:cs="Roboto"/>
          <w:sz w:val="20"/>
          <w:szCs w:val="20"/>
        </w:rPr>
        <w:t xml:space="preserve"> &amp; </w:t>
      </w:r>
      <w:proofErr w:type="spellStart"/>
      <w:r w:rsidRPr="003E71ED">
        <w:rPr>
          <w:rFonts w:ascii="Roboto" w:eastAsia="Roboto" w:hAnsi="Roboto" w:cs="Roboto"/>
          <w:sz w:val="20"/>
          <w:szCs w:val="20"/>
        </w:rPr>
        <w:t>Pollard</w:t>
      </w:r>
      <w:proofErr w:type="spellEnd"/>
      <w:r w:rsidRPr="003E71ED">
        <w:rPr>
          <w:rFonts w:ascii="Roboto" w:eastAsia="Roboto" w:hAnsi="Roboto" w:cs="Roboto"/>
          <w:sz w:val="20"/>
          <w:szCs w:val="20"/>
        </w:rPr>
        <w:t>, 1998; Paredes y Ortiz, 2019).</w:t>
      </w:r>
    </w:p>
    <w:p w14:paraId="59BBDE98" w14:textId="5AD225F2" w:rsidR="003E71ED" w:rsidRPr="003E71ED" w:rsidRDefault="003E71ED" w:rsidP="003E71ED">
      <w:pPr>
        <w:jc w:val="both"/>
        <w:rPr>
          <w:rFonts w:ascii="Roboto" w:eastAsia="Roboto" w:hAnsi="Roboto" w:cs="Roboto"/>
          <w:sz w:val="20"/>
          <w:szCs w:val="20"/>
        </w:rPr>
      </w:pPr>
      <w:r w:rsidRPr="003E71ED">
        <w:rPr>
          <w:rFonts w:ascii="Roboto" w:eastAsia="Roboto" w:hAnsi="Roboto" w:cs="Roboto"/>
          <w:sz w:val="20"/>
          <w:szCs w:val="20"/>
        </w:rPr>
        <w:t xml:space="preserve">A su vez, la evidencia integrada muestra, en primer término, una alta percepción de suficiencia en el factor humano-conceptual por parte de los egresados, lo que sugiere fortalezas en trabajo en equipo, interacción interpersonal y comprensión integral de situaciones organizacionales. Sin embargo, la suficiencia percibida disminuye en habilidades de tecnología aplicada y en ciertas capacidades técnico-operativas, especialmente en algunos subgrupos disciplinares entre egresados. En segundo término, la revisión de vacantes revela que las competencias humanas concentran la mayor cantidad de menciones, por encima de las técnicas y de las </w:t>
      </w:r>
      <w:r w:rsidRPr="003E71ED">
        <w:rPr>
          <w:rFonts w:ascii="Roboto" w:eastAsia="Roboto" w:hAnsi="Roboto" w:cs="Roboto"/>
          <w:sz w:val="20"/>
          <w:szCs w:val="20"/>
        </w:rPr>
        <w:lastRenderedPageBreak/>
        <w:t>conceptuales, lo que indica que el mercado de entrada premia la interacción, la confiabilidad, el orden y la capacidad de ejecución inmediata. En tercer término, los empleadores valoran fuertemente la comunicación, la ética, el trabajo en equipo, la orientación a resultados y el pensamiento analítico; además, identifican como áreas críticas la suficiencia digital, el uso ético de los datos y el manejo progresivo de inteligencia artificial. Asimismo, anticipan que, a cinco años, la transformación de las habilidades digitales, humanas y conceptuales será más intensa</w:t>
      </w:r>
      <w:r w:rsidR="00363FEE">
        <w:rPr>
          <w:rFonts w:ascii="Roboto" w:eastAsia="Roboto" w:hAnsi="Roboto" w:cs="Roboto"/>
          <w:sz w:val="20"/>
          <w:szCs w:val="20"/>
        </w:rPr>
        <w:t xml:space="preserve"> y requerida.</w:t>
      </w:r>
    </w:p>
    <w:p w14:paraId="175755E6" w14:textId="77777777" w:rsidR="003E71ED" w:rsidRPr="002364C0" w:rsidRDefault="003E71ED" w:rsidP="003E71ED">
      <w:pPr>
        <w:jc w:val="both"/>
        <w:rPr>
          <w:rFonts w:ascii="Roboto" w:eastAsia="Roboto" w:hAnsi="Roboto" w:cs="Roboto"/>
          <w:b/>
          <w:bCs/>
          <w:sz w:val="20"/>
          <w:szCs w:val="20"/>
        </w:rPr>
      </w:pPr>
      <w:r w:rsidRPr="002364C0">
        <w:rPr>
          <w:rFonts w:ascii="Roboto" w:eastAsia="Roboto" w:hAnsi="Roboto" w:cs="Roboto"/>
          <w:b/>
          <w:bCs/>
          <w:sz w:val="20"/>
          <w:szCs w:val="20"/>
        </w:rPr>
        <w:t>Discusión e implicaciones</w:t>
      </w:r>
    </w:p>
    <w:p w14:paraId="0C870DFB" w14:textId="77777777" w:rsidR="003E71ED" w:rsidRPr="003E71ED" w:rsidRDefault="003E71ED" w:rsidP="003E71ED">
      <w:pPr>
        <w:jc w:val="both"/>
        <w:rPr>
          <w:rFonts w:ascii="Roboto" w:eastAsia="Roboto" w:hAnsi="Roboto" w:cs="Roboto"/>
          <w:sz w:val="20"/>
          <w:szCs w:val="20"/>
        </w:rPr>
      </w:pPr>
      <w:r w:rsidRPr="003E71ED">
        <w:rPr>
          <w:rFonts w:ascii="Roboto" w:eastAsia="Roboto" w:hAnsi="Roboto" w:cs="Roboto"/>
          <w:sz w:val="20"/>
          <w:szCs w:val="20"/>
        </w:rPr>
        <w:t xml:space="preserve">Los hallazgos sugieren que la universidad no debe responder a las demandas del mercado reforzando únicamente las llamadas habilidades blandas. Si bien las competencias humanas facilitan la inserción inicial, la sostenibilidad de la empleabilidad requiere también fortalecer lo técnico, lo conceptual y lo digital. En consecuencia, se identifican cuatro líneas de acción: a) fortalecer transversalmente las habilidades digitales aplicadas al campo empresarial, incluyendo análisis de información, ética de datos y fundamentos de inteligencia artificial; b) rediseñar espacios formativos con metodologías activas y prácticas situadas que integren habilidades humanas, conceptuales y técnico-operativas; c) ofrecer rutas de actualización para egresados mediante formación formal, </w:t>
      </w:r>
      <w:proofErr w:type="spellStart"/>
      <w:r w:rsidRPr="003E71ED">
        <w:rPr>
          <w:rFonts w:ascii="Roboto" w:eastAsia="Roboto" w:hAnsi="Roboto" w:cs="Roboto"/>
          <w:sz w:val="20"/>
          <w:szCs w:val="20"/>
        </w:rPr>
        <w:t>microcredenciales</w:t>
      </w:r>
      <w:proofErr w:type="spellEnd"/>
      <w:r w:rsidRPr="003E71ED">
        <w:rPr>
          <w:rFonts w:ascii="Roboto" w:eastAsia="Roboto" w:hAnsi="Roboto" w:cs="Roboto"/>
          <w:sz w:val="20"/>
          <w:szCs w:val="20"/>
        </w:rPr>
        <w:t xml:space="preserve"> y acompañamiento presencial o híbrido; y d) institucionalizar un sistema de inteligencia de empleabilidad que articule seguimiento de egresados, análisis de vacantes, consulta a empleadores y retroalimentación curricular periódica.</w:t>
      </w:r>
    </w:p>
    <w:p w14:paraId="34301D37" w14:textId="77777777" w:rsidR="003E71ED" w:rsidRPr="003E71ED" w:rsidRDefault="003E71ED" w:rsidP="003E71ED">
      <w:pPr>
        <w:jc w:val="both"/>
        <w:rPr>
          <w:rFonts w:ascii="Roboto" w:eastAsia="Roboto" w:hAnsi="Roboto" w:cs="Roboto"/>
          <w:sz w:val="20"/>
          <w:szCs w:val="20"/>
        </w:rPr>
      </w:pPr>
    </w:p>
    <w:tbl>
      <w:tblPr>
        <w:tblStyle w:val="Tablaconcuadrcula"/>
        <w:tblW w:w="0" w:type="auto"/>
        <w:jc w:val="center"/>
        <w:tblLook w:val="04A0" w:firstRow="1" w:lastRow="0" w:firstColumn="1" w:lastColumn="0" w:noHBand="0" w:noVBand="1"/>
      </w:tblPr>
      <w:tblGrid>
        <w:gridCol w:w="1030"/>
        <w:gridCol w:w="1864"/>
        <w:gridCol w:w="1838"/>
      </w:tblGrid>
      <w:tr w:rsidR="003E71ED" w:rsidRPr="006224CD" w14:paraId="4C5FDDEA" w14:textId="77777777" w:rsidTr="00FB404E">
        <w:trPr>
          <w:tblHeader/>
          <w:jc w:val="center"/>
        </w:trPr>
        <w:tc>
          <w:tcPr>
            <w:tcW w:w="999" w:type="dxa"/>
            <w:shd w:val="clear" w:color="auto" w:fill="E3EEF8"/>
            <w:tcMar>
              <w:top w:w="90" w:type="dxa"/>
              <w:left w:w="90" w:type="dxa"/>
              <w:bottom w:w="90" w:type="dxa"/>
              <w:right w:w="90" w:type="dxa"/>
            </w:tcMar>
            <w:vAlign w:val="center"/>
          </w:tcPr>
          <w:p w14:paraId="5673D550" w14:textId="77777777" w:rsidR="003E71ED" w:rsidRPr="002364C0" w:rsidRDefault="003E71ED" w:rsidP="00FB404E">
            <w:pPr>
              <w:spacing w:line="252" w:lineRule="auto"/>
              <w:jc w:val="center"/>
              <w:rPr>
                <w:rFonts w:cs="Times New Roman"/>
                <w:sz w:val="16"/>
                <w:szCs w:val="16"/>
              </w:rPr>
            </w:pPr>
            <w:proofErr w:type="spellStart"/>
            <w:r w:rsidRPr="002364C0">
              <w:rPr>
                <w:rFonts w:cs="Times New Roman"/>
                <w:b/>
                <w:sz w:val="16"/>
                <w:szCs w:val="16"/>
              </w:rPr>
              <w:t>Evidencia</w:t>
            </w:r>
            <w:proofErr w:type="spellEnd"/>
          </w:p>
        </w:tc>
        <w:tc>
          <w:tcPr>
            <w:tcW w:w="2068" w:type="dxa"/>
            <w:shd w:val="clear" w:color="auto" w:fill="E3EEF8"/>
            <w:tcMar>
              <w:top w:w="90" w:type="dxa"/>
              <w:left w:w="90" w:type="dxa"/>
              <w:bottom w:w="90" w:type="dxa"/>
              <w:right w:w="90" w:type="dxa"/>
            </w:tcMar>
            <w:vAlign w:val="center"/>
          </w:tcPr>
          <w:p w14:paraId="34CB4F6E" w14:textId="77777777" w:rsidR="003E71ED" w:rsidRPr="002364C0" w:rsidRDefault="003E71ED" w:rsidP="00FB404E">
            <w:pPr>
              <w:spacing w:line="252" w:lineRule="auto"/>
              <w:jc w:val="center"/>
              <w:rPr>
                <w:rFonts w:cs="Times New Roman"/>
                <w:sz w:val="16"/>
                <w:szCs w:val="16"/>
              </w:rPr>
            </w:pPr>
            <w:proofErr w:type="spellStart"/>
            <w:r w:rsidRPr="002364C0">
              <w:rPr>
                <w:rFonts w:cs="Times New Roman"/>
                <w:b/>
                <w:sz w:val="16"/>
                <w:szCs w:val="16"/>
              </w:rPr>
              <w:t>Hallazgo</w:t>
            </w:r>
            <w:proofErr w:type="spellEnd"/>
            <w:r w:rsidRPr="002364C0">
              <w:rPr>
                <w:rFonts w:cs="Times New Roman"/>
                <w:b/>
                <w:sz w:val="16"/>
                <w:szCs w:val="16"/>
              </w:rPr>
              <w:t xml:space="preserve"> central</w:t>
            </w:r>
          </w:p>
        </w:tc>
        <w:tc>
          <w:tcPr>
            <w:tcW w:w="2033" w:type="dxa"/>
            <w:shd w:val="clear" w:color="auto" w:fill="E3EEF8"/>
            <w:tcMar>
              <w:top w:w="90" w:type="dxa"/>
              <w:left w:w="90" w:type="dxa"/>
              <w:bottom w:w="90" w:type="dxa"/>
              <w:right w:w="90" w:type="dxa"/>
            </w:tcMar>
            <w:vAlign w:val="center"/>
          </w:tcPr>
          <w:p w14:paraId="76B301FA" w14:textId="77777777" w:rsidR="003E71ED" w:rsidRPr="002364C0" w:rsidRDefault="003E71ED" w:rsidP="00FB404E">
            <w:pPr>
              <w:spacing w:line="252" w:lineRule="auto"/>
              <w:jc w:val="center"/>
              <w:rPr>
                <w:rFonts w:cs="Times New Roman"/>
                <w:sz w:val="16"/>
                <w:szCs w:val="16"/>
              </w:rPr>
            </w:pPr>
            <w:proofErr w:type="spellStart"/>
            <w:r w:rsidRPr="002364C0">
              <w:rPr>
                <w:rFonts w:cs="Times New Roman"/>
                <w:b/>
                <w:sz w:val="16"/>
                <w:szCs w:val="16"/>
              </w:rPr>
              <w:t>Implicación</w:t>
            </w:r>
            <w:proofErr w:type="spellEnd"/>
            <w:r w:rsidRPr="002364C0">
              <w:rPr>
                <w:rFonts w:cs="Times New Roman"/>
                <w:b/>
                <w:sz w:val="16"/>
                <w:szCs w:val="16"/>
              </w:rPr>
              <w:t xml:space="preserve"> para la </w:t>
            </w:r>
            <w:proofErr w:type="spellStart"/>
            <w:r w:rsidRPr="002364C0">
              <w:rPr>
                <w:rFonts w:cs="Times New Roman"/>
                <w:b/>
                <w:sz w:val="16"/>
                <w:szCs w:val="16"/>
              </w:rPr>
              <w:t>empleabilidad</w:t>
            </w:r>
            <w:proofErr w:type="spellEnd"/>
          </w:p>
        </w:tc>
      </w:tr>
      <w:tr w:rsidR="003E71ED" w:rsidRPr="006224CD" w14:paraId="0ADA2E83" w14:textId="77777777" w:rsidTr="00FB404E">
        <w:trPr>
          <w:trHeight w:val="455"/>
          <w:jc w:val="center"/>
        </w:trPr>
        <w:tc>
          <w:tcPr>
            <w:tcW w:w="999" w:type="dxa"/>
            <w:shd w:val="clear" w:color="auto" w:fill="F7FBFE"/>
            <w:tcMar>
              <w:top w:w="90" w:type="dxa"/>
              <w:left w:w="90" w:type="dxa"/>
              <w:bottom w:w="90" w:type="dxa"/>
              <w:right w:w="90" w:type="dxa"/>
            </w:tcMar>
            <w:vAlign w:val="center"/>
          </w:tcPr>
          <w:p w14:paraId="14D12ADC" w14:textId="77777777" w:rsidR="003E71ED" w:rsidRPr="002364C0" w:rsidRDefault="003E71ED" w:rsidP="00FB404E">
            <w:pPr>
              <w:spacing w:line="252" w:lineRule="auto"/>
              <w:rPr>
                <w:rFonts w:cs="Times New Roman"/>
                <w:sz w:val="16"/>
                <w:szCs w:val="16"/>
              </w:rPr>
            </w:pPr>
            <w:r w:rsidRPr="002364C0">
              <w:rPr>
                <w:rFonts w:cs="Times New Roman"/>
                <w:sz w:val="16"/>
                <w:szCs w:val="16"/>
              </w:rPr>
              <w:t>Egresados</w:t>
            </w:r>
          </w:p>
        </w:tc>
        <w:tc>
          <w:tcPr>
            <w:tcW w:w="2068" w:type="dxa"/>
            <w:shd w:val="clear" w:color="auto" w:fill="F7FBFE"/>
            <w:tcMar>
              <w:top w:w="90" w:type="dxa"/>
              <w:left w:w="90" w:type="dxa"/>
              <w:bottom w:w="90" w:type="dxa"/>
              <w:right w:w="90" w:type="dxa"/>
            </w:tcMar>
            <w:vAlign w:val="center"/>
          </w:tcPr>
          <w:p w14:paraId="3765ED06" w14:textId="77777777" w:rsidR="003E71ED" w:rsidRPr="002364C0" w:rsidRDefault="003E71ED" w:rsidP="00FB404E">
            <w:pPr>
              <w:spacing w:line="252" w:lineRule="auto"/>
              <w:rPr>
                <w:rFonts w:cs="Times New Roman"/>
                <w:sz w:val="16"/>
                <w:szCs w:val="16"/>
                <w:lang w:val="es-MX"/>
              </w:rPr>
            </w:pPr>
            <w:r w:rsidRPr="002364C0">
              <w:rPr>
                <w:rFonts w:cs="Times New Roman"/>
                <w:sz w:val="16"/>
                <w:szCs w:val="16"/>
                <w:lang w:val="es-MX"/>
              </w:rPr>
              <w:t>Mayor suficiencia en habilidades humanas y conceptuales; menor suficiencia en tecnología aplicada.</w:t>
            </w:r>
          </w:p>
        </w:tc>
        <w:tc>
          <w:tcPr>
            <w:tcW w:w="2033" w:type="dxa"/>
            <w:shd w:val="clear" w:color="auto" w:fill="F7FBFE"/>
            <w:tcMar>
              <w:top w:w="90" w:type="dxa"/>
              <w:left w:w="90" w:type="dxa"/>
              <w:bottom w:w="90" w:type="dxa"/>
              <w:right w:w="90" w:type="dxa"/>
            </w:tcMar>
            <w:vAlign w:val="center"/>
          </w:tcPr>
          <w:p w14:paraId="5C42D45F" w14:textId="77777777" w:rsidR="003E71ED" w:rsidRPr="002364C0" w:rsidRDefault="003E71ED" w:rsidP="00FB404E">
            <w:pPr>
              <w:spacing w:line="252" w:lineRule="auto"/>
              <w:rPr>
                <w:rFonts w:cs="Times New Roman"/>
                <w:sz w:val="16"/>
                <w:szCs w:val="16"/>
                <w:lang w:val="es-MX"/>
              </w:rPr>
            </w:pPr>
            <w:r w:rsidRPr="002364C0">
              <w:rPr>
                <w:rFonts w:cs="Times New Roman"/>
                <w:sz w:val="16"/>
                <w:szCs w:val="16"/>
                <w:lang w:val="es-MX"/>
              </w:rPr>
              <w:t>La inserción inicial puede sostenerse con fortalezas relacionales, pero la progresión laboral exige reforzar lo digital y lo técnico.</w:t>
            </w:r>
          </w:p>
        </w:tc>
      </w:tr>
      <w:tr w:rsidR="003E71ED" w:rsidRPr="006224CD" w14:paraId="1C46162E" w14:textId="77777777" w:rsidTr="00FB404E">
        <w:trPr>
          <w:trHeight w:val="181"/>
          <w:jc w:val="center"/>
        </w:trPr>
        <w:tc>
          <w:tcPr>
            <w:tcW w:w="999" w:type="dxa"/>
            <w:shd w:val="clear" w:color="auto" w:fill="F7FBFE"/>
            <w:tcMar>
              <w:top w:w="90" w:type="dxa"/>
              <w:left w:w="90" w:type="dxa"/>
              <w:bottom w:w="90" w:type="dxa"/>
              <w:right w:w="90" w:type="dxa"/>
            </w:tcMar>
            <w:vAlign w:val="center"/>
          </w:tcPr>
          <w:p w14:paraId="6F36FD93" w14:textId="77777777" w:rsidR="003E71ED" w:rsidRPr="002364C0" w:rsidRDefault="003E71ED" w:rsidP="00FB404E">
            <w:pPr>
              <w:spacing w:line="252" w:lineRule="auto"/>
              <w:rPr>
                <w:rFonts w:cs="Times New Roman"/>
                <w:sz w:val="16"/>
                <w:szCs w:val="16"/>
              </w:rPr>
            </w:pPr>
            <w:proofErr w:type="spellStart"/>
            <w:r w:rsidRPr="002364C0">
              <w:rPr>
                <w:rFonts w:cs="Times New Roman"/>
                <w:sz w:val="16"/>
                <w:szCs w:val="16"/>
              </w:rPr>
              <w:t>Análisis</w:t>
            </w:r>
            <w:proofErr w:type="spellEnd"/>
            <w:r w:rsidRPr="002364C0">
              <w:rPr>
                <w:rFonts w:cs="Times New Roman"/>
                <w:sz w:val="16"/>
                <w:szCs w:val="16"/>
              </w:rPr>
              <w:t xml:space="preserve"> de </w:t>
            </w:r>
            <w:proofErr w:type="spellStart"/>
            <w:r w:rsidRPr="002364C0">
              <w:rPr>
                <w:rFonts w:cs="Times New Roman"/>
                <w:sz w:val="16"/>
                <w:szCs w:val="16"/>
              </w:rPr>
              <w:t>Vacantes</w:t>
            </w:r>
            <w:proofErr w:type="spellEnd"/>
          </w:p>
        </w:tc>
        <w:tc>
          <w:tcPr>
            <w:tcW w:w="2068" w:type="dxa"/>
            <w:shd w:val="clear" w:color="auto" w:fill="F7FBFE"/>
            <w:tcMar>
              <w:top w:w="90" w:type="dxa"/>
              <w:left w:w="90" w:type="dxa"/>
              <w:bottom w:w="90" w:type="dxa"/>
              <w:right w:w="90" w:type="dxa"/>
            </w:tcMar>
            <w:vAlign w:val="center"/>
          </w:tcPr>
          <w:p w14:paraId="2BAAF421" w14:textId="77777777" w:rsidR="003E71ED" w:rsidRPr="002364C0" w:rsidRDefault="003E71ED" w:rsidP="00FB404E">
            <w:pPr>
              <w:spacing w:line="252" w:lineRule="auto"/>
              <w:rPr>
                <w:rFonts w:cs="Times New Roman"/>
                <w:sz w:val="16"/>
                <w:szCs w:val="16"/>
                <w:lang w:val="es-MX"/>
              </w:rPr>
            </w:pPr>
            <w:r w:rsidRPr="002364C0">
              <w:rPr>
                <w:rFonts w:cs="Times New Roman"/>
                <w:sz w:val="16"/>
                <w:szCs w:val="16"/>
                <w:lang w:val="es-MX"/>
              </w:rPr>
              <w:t>Predominio de competencias humanas por encima de técnicas y conceptuales.</w:t>
            </w:r>
          </w:p>
        </w:tc>
        <w:tc>
          <w:tcPr>
            <w:tcW w:w="2033" w:type="dxa"/>
            <w:shd w:val="clear" w:color="auto" w:fill="F7FBFE"/>
            <w:tcMar>
              <w:top w:w="90" w:type="dxa"/>
              <w:left w:w="90" w:type="dxa"/>
              <w:bottom w:w="90" w:type="dxa"/>
              <w:right w:w="90" w:type="dxa"/>
            </w:tcMar>
            <w:vAlign w:val="center"/>
          </w:tcPr>
          <w:p w14:paraId="5864560D" w14:textId="77777777" w:rsidR="003E71ED" w:rsidRPr="002364C0" w:rsidRDefault="003E71ED" w:rsidP="00FB404E">
            <w:pPr>
              <w:spacing w:line="252" w:lineRule="auto"/>
              <w:rPr>
                <w:rFonts w:cs="Times New Roman"/>
                <w:sz w:val="16"/>
                <w:szCs w:val="16"/>
                <w:lang w:val="es-MX"/>
              </w:rPr>
            </w:pPr>
            <w:r w:rsidRPr="002364C0">
              <w:rPr>
                <w:rFonts w:cs="Times New Roman"/>
                <w:sz w:val="16"/>
                <w:szCs w:val="16"/>
                <w:lang w:val="es-MX"/>
              </w:rPr>
              <w:t>El mercado de entrada premia interacción, orden y ejecución inmediata.</w:t>
            </w:r>
          </w:p>
        </w:tc>
      </w:tr>
      <w:tr w:rsidR="003E71ED" w:rsidRPr="006224CD" w14:paraId="01254475" w14:textId="77777777" w:rsidTr="00FB404E">
        <w:trPr>
          <w:jc w:val="center"/>
        </w:trPr>
        <w:tc>
          <w:tcPr>
            <w:tcW w:w="999" w:type="dxa"/>
            <w:tcMar>
              <w:top w:w="90" w:type="dxa"/>
              <w:left w:w="90" w:type="dxa"/>
              <w:bottom w:w="90" w:type="dxa"/>
              <w:right w:w="90" w:type="dxa"/>
            </w:tcMar>
            <w:vAlign w:val="center"/>
          </w:tcPr>
          <w:p w14:paraId="47CD93F0" w14:textId="77777777" w:rsidR="003E71ED" w:rsidRPr="002364C0" w:rsidRDefault="003E71ED" w:rsidP="00FB404E">
            <w:pPr>
              <w:spacing w:line="252" w:lineRule="auto"/>
              <w:rPr>
                <w:rFonts w:cs="Times New Roman"/>
                <w:sz w:val="16"/>
                <w:szCs w:val="16"/>
              </w:rPr>
            </w:pPr>
            <w:proofErr w:type="spellStart"/>
            <w:r w:rsidRPr="002364C0">
              <w:rPr>
                <w:rFonts w:cs="Times New Roman"/>
                <w:sz w:val="16"/>
                <w:szCs w:val="16"/>
              </w:rPr>
              <w:t>Empleadores</w:t>
            </w:r>
            <w:proofErr w:type="spellEnd"/>
          </w:p>
        </w:tc>
        <w:tc>
          <w:tcPr>
            <w:tcW w:w="2068" w:type="dxa"/>
            <w:tcMar>
              <w:top w:w="90" w:type="dxa"/>
              <w:left w:w="90" w:type="dxa"/>
              <w:bottom w:w="90" w:type="dxa"/>
              <w:right w:w="90" w:type="dxa"/>
            </w:tcMar>
            <w:vAlign w:val="center"/>
          </w:tcPr>
          <w:p w14:paraId="34B144FD" w14:textId="77777777" w:rsidR="003E71ED" w:rsidRPr="002364C0" w:rsidRDefault="003E71ED" w:rsidP="00FB404E">
            <w:pPr>
              <w:spacing w:line="252" w:lineRule="auto"/>
              <w:rPr>
                <w:rFonts w:cs="Times New Roman"/>
                <w:sz w:val="16"/>
                <w:szCs w:val="16"/>
                <w:lang w:val="es-MX"/>
              </w:rPr>
            </w:pPr>
            <w:r w:rsidRPr="002364C0">
              <w:rPr>
                <w:rFonts w:cs="Times New Roman"/>
                <w:sz w:val="16"/>
                <w:szCs w:val="16"/>
                <w:lang w:val="es-MX"/>
              </w:rPr>
              <w:t>Valoran comunicación, ética, trabajo en equipo, pensamiento analítico y ética de datos.</w:t>
            </w:r>
          </w:p>
        </w:tc>
        <w:tc>
          <w:tcPr>
            <w:tcW w:w="2033" w:type="dxa"/>
            <w:tcMar>
              <w:top w:w="90" w:type="dxa"/>
              <w:left w:w="90" w:type="dxa"/>
              <w:bottom w:w="90" w:type="dxa"/>
              <w:right w:w="90" w:type="dxa"/>
            </w:tcMar>
            <w:vAlign w:val="center"/>
          </w:tcPr>
          <w:p w14:paraId="0FB07FD8" w14:textId="77777777" w:rsidR="003E71ED" w:rsidRPr="002364C0" w:rsidRDefault="003E71ED" w:rsidP="00FB404E">
            <w:pPr>
              <w:spacing w:line="252" w:lineRule="auto"/>
              <w:rPr>
                <w:rFonts w:cs="Times New Roman"/>
                <w:sz w:val="16"/>
                <w:szCs w:val="16"/>
                <w:lang w:val="es-MX"/>
              </w:rPr>
            </w:pPr>
            <w:r w:rsidRPr="002364C0">
              <w:rPr>
                <w:rFonts w:cs="Times New Roman"/>
                <w:sz w:val="16"/>
                <w:szCs w:val="16"/>
                <w:lang w:val="es-MX"/>
              </w:rPr>
              <w:t>Se requiere un perfil equilibrado entre lo humano, lo analítico y lo digital.</w:t>
            </w:r>
          </w:p>
        </w:tc>
      </w:tr>
    </w:tbl>
    <w:p w14:paraId="3F0D390B" w14:textId="3BD2A68D" w:rsidR="003E71ED" w:rsidRPr="003E71ED" w:rsidRDefault="003E71ED" w:rsidP="003E71ED">
      <w:pPr>
        <w:jc w:val="both"/>
        <w:rPr>
          <w:rFonts w:ascii="Roboto" w:eastAsia="Roboto" w:hAnsi="Roboto" w:cs="Roboto"/>
          <w:sz w:val="16"/>
          <w:szCs w:val="16"/>
        </w:rPr>
      </w:pPr>
      <w:r w:rsidRPr="003E71ED">
        <w:rPr>
          <w:rFonts w:ascii="Roboto" w:eastAsia="Roboto" w:hAnsi="Roboto" w:cs="Roboto"/>
          <w:sz w:val="16"/>
          <w:szCs w:val="16"/>
        </w:rPr>
        <w:t>Tabla 1. Síntesis resultados integrados e implicaciones.</w:t>
      </w:r>
    </w:p>
    <w:p w14:paraId="469CB7F6" w14:textId="77777777" w:rsidR="003E71ED" w:rsidRDefault="003E71ED" w:rsidP="003E71ED">
      <w:pPr>
        <w:jc w:val="both"/>
        <w:rPr>
          <w:rFonts w:ascii="Roboto" w:eastAsia="Roboto" w:hAnsi="Roboto" w:cs="Roboto"/>
          <w:b/>
          <w:bCs/>
          <w:sz w:val="20"/>
          <w:szCs w:val="20"/>
        </w:rPr>
      </w:pPr>
    </w:p>
    <w:p w14:paraId="7952320F" w14:textId="47273803" w:rsidR="003E71ED" w:rsidRPr="003E71ED" w:rsidRDefault="003E71ED" w:rsidP="003E71ED">
      <w:pPr>
        <w:jc w:val="both"/>
        <w:rPr>
          <w:rFonts w:ascii="Roboto" w:eastAsia="Roboto" w:hAnsi="Roboto" w:cs="Roboto"/>
          <w:b/>
          <w:bCs/>
          <w:sz w:val="20"/>
          <w:szCs w:val="20"/>
        </w:rPr>
      </w:pPr>
      <w:r w:rsidRPr="003E71ED">
        <w:rPr>
          <w:rFonts w:ascii="Roboto" w:eastAsia="Roboto" w:hAnsi="Roboto" w:cs="Roboto"/>
          <w:b/>
          <w:bCs/>
          <w:sz w:val="20"/>
          <w:szCs w:val="20"/>
        </w:rPr>
        <w:t>Conclusiones</w:t>
      </w:r>
    </w:p>
    <w:p w14:paraId="61576C33" w14:textId="53714463" w:rsidR="003E71ED" w:rsidRPr="003E71ED" w:rsidRDefault="003E71ED" w:rsidP="003E71ED">
      <w:pPr>
        <w:jc w:val="both"/>
        <w:rPr>
          <w:rFonts w:ascii="Roboto" w:eastAsia="Roboto" w:hAnsi="Roboto" w:cs="Roboto"/>
          <w:sz w:val="20"/>
          <w:szCs w:val="20"/>
        </w:rPr>
      </w:pPr>
      <w:r w:rsidRPr="003E71ED">
        <w:rPr>
          <w:rFonts w:ascii="Roboto" w:eastAsia="Roboto" w:hAnsi="Roboto" w:cs="Roboto"/>
          <w:sz w:val="20"/>
          <w:szCs w:val="20"/>
        </w:rPr>
        <w:t>La empleabilidad de los egresados de c</w:t>
      </w:r>
      <w:r w:rsidR="00363FEE">
        <w:rPr>
          <w:rFonts w:ascii="Roboto" w:eastAsia="Roboto" w:hAnsi="Roboto" w:cs="Roboto"/>
          <w:sz w:val="20"/>
          <w:szCs w:val="20"/>
        </w:rPr>
        <w:t>arreras económico-administrativas</w:t>
      </w:r>
      <w:r w:rsidRPr="003E71ED">
        <w:rPr>
          <w:rFonts w:ascii="Roboto" w:eastAsia="Roboto" w:hAnsi="Roboto" w:cs="Roboto"/>
          <w:sz w:val="20"/>
          <w:szCs w:val="20"/>
        </w:rPr>
        <w:t xml:space="preserve"> se construye en la intersección entre habilidades gerenciales, competencias transversales y exigencias cambiantes del mercado laboral. En este marco, la investigación muestra que los egresados reconocen fortalezas principalmente en el plano humano-conceptual, pero </w:t>
      </w:r>
      <w:r w:rsidRPr="003E71ED">
        <w:rPr>
          <w:rFonts w:ascii="Roboto" w:eastAsia="Roboto" w:hAnsi="Roboto" w:cs="Roboto"/>
          <w:sz w:val="20"/>
          <w:szCs w:val="20"/>
        </w:rPr>
        <w:t xml:space="preserve">también evidencian brechas en tecnología aplicada y en capacidades técnico-operativas; de manera paralela, las vacantes analizadas privilegian </w:t>
      </w:r>
      <w:r w:rsidR="00FE5217">
        <w:rPr>
          <w:rFonts w:ascii="Roboto" w:eastAsia="Roboto" w:hAnsi="Roboto" w:cs="Roboto"/>
          <w:sz w:val="20"/>
          <w:szCs w:val="20"/>
        </w:rPr>
        <w:t xml:space="preserve">habilidades y </w:t>
      </w:r>
      <w:r w:rsidRPr="003E71ED">
        <w:rPr>
          <w:rFonts w:ascii="Roboto" w:eastAsia="Roboto" w:hAnsi="Roboto" w:cs="Roboto"/>
          <w:sz w:val="20"/>
          <w:szCs w:val="20"/>
        </w:rPr>
        <w:t>competencias</w:t>
      </w:r>
      <w:r w:rsidR="00FE5217">
        <w:rPr>
          <w:rFonts w:ascii="Roboto" w:eastAsia="Roboto" w:hAnsi="Roboto" w:cs="Roboto"/>
          <w:sz w:val="20"/>
          <w:szCs w:val="20"/>
        </w:rPr>
        <w:t xml:space="preserve"> de tipo </w:t>
      </w:r>
      <w:r w:rsidRPr="003E71ED">
        <w:rPr>
          <w:rFonts w:ascii="Roboto" w:eastAsia="Roboto" w:hAnsi="Roboto" w:cs="Roboto"/>
          <w:sz w:val="20"/>
          <w:szCs w:val="20"/>
        </w:rPr>
        <w:t xml:space="preserve">humanas, mientras que los empleadores demandan adicionalmente pensamiento analítico, ética, resiliencia y suficiencia digital. Estos hallazgos permiten sostener que las habilidades gerenciales explican una parte relevante de la empleabilidad, pero su efecto se potencia o limita según la presencia de competencias transversales y digitales, la mediación de los dispositivos institucionales de apoyo y las características concretas del mercado de trabajo. En consecuencia, la mejora de la empleabilidad no dependería únicamente de una respuesta curricular, sino de una estrategia institucional de formación integral, sustentada en la alineación y </w:t>
      </w:r>
      <w:r w:rsidR="00FE5217">
        <w:rPr>
          <w:rFonts w:ascii="Roboto" w:eastAsia="Roboto" w:hAnsi="Roboto" w:cs="Roboto"/>
          <w:sz w:val="20"/>
          <w:szCs w:val="20"/>
        </w:rPr>
        <w:t xml:space="preserve">el </w:t>
      </w:r>
      <w:r w:rsidRPr="003E71ED">
        <w:rPr>
          <w:rFonts w:ascii="Roboto" w:eastAsia="Roboto" w:hAnsi="Roboto" w:cs="Roboto"/>
          <w:sz w:val="20"/>
          <w:szCs w:val="20"/>
        </w:rPr>
        <w:t>monitoreo permanente con los empleadores</w:t>
      </w:r>
      <w:r w:rsidR="00FE5217">
        <w:rPr>
          <w:rFonts w:ascii="Roboto" w:eastAsia="Roboto" w:hAnsi="Roboto" w:cs="Roboto"/>
          <w:sz w:val="20"/>
          <w:szCs w:val="20"/>
        </w:rPr>
        <w:t xml:space="preserve"> de sus egresados</w:t>
      </w:r>
      <w:r w:rsidRPr="003E71ED">
        <w:rPr>
          <w:rFonts w:ascii="Roboto" w:eastAsia="Roboto" w:hAnsi="Roboto" w:cs="Roboto"/>
          <w:sz w:val="20"/>
          <w:szCs w:val="20"/>
        </w:rPr>
        <w:t>.</w:t>
      </w:r>
    </w:p>
    <w:p w14:paraId="71DEB904" w14:textId="77777777" w:rsidR="003E71ED" w:rsidRPr="003E71ED" w:rsidRDefault="003E71ED" w:rsidP="003E71ED">
      <w:pPr>
        <w:jc w:val="both"/>
        <w:rPr>
          <w:rFonts w:ascii="Roboto" w:eastAsia="Roboto" w:hAnsi="Roboto" w:cs="Roboto"/>
          <w:sz w:val="20"/>
          <w:szCs w:val="20"/>
        </w:rPr>
      </w:pPr>
    </w:p>
    <w:p w14:paraId="086CBC27" w14:textId="77777777" w:rsidR="003E71ED" w:rsidRPr="002364C0" w:rsidRDefault="003E71ED" w:rsidP="003E71ED">
      <w:pPr>
        <w:jc w:val="both"/>
        <w:rPr>
          <w:rFonts w:ascii="Roboto" w:eastAsia="Roboto" w:hAnsi="Roboto" w:cs="Roboto"/>
          <w:b/>
          <w:bCs/>
          <w:sz w:val="20"/>
          <w:szCs w:val="20"/>
        </w:rPr>
      </w:pPr>
      <w:r w:rsidRPr="002364C0">
        <w:rPr>
          <w:rFonts w:ascii="Roboto" w:eastAsia="Roboto" w:hAnsi="Roboto" w:cs="Roboto"/>
          <w:b/>
          <w:bCs/>
          <w:sz w:val="20"/>
          <w:szCs w:val="20"/>
        </w:rPr>
        <w:t>Referencias</w:t>
      </w:r>
    </w:p>
    <w:p w14:paraId="4E7AD4A5" w14:textId="77777777" w:rsidR="003E71ED" w:rsidRPr="003E71ED" w:rsidRDefault="003E71ED" w:rsidP="003E71ED">
      <w:pPr>
        <w:jc w:val="both"/>
        <w:rPr>
          <w:rFonts w:ascii="Roboto" w:eastAsia="Roboto" w:hAnsi="Roboto" w:cs="Roboto"/>
          <w:sz w:val="20"/>
          <w:szCs w:val="20"/>
        </w:rPr>
      </w:pPr>
      <w:r w:rsidRPr="003E71ED">
        <w:rPr>
          <w:rFonts w:ascii="Roboto" w:eastAsia="Roboto" w:hAnsi="Roboto" w:cs="Roboto"/>
          <w:sz w:val="20"/>
          <w:szCs w:val="20"/>
        </w:rPr>
        <w:t>Benites Cañizares, R., &amp; Chica Hidrobo, J. G. (2017). Graduación y empleabilidad: Percepción de los estudiantes sobre su educación universitaria en Administración de Empresas. Revista Científica Hallazgos21, 2(2), 108-119.</w:t>
      </w:r>
    </w:p>
    <w:p w14:paraId="593CABC9" w14:textId="77777777" w:rsidR="003E71ED" w:rsidRPr="003E71ED" w:rsidRDefault="003E71ED" w:rsidP="003E71ED">
      <w:pPr>
        <w:jc w:val="both"/>
        <w:rPr>
          <w:rFonts w:ascii="Roboto" w:eastAsia="Roboto" w:hAnsi="Roboto" w:cs="Roboto"/>
          <w:sz w:val="20"/>
          <w:szCs w:val="20"/>
        </w:rPr>
      </w:pPr>
      <w:r w:rsidRPr="003E71ED">
        <w:rPr>
          <w:rFonts w:ascii="Roboto" w:eastAsia="Roboto" w:hAnsi="Roboto" w:cs="Roboto"/>
          <w:sz w:val="20"/>
          <w:szCs w:val="20"/>
        </w:rPr>
        <w:t>Carrizosa Prieto, E. (2019). Las competencias transversales para la empleabilidad y su integración en la educación universitaria. Revista Internacional y Comparada de Relaciones Laborales y Derecho del Empleo, 7(1), 84-112.</w:t>
      </w:r>
    </w:p>
    <w:p w14:paraId="079722CD" w14:textId="77777777" w:rsidR="003E71ED" w:rsidRPr="003E71ED" w:rsidRDefault="003E71ED" w:rsidP="003E71ED">
      <w:pPr>
        <w:jc w:val="both"/>
        <w:rPr>
          <w:rFonts w:ascii="Roboto" w:eastAsia="Roboto" w:hAnsi="Roboto" w:cs="Roboto"/>
          <w:sz w:val="20"/>
          <w:szCs w:val="20"/>
          <w:lang w:val="en-US"/>
        </w:rPr>
      </w:pPr>
      <w:r w:rsidRPr="003E71ED">
        <w:rPr>
          <w:rFonts w:ascii="Roboto" w:eastAsia="Roboto" w:hAnsi="Roboto" w:cs="Roboto"/>
          <w:sz w:val="20"/>
          <w:szCs w:val="20"/>
          <w:lang w:val="en-US"/>
        </w:rPr>
        <w:t xml:space="preserve">Cheng, M., </w:t>
      </w:r>
      <w:proofErr w:type="spellStart"/>
      <w:r w:rsidRPr="003E71ED">
        <w:rPr>
          <w:rFonts w:ascii="Roboto" w:eastAsia="Roboto" w:hAnsi="Roboto" w:cs="Roboto"/>
          <w:sz w:val="20"/>
          <w:szCs w:val="20"/>
          <w:lang w:val="en-US"/>
        </w:rPr>
        <w:t>Adekola</w:t>
      </w:r>
      <w:proofErr w:type="spellEnd"/>
      <w:r w:rsidRPr="003E71ED">
        <w:rPr>
          <w:rFonts w:ascii="Roboto" w:eastAsia="Roboto" w:hAnsi="Roboto" w:cs="Roboto"/>
          <w:sz w:val="20"/>
          <w:szCs w:val="20"/>
          <w:lang w:val="en-US"/>
        </w:rPr>
        <w:t xml:space="preserve">, O., Albia, J., &amp; Cai, S. (2022). Employability in higher education: A review of key stakeholders’ perspectives. Higher Education Evaluation and Development, 16(1), 16–31. </w:t>
      </w:r>
    </w:p>
    <w:p w14:paraId="4C1ED1B6" w14:textId="77777777" w:rsidR="003E71ED" w:rsidRPr="003E71ED" w:rsidRDefault="003E71ED" w:rsidP="003E71ED">
      <w:pPr>
        <w:jc w:val="both"/>
        <w:rPr>
          <w:rFonts w:ascii="Roboto" w:eastAsia="Roboto" w:hAnsi="Roboto" w:cs="Roboto"/>
          <w:sz w:val="20"/>
          <w:szCs w:val="20"/>
          <w:lang w:val="en-US"/>
        </w:rPr>
      </w:pPr>
      <w:proofErr w:type="spellStart"/>
      <w:r w:rsidRPr="003E71ED">
        <w:rPr>
          <w:rFonts w:ascii="Roboto" w:eastAsia="Roboto" w:hAnsi="Roboto" w:cs="Roboto"/>
          <w:sz w:val="20"/>
          <w:szCs w:val="20"/>
          <w:lang w:val="en-US"/>
        </w:rPr>
        <w:t>Hillage</w:t>
      </w:r>
      <w:proofErr w:type="spellEnd"/>
      <w:r w:rsidRPr="003E71ED">
        <w:rPr>
          <w:rFonts w:ascii="Roboto" w:eastAsia="Roboto" w:hAnsi="Roboto" w:cs="Roboto"/>
          <w:sz w:val="20"/>
          <w:szCs w:val="20"/>
          <w:lang w:val="en-US"/>
        </w:rPr>
        <w:t>, J., &amp; Pollard, E. (1998). Employability: Developing a framework for policy analysis. Institute for Employment Studies.</w:t>
      </w:r>
    </w:p>
    <w:p w14:paraId="556018A5" w14:textId="77777777" w:rsidR="003E71ED" w:rsidRPr="003E71ED" w:rsidRDefault="003E71ED" w:rsidP="003E71ED">
      <w:pPr>
        <w:jc w:val="both"/>
        <w:rPr>
          <w:rFonts w:ascii="Roboto" w:eastAsia="Roboto" w:hAnsi="Roboto" w:cs="Roboto"/>
          <w:sz w:val="20"/>
          <w:szCs w:val="20"/>
        </w:rPr>
      </w:pPr>
      <w:r w:rsidRPr="003E71ED">
        <w:rPr>
          <w:rFonts w:ascii="Roboto" w:eastAsia="Roboto" w:hAnsi="Roboto" w:cs="Roboto"/>
          <w:sz w:val="20"/>
          <w:szCs w:val="20"/>
          <w:lang w:val="en-US"/>
        </w:rPr>
        <w:t xml:space="preserve">Juárez </w:t>
      </w:r>
      <w:proofErr w:type="spellStart"/>
      <w:r w:rsidRPr="003E71ED">
        <w:rPr>
          <w:rFonts w:ascii="Roboto" w:eastAsia="Roboto" w:hAnsi="Roboto" w:cs="Roboto"/>
          <w:sz w:val="20"/>
          <w:szCs w:val="20"/>
          <w:lang w:val="en-US"/>
        </w:rPr>
        <w:t>Arall</w:t>
      </w:r>
      <w:proofErr w:type="spellEnd"/>
      <w:r w:rsidRPr="003E71ED">
        <w:rPr>
          <w:rFonts w:ascii="Roboto" w:eastAsia="Roboto" w:hAnsi="Roboto" w:cs="Roboto"/>
          <w:sz w:val="20"/>
          <w:szCs w:val="20"/>
          <w:lang w:val="en-US"/>
        </w:rPr>
        <w:t xml:space="preserve">, J., &amp; Marqués </w:t>
      </w:r>
      <w:proofErr w:type="spellStart"/>
      <w:r w:rsidRPr="003E71ED">
        <w:rPr>
          <w:rFonts w:ascii="Roboto" w:eastAsia="Roboto" w:hAnsi="Roboto" w:cs="Roboto"/>
          <w:sz w:val="20"/>
          <w:szCs w:val="20"/>
          <w:lang w:val="en-US"/>
        </w:rPr>
        <w:t>Molías</w:t>
      </w:r>
      <w:proofErr w:type="spellEnd"/>
      <w:r w:rsidRPr="003E71ED">
        <w:rPr>
          <w:rFonts w:ascii="Roboto" w:eastAsia="Roboto" w:hAnsi="Roboto" w:cs="Roboto"/>
          <w:sz w:val="20"/>
          <w:szCs w:val="20"/>
          <w:lang w:val="en-US"/>
        </w:rPr>
        <w:t xml:space="preserve">, L. (2019). </w:t>
      </w:r>
      <w:r w:rsidRPr="003E71ED">
        <w:rPr>
          <w:rFonts w:ascii="Roboto" w:eastAsia="Roboto" w:hAnsi="Roboto" w:cs="Roboto"/>
          <w:sz w:val="20"/>
          <w:szCs w:val="20"/>
        </w:rPr>
        <w:t xml:space="preserve">Aspectos de la competencia digital para la empleabilidad. Revista Española de Orientación y Psicopedagogía, 30(2), 67–88. </w:t>
      </w:r>
    </w:p>
    <w:p w14:paraId="629E5080" w14:textId="77777777" w:rsidR="003E71ED" w:rsidRPr="003E71ED" w:rsidRDefault="003E71ED" w:rsidP="003E71ED">
      <w:pPr>
        <w:jc w:val="both"/>
        <w:rPr>
          <w:rFonts w:ascii="Roboto" w:eastAsia="Roboto" w:hAnsi="Roboto" w:cs="Roboto"/>
          <w:sz w:val="20"/>
          <w:szCs w:val="20"/>
        </w:rPr>
      </w:pPr>
      <w:r w:rsidRPr="003E71ED">
        <w:rPr>
          <w:rFonts w:ascii="Roboto" w:eastAsia="Roboto" w:hAnsi="Roboto" w:cs="Roboto"/>
          <w:sz w:val="20"/>
          <w:szCs w:val="20"/>
        </w:rPr>
        <w:t xml:space="preserve">Orellana Galarce, N., &amp; Cuneo </w:t>
      </w:r>
      <w:proofErr w:type="spellStart"/>
      <w:r w:rsidRPr="003E71ED">
        <w:rPr>
          <w:rFonts w:ascii="Roboto" w:eastAsia="Roboto" w:hAnsi="Roboto" w:cs="Roboto"/>
          <w:sz w:val="20"/>
          <w:szCs w:val="20"/>
        </w:rPr>
        <w:t>Olhaberry</w:t>
      </w:r>
      <w:proofErr w:type="spellEnd"/>
      <w:r w:rsidRPr="003E71ED">
        <w:rPr>
          <w:rFonts w:ascii="Roboto" w:eastAsia="Roboto" w:hAnsi="Roboto" w:cs="Roboto"/>
          <w:sz w:val="20"/>
          <w:szCs w:val="20"/>
        </w:rPr>
        <w:t>, I. (2019). Fortalecimiento de la empleabilidad: especialización de ámbitos de la gestión universitaria, el caso de los servicios de carrera en Chile. Revista Educación las Américas, 9. https://doi.org/10.35811/rea.v9i0.69</w:t>
      </w:r>
    </w:p>
    <w:p w14:paraId="6E83212E" w14:textId="77777777" w:rsidR="003E71ED" w:rsidRPr="003E71ED" w:rsidRDefault="003E71ED" w:rsidP="003E71ED">
      <w:pPr>
        <w:jc w:val="both"/>
        <w:rPr>
          <w:rFonts w:ascii="Roboto" w:eastAsia="Roboto" w:hAnsi="Roboto" w:cs="Roboto"/>
          <w:sz w:val="20"/>
          <w:szCs w:val="20"/>
        </w:rPr>
      </w:pPr>
      <w:r w:rsidRPr="003E71ED">
        <w:rPr>
          <w:rFonts w:ascii="Roboto" w:eastAsia="Roboto" w:hAnsi="Roboto" w:cs="Roboto"/>
          <w:sz w:val="20"/>
          <w:szCs w:val="20"/>
        </w:rPr>
        <w:t>Paredes, M. G., &amp; Ortiz, L. (2019). Formación universitaria e inserción laboral. La inquietud por la empleabilidad. Revista de Investigación, Formación y Desarrollo: Generando Productividad Institucional, 7(2).</w:t>
      </w:r>
    </w:p>
    <w:p w14:paraId="379CC405" w14:textId="77777777" w:rsidR="003E71ED" w:rsidRPr="003E71ED" w:rsidRDefault="003E71ED" w:rsidP="003E71ED">
      <w:pPr>
        <w:jc w:val="both"/>
        <w:rPr>
          <w:rFonts w:ascii="Roboto" w:eastAsia="Roboto" w:hAnsi="Roboto" w:cs="Roboto"/>
          <w:sz w:val="20"/>
          <w:szCs w:val="20"/>
        </w:rPr>
      </w:pPr>
      <w:r w:rsidRPr="003E71ED">
        <w:rPr>
          <w:rFonts w:ascii="Roboto" w:eastAsia="Roboto" w:hAnsi="Roboto" w:cs="Roboto"/>
          <w:sz w:val="20"/>
          <w:szCs w:val="20"/>
        </w:rPr>
        <w:t>Pedraza López, B. (2023). Aprendizaje a lo largo de la vida: nuevas competencias para lograr una empleabilidad sostenible. REDISED, 5(1), 107-117.</w:t>
      </w:r>
    </w:p>
    <w:p w14:paraId="1CA7DAA7" w14:textId="603BACCC" w:rsidR="00822D77" w:rsidRDefault="003E71ED" w:rsidP="003E71ED">
      <w:pPr>
        <w:jc w:val="both"/>
        <w:rPr>
          <w:rFonts w:ascii="Roboto" w:eastAsia="Roboto" w:hAnsi="Roboto" w:cs="Roboto"/>
          <w:sz w:val="20"/>
          <w:szCs w:val="20"/>
        </w:rPr>
      </w:pPr>
      <w:r w:rsidRPr="003E71ED">
        <w:rPr>
          <w:rFonts w:ascii="Roboto" w:eastAsia="Roboto" w:hAnsi="Roboto" w:cs="Roboto"/>
          <w:sz w:val="20"/>
          <w:szCs w:val="20"/>
          <w:lang w:val="en-US"/>
        </w:rPr>
        <w:t xml:space="preserve">Tushar, H., &amp; </w:t>
      </w:r>
      <w:proofErr w:type="spellStart"/>
      <w:r w:rsidRPr="003E71ED">
        <w:rPr>
          <w:rFonts w:ascii="Roboto" w:eastAsia="Roboto" w:hAnsi="Roboto" w:cs="Roboto"/>
          <w:sz w:val="20"/>
          <w:szCs w:val="20"/>
          <w:lang w:val="en-US"/>
        </w:rPr>
        <w:t>Sooraksa</w:t>
      </w:r>
      <w:proofErr w:type="spellEnd"/>
      <w:r w:rsidRPr="003E71ED">
        <w:rPr>
          <w:rFonts w:ascii="Roboto" w:eastAsia="Roboto" w:hAnsi="Roboto" w:cs="Roboto"/>
          <w:sz w:val="20"/>
          <w:szCs w:val="20"/>
          <w:lang w:val="en-US"/>
        </w:rPr>
        <w:t xml:space="preserve">, N. (2023). Global employability skills in the 21st century workplace: A semi-systematic literature review. </w:t>
      </w:r>
      <w:proofErr w:type="spellStart"/>
      <w:r w:rsidRPr="003E71ED">
        <w:rPr>
          <w:rFonts w:ascii="Roboto" w:eastAsia="Roboto" w:hAnsi="Roboto" w:cs="Roboto"/>
          <w:sz w:val="20"/>
          <w:szCs w:val="20"/>
        </w:rPr>
        <w:t>Heliyon</w:t>
      </w:r>
      <w:proofErr w:type="spellEnd"/>
      <w:r w:rsidRPr="003E71ED">
        <w:rPr>
          <w:rFonts w:ascii="Roboto" w:eastAsia="Roboto" w:hAnsi="Roboto" w:cs="Roboto"/>
          <w:sz w:val="20"/>
          <w:szCs w:val="20"/>
        </w:rPr>
        <w:t>, 9(10), e21023.</w:t>
      </w:r>
    </w:p>
    <w:p w14:paraId="6C60E852" w14:textId="5CBD864D" w:rsidR="00BB045B" w:rsidRDefault="00BB045B" w:rsidP="003E71ED">
      <w:pPr>
        <w:jc w:val="both"/>
        <w:rPr>
          <w:rFonts w:ascii="Roboto" w:eastAsia="Roboto" w:hAnsi="Roboto" w:cs="Roboto"/>
          <w:sz w:val="20"/>
          <w:szCs w:val="20"/>
        </w:rPr>
      </w:pPr>
    </w:p>
    <w:p w14:paraId="6DD62331" w14:textId="4B110C3B" w:rsidR="00BB045B" w:rsidRDefault="00BB045B" w:rsidP="003E71ED">
      <w:pPr>
        <w:jc w:val="both"/>
        <w:rPr>
          <w:rFonts w:ascii="Roboto" w:eastAsia="Roboto" w:hAnsi="Roboto" w:cs="Roboto"/>
          <w:sz w:val="20"/>
          <w:szCs w:val="20"/>
        </w:rPr>
      </w:pPr>
    </w:p>
    <w:p w14:paraId="680F0FF8" w14:textId="24E48373" w:rsidR="00BB045B" w:rsidRDefault="00BB045B" w:rsidP="003E71ED">
      <w:pPr>
        <w:jc w:val="both"/>
        <w:rPr>
          <w:rFonts w:ascii="Roboto" w:eastAsia="Roboto" w:hAnsi="Roboto" w:cs="Roboto"/>
          <w:sz w:val="20"/>
          <w:szCs w:val="20"/>
        </w:rPr>
      </w:pPr>
    </w:p>
    <w:p w14:paraId="6D938AE5" w14:textId="50447544" w:rsidR="00BB045B" w:rsidRDefault="00BB045B" w:rsidP="003E71ED">
      <w:pPr>
        <w:jc w:val="both"/>
        <w:rPr>
          <w:rFonts w:ascii="Roboto" w:eastAsia="Roboto" w:hAnsi="Roboto" w:cs="Roboto"/>
          <w:sz w:val="20"/>
          <w:szCs w:val="20"/>
        </w:rPr>
      </w:pPr>
    </w:p>
    <w:p w14:paraId="6D539821" w14:textId="3B000F71" w:rsidR="00BB045B" w:rsidRDefault="00BB045B" w:rsidP="003E71ED">
      <w:pPr>
        <w:jc w:val="both"/>
        <w:rPr>
          <w:rFonts w:ascii="Roboto" w:eastAsia="Roboto" w:hAnsi="Roboto" w:cs="Roboto"/>
          <w:sz w:val="20"/>
          <w:szCs w:val="20"/>
        </w:rPr>
      </w:pPr>
    </w:p>
    <w:p w14:paraId="5DF5375E" w14:textId="77777777" w:rsidR="00BB045B" w:rsidRDefault="00BB045B" w:rsidP="00BB045B">
      <w:pPr>
        <w:spacing w:before="240"/>
        <w:jc w:val="center"/>
        <w:rPr>
          <w:rFonts w:ascii="Roboto" w:eastAsia="Roboto" w:hAnsi="Roboto" w:cs="Roboto"/>
          <w:b/>
          <w:bCs/>
          <w:color w:val="FF0000"/>
          <w:sz w:val="20"/>
          <w:szCs w:val="20"/>
        </w:rPr>
        <w:sectPr w:rsidR="00BB045B">
          <w:type w:val="continuous"/>
          <w:pgSz w:w="11906" w:h="16838"/>
          <w:pgMar w:top="1134" w:right="851" w:bottom="1134" w:left="851" w:header="357" w:footer="720" w:gutter="0"/>
          <w:cols w:num="2" w:space="720" w:equalWidth="0">
            <w:col w:w="4934" w:space="335"/>
            <w:col w:w="4934" w:space="0"/>
          </w:cols>
        </w:sectPr>
      </w:pPr>
    </w:p>
    <w:p w14:paraId="77E37364" w14:textId="77777777" w:rsidR="00BB045B" w:rsidRDefault="00BB045B" w:rsidP="00BB045B">
      <w:pPr>
        <w:spacing w:before="240"/>
        <w:jc w:val="center"/>
        <w:rPr>
          <w:rFonts w:ascii="Roboto" w:eastAsia="Roboto" w:hAnsi="Roboto" w:cs="Roboto"/>
          <w:b/>
          <w:bCs/>
          <w:color w:val="FF0000"/>
          <w:sz w:val="20"/>
          <w:szCs w:val="20"/>
        </w:rPr>
      </w:pPr>
      <w:r>
        <w:rPr>
          <w:rFonts w:ascii="Roboto" w:eastAsia="Roboto" w:hAnsi="Roboto" w:cs="Roboto"/>
          <w:b/>
          <w:bCs/>
          <w:color w:val="FF0000"/>
          <w:sz w:val="20"/>
          <w:szCs w:val="20"/>
        </w:rPr>
        <w:t>Declaración de originalidad y autorización de publicación</w:t>
      </w:r>
    </w:p>
    <w:p w14:paraId="6BCEC301" w14:textId="77777777" w:rsidR="00BB045B" w:rsidRDefault="00BB045B" w:rsidP="00BB045B">
      <w:pPr>
        <w:spacing w:before="240"/>
        <w:jc w:val="center"/>
        <w:rPr>
          <w:rFonts w:ascii="Roboto" w:eastAsia="Roboto" w:hAnsi="Roboto" w:cs="Roboto"/>
          <w:b/>
          <w:bCs/>
          <w:sz w:val="20"/>
          <w:szCs w:val="20"/>
        </w:rPr>
      </w:pPr>
      <w:r>
        <w:rPr>
          <w:rFonts w:ascii="Roboto" w:eastAsia="Roboto" w:hAnsi="Roboto" w:cs="Roboto"/>
          <w:b/>
          <w:bCs/>
          <w:sz w:val="20"/>
          <w:szCs w:val="20"/>
        </w:rPr>
        <w:t xml:space="preserve">III Encuentro de Investigadores de la Red Internacional de Universidades </w:t>
      </w:r>
      <w:proofErr w:type="spellStart"/>
      <w:r>
        <w:rPr>
          <w:rFonts w:ascii="Roboto" w:eastAsia="Roboto" w:hAnsi="Roboto" w:cs="Roboto"/>
          <w:b/>
          <w:bCs/>
          <w:sz w:val="20"/>
          <w:szCs w:val="20"/>
        </w:rPr>
        <w:t>Regnum</w:t>
      </w:r>
      <w:proofErr w:type="spellEnd"/>
      <w:r>
        <w:rPr>
          <w:rFonts w:ascii="Roboto" w:eastAsia="Roboto" w:hAnsi="Roboto" w:cs="Roboto"/>
          <w:b/>
          <w:bCs/>
          <w:sz w:val="20"/>
          <w:szCs w:val="20"/>
        </w:rPr>
        <w:t xml:space="preserve"> Christi (RIU)</w:t>
      </w:r>
    </w:p>
    <w:p w14:paraId="761BEAFB" w14:textId="77777777" w:rsidR="00BB045B" w:rsidRDefault="00BB045B" w:rsidP="00BB045B">
      <w:pPr>
        <w:spacing w:before="240" w:after="240"/>
        <w:jc w:val="both"/>
        <w:rPr>
          <w:rFonts w:ascii="Roboto" w:eastAsia="Roboto" w:hAnsi="Roboto" w:cs="Roboto"/>
          <w:sz w:val="20"/>
          <w:szCs w:val="20"/>
        </w:rPr>
      </w:pPr>
      <w:r>
        <w:rPr>
          <w:rFonts w:ascii="Roboto" w:eastAsia="Roboto" w:hAnsi="Roboto" w:cs="Roboto"/>
          <w:sz w:val="20"/>
          <w:szCs w:val="20"/>
        </w:rPr>
        <w:t xml:space="preserve">Al enviar el presente resumen para su inclusión en las </w:t>
      </w:r>
      <w:r>
        <w:rPr>
          <w:rFonts w:ascii="Roboto" w:eastAsia="Roboto" w:hAnsi="Roboto" w:cs="Roboto"/>
          <w:b/>
          <w:bCs/>
          <w:sz w:val="20"/>
          <w:szCs w:val="20"/>
        </w:rPr>
        <w:t xml:space="preserve">Memorias del III Encuentro de Investigadores de la Red Internacional de Universidades </w:t>
      </w:r>
      <w:proofErr w:type="spellStart"/>
      <w:r>
        <w:rPr>
          <w:rFonts w:ascii="Roboto" w:eastAsia="Roboto" w:hAnsi="Roboto" w:cs="Roboto"/>
          <w:b/>
          <w:bCs/>
          <w:sz w:val="20"/>
          <w:szCs w:val="20"/>
        </w:rPr>
        <w:t>Regnum</w:t>
      </w:r>
      <w:proofErr w:type="spellEnd"/>
      <w:r>
        <w:rPr>
          <w:rFonts w:ascii="Roboto" w:eastAsia="Roboto" w:hAnsi="Roboto" w:cs="Roboto"/>
          <w:b/>
          <w:bCs/>
          <w:sz w:val="20"/>
          <w:szCs w:val="20"/>
        </w:rPr>
        <w:t xml:space="preserve"> Christi (RIU)</w:t>
      </w:r>
      <w:r>
        <w:rPr>
          <w:rFonts w:ascii="Roboto" w:eastAsia="Roboto" w:hAnsi="Roboto" w:cs="Roboto"/>
          <w:sz w:val="20"/>
          <w:szCs w:val="20"/>
        </w:rPr>
        <w:t>, los autores declaran y aceptan lo siguiente:</w:t>
      </w:r>
    </w:p>
    <w:p w14:paraId="2812957F" w14:textId="77777777" w:rsidR="00BB045B" w:rsidRDefault="00BB045B" w:rsidP="00BB045B">
      <w:pPr>
        <w:spacing w:before="240" w:after="240"/>
        <w:jc w:val="both"/>
        <w:rPr>
          <w:rFonts w:ascii="Roboto" w:eastAsia="Roboto" w:hAnsi="Roboto" w:cs="Roboto"/>
          <w:b/>
          <w:bCs/>
          <w:sz w:val="20"/>
          <w:szCs w:val="20"/>
        </w:rPr>
      </w:pPr>
      <w:r>
        <w:rPr>
          <w:rFonts w:ascii="Roboto" w:eastAsia="Roboto" w:hAnsi="Roboto" w:cs="Roboto"/>
          <w:b/>
          <w:bCs/>
          <w:sz w:val="20"/>
          <w:szCs w:val="20"/>
        </w:rPr>
        <w:t>1. Declaración de originalidad</w:t>
      </w:r>
    </w:p>
    <w:p w14:paraId="6BFDFBC8" w14:textId="77777777" w:rsidR="00BB045B" w:rsidRDefault="00BB045B" w:rsidP="00BB045B">
      <w:pPr>
        <w:spacing w:before="240" w:after="240"/>
        <w:jc w:val="both"/>
        <w:rPr>
          <w:rFonts w:ascii="Roboto" w:eastAsia="Roboto" w:hAnsi="Roboto" w:cs="Roboto"/>
          <w:sz w:val="20"/>
          <w:szCs w:val="20"/>
        </w:rPr>
      </w:pPr>
      <w:r>
        <w:rPr>
          <w:rFonts w:ascii="Roboto" w:eastAsia="Roboto" w:hAnsi="Roboto" w:cs="Roboto"/>
          <w:sz w:val="20"/>
          <w:szCs w:val="20"/>
        </w:rPr>
        <w:t xml:space="preserve">Los autores declaran que el trabajo presentado es </w:t>
      </w:r>
      <w:r>
        <w:rPr>
          <w:rFonts w:ascii="Roboto" w:eastAsia="Roboto" w:hAnsi="Roboto" w:cs="Roboto"/>
          <w:b/>
          <w:bCs/>
          <w:sz w:val="20"/>
          <w:szCs w:val="20"/>
        </w:rPr>
        <w:t>original</w:t>
      </w:r>
      <w:r>
        <w:rPr>
          <w:rFonts w:ascii="Roboto" w:eastAsia="Roboto" w:hAnsi="Roboto" w:cs="Roboto"/>
          <w:sz w:val="20"/>
          <w:szCs w:val="20"/>
        </w:rPr>
        <w:t>, que no infringe derechos de propiedad intelectual de terceros y que cuenta con las autorizaciones necesarias en caso de incluir información, datos, imágenes o materiales previamente publicados. Asimismo, manifiestan que todas las personas que contribuyeron significativamente al trabajo han sido debidamente reconocidas como autores o colaboradores.</w:t>
      </w:r>
    </w:p>
    <w:p w14:paraId="09B10EE9" w14:textId="77777777" w:rsidR="00BB045B" w:rsidRDefault="00BB045B" w:rsidP="00BB045B">
      <w:pPr>
        <w:spacing w:before="240" w:after="240"/>
        <w:jc w:val="both"/>
        <w:rPr>
          <w:rFonts w:ascii="Roboto" w:eastAsia="Roboto" w:hAnsi="Roboto" w:cs="Roboto"/>
          <w:b/>
          <w:bCs/>
          <w:sz w:val="20"/>
          <w:szCs w:val="20"/>
        </w:rPr>
      </w:pPr>
      <w:r>
        <w:rPr>
          <w:rFonts w:ascii="Roboto" w:eastAsia="Roboto" w:hAnsi="Roboto" w:cs="Roboto"/>
          <w:b/>
          <w:bCs/>
          <w:sz w:val="20"/>
          <w:szCs w:val="20"/>
        </w:rPr>
        <w:t>2. Titularidad de los derechos</w:t>
      </w:r>
    </w:p>
    <w:p w14:paraId="6895BFCF" w14:textId="77777777" w:rsidR="00BB045B" w:rsidRDefault="00BB045B" w:rsidP="00BB045B">
      <w:pPr>
        <w:spacing w:before="240" w:after="240"/>
        <w:jc w:val="both"/>
        <w:rPr>
          <w:rFonts w:ascii="Roboto" w:eastAsia="Roboto" w:hAnsi="Roboto" w:cs="Roboto"/>
          <w:sz w:val="20"/>
          <w:szCs w:val="20"/>
        </w:rPr>
      </w:pPr>
      <w:r>
        <w:rPr>
          <w:rFonts w:ascii="Roboto" w:eastAsia="Roboto" w:hAnsi="Roboto" w:cs="Roboto"/>
          <w:sz w:val="20"/>
          <w:szCs w:val="20"/>
        </w:rPr>
        <w:t xml:space="preserve">Los autores </w:t>
      </w:r>
      <w:r>
        <w:rPr>
          <w:rFonts w:ascii="Roboto" w:eastAsia="Roboto" w:hAnsi="Roboto" w:cs="Roboto"/>
          <w:b/>
          <w:bCs/>
          <w:sz w:val="20"/>
          <w:szCs w:val="20"/>
        </w:rPr>
        <w:t>conservan la titularidad de los derechos de autor y de propiedad intelectual</w:t>
      </w:r>
      <w:r>
        <w:rPr>
          <w:rFonts w:ascii="Roboto" w:eastAsia="Roboto" w:hAnsi="Roboto" w:cs="Roboto"/>
          <w:sz w:val="20"/>
          <w:szCs w:val="20"/>
        </w:rPr>
        <w:t xml:space="preserve"> sobre el contenido del resumen y sobre la investigación descrita en el mismo. La aceptación de esta declaración </w:t>
      </w:r>
      <w:r>
        <w:rPr>
          <w:rFonts w:ascii="Roboto" w:eastAsia="Roboto" w:hAnsi="Roboto" w:cs="Roboto"/>
          <w:b/>
          <w:bCs/>
          <w:sz w:val="20"/>
          <w:szCs w:val="20"/>
        </w:rPr>
        <w:t>no implica transferencia de derechos patrimoniales</w:t>
      </w:r>
      <w:r>
        <w:rPr>
          <w:rFonts w:ascii="Roboto" w:eastAsia="Roboto" w:hAnsi="Roboto" w:cs="Roboto"/>
          <w:sz w:val="20"/>
          <w:szCs w:val="20"/>
        </w:rPr>
        <w:t xml:space="preserve"> al organizador del congreso ni al sello editorial responsable de la publicación.</w:t>
      </w:r>
    </w:p>
    <w:p w14:paraId="53EC46C2" w14:textId="77777777" w:rsidR="00BB045B" w:rsidRDefault="00BB045B" w:rsidP="00BB045B">
      <w:pPr>
        <w:spacing w:before="240" w:after="240"/>
        <w:jc w:val="both"/>
        <w:rPr>
          <w:rFonts w:ascii="Roboto" w:eastAsia="Roboto" w:hAnsi="Roboto" w:cs="Roboto"/>
          <w:b/>
          <w:bCs/>
          <w:sz w:val="20"/>
          <w:szCs w:val="20"/>
        </w:rPr>
      </w:pPr>
      <w:r>
        <w:rPr>
          <w:rFonts w:ascii="Roboto" w:eastAsia="Roboto" w:hAnsi="Roboto" w:cs="Roboto"/>
          <w:b/>
          <w:bCs/>
          <w:sz w:val="20"/>
          <w:szCs w:val="20"/>
        </w:rPr>
        <w:t>3. Licencia de publicación</w:t>
      </w:r>
    </w:p>
    <w:p w14:paraId="2A636329" w14:textId="77777777" w:rsidR="00BB045B" w:rsidRDefault="00BB045B" w:rsidP="00BB045B">
      <w:pPr>
        <w:spacing w:before="240" w:after="240"/>
        <w:jc w:val="both"/>
        <w:rPr>
          <w:rFonts w:ascii="Roboto" w:eastAsia="Roboto" w:hAnsi="Roboto" w:cs="Roboto"/>
          <w:sz w:val="20"/>
          <w:szCs w:val="20"/>
        </w:rPr>
      </w:pPr>
      <w:r>
        <w:rPr>
          <w:rFonts w:ascii="Roboto" w:eastAsia="Roboto" w:hAnsi="Roboto" w:cs="Roboto"/>
          <w:sz w:val="20"/>
          <w:szCs w:val="20"/>
        </w:rPr>
        <w:t xml:space="preserve">Los autores conceden al </w:t>
      </w:r>
      <w:r>
        <w:rPr>
          <w:rFonts w:ascii="Roboto" w:eastAsia="Roboto" w:hAnsi="Roboto" w:cs="Roboto"/>
          <w:b/>
          <w:bCs/>
          <w:sz w:val="20"/>
          <w:szCs w:val="20"/>
        </w:rPr>
        <w:t>Sello Editorial de la Universidad Anáhuac Mayab</w:t>
      </w:r>
      <w:r>
        <w:rPr>
          <w:rFonts w:ascii="Roboto" w:eastAsia="Roboto" w:hAnsi="Roboto" w:cs="Roboto"/>
          <w:sz w:val="20"/>
          <w:szCs w:val="20"/>
        </w:rPr>
        <w:t xml:space="preserve">, en su carácter de responsable de la edición de las memorias del evento, una </w:t>
      </w:r>
      <w:r>
        <w:rPr>
          <w:rFonts w:ascii="Roboto" w:eastAsia="Roboto" w:hAnsi="Roboto" w:cs="Roboto"/>
          <w:b/>
          <w:bCs/>
          <w:sz w:val="20"/>
          <w:szCs w:val="20"/>
        </w:rPr>
        <w:t>licencia no exclusiva, gratuita y por tiempo indefinido</w:t>
      </w:r>
      <w:r>
        <w:rPr>
          <w:rFonts w:ascii="Roboto" w:eastAsia="Roboto" w:hAnsi="Roboto" w:cs="Roboto"/>
          <w:sz w:val="20"/>
          <w:szCs w:val="20"/>
        </w:rPr>
        <w:t xml:space="preserve"> para:</w:t>
      </w:r>
    </w:p>
    <w:p w14:paraId="41DFD7D6" w14:textId="77777777" w:rsidR="00BB045B" w:rsidRDefault="00BB045B" w:rsidP="00BB045B">
      <w:pPr>
        <w:numPr>
          <w:ilvl w:val="0"/>
          <w:numId w:val="1"/>
        </w:numPr>
        <w:jc w:val="both"/>
        <w:rPr>
          <w:rFonts w:ascii="Roboto" w:eastAsia="Roboto" w:hAnsi="Roboto" w:cs="Roboto"/>
          <w:sz w:val="20"/>
          <w:szCs w:val="20"/>
        </w:rPr>
      </w:pPr>
      <w:r>
        <w:rPr>
          <w:rFonts w:ascii="Roboto" w:eastAsia="Roboto" w:hAnsi="Roboto" w:cs="Roboto"/>
          <w:sz w:val="20"/>
          <w:szCs w:val="20"/>
        </w:rPr>
        <w:t xml:space="preserve">Publicar el resumen como parte de las </w:t>
      </w:r>
      <w:r>
        <w:rPr>
          <w:rFonts w:ascii="Roboto" w:eastAsia="Roboto" w:hAnsi="Roboto" w:cs="Roboto"/>
          <w:b/>
          <w:bCs/>
          <w:sz w:val="20"/>
          <w:szCs w:val="20"/>
        </w:rPr>
        <w:t>Memorias del III Encuentro de Investigadores de la RIU</w:t>
      </w:r>
      <w:r>
        <w:rPr>
          <w:rFonts w:ascii="Roboto" w:eastAsia="Roboto" w:hAnsi="Roboto" w:cs="Roboto"/>
          <w:sz w:val="20"/>
          <w:szCs w:val="20"/>
        </w:rPr>
        <w:t>.</w:t>
      </w:r>
    </w:p>
    <w:p w14:paraId="43681292" w14:textId="77777777" w:rsidR="00BB045B" w:rsidRDefault="00BB045B" w:rsidP="00BB045B">
      <w:pPr>
        <w:numPr>
          <w:ilvl w:val="0"/>
          <w:numId w:val="1"/>
        </w:numPr>
        <w:jc w:val="both"/>
        <w:rPr>
          <w:rFonts w:ascii="Roboto" w:eastAsia="Roboto" w:hAnsi="Roboto" w:cs="Roboto"/>
          <w:sz w:val="20"/>
          <w:szCs w:val="20"/>
        </w:rPr>
      </w:pPr>
      <w:r>
        <w:rPr>
          <w:rFonts w:ascii="Roboto" w:eastAsia="Roboto" w:hAnsi="Roboto" w:cs="Roboto"/>
          <w:sz w:val="20"/>
          <w:szCs w:val="20"/>
        </w:rPr>
        <w:t xml:space="preserve">Realizar las adaptaciones editoriales necesarias para su </w:t>
      </w:r>
      <w:r>
        <w:rPr>
          <w:rFonts w:ascii="Roboto" w:eastAsia="Roboto" w:hAnsi="Roboto" w:cs="Roboto"/>
          <w:b/>
          <w:bCs/>
          <w:sz w:val="20"/>
          <w:szCs w:val="20"/>
        </w:rPr>
        <w:t>corrección de estilo, maquetación y edición</w:t>
      </w:r>
      <w:r>
        <w:rPr>
          <w:rFonts w:ascii="Roboto" w:eastAsia="Roboto" w:hAnsi="Roboto" w:cs="Roboto"/>
          <w:sz w:val="20"/>
          <w:szCs w:val="20"/>
        </w:rPr>
        <w:t xml:space="preserve"> dentro del volumen de memorias.</w:t>
      </w:r>
    </w:p>
    <w:p w14:paraId="0A9D3F1D" w14:textId="77777777" w:rsidR="00BB045B" w:rsidRDefault="00BB045B" w:rsidP="00BB045B">
      <w:pPr>
        <w:numPr>
          <w:ilvl w:val="0"/>
          <w:numId w:val="1"/>
        </w:numPr>
        <w:jc w:val="both"/>
        <w:rPr>
          <w:rFonts w:ascii="Roboto" w:eastAsia="Roboto" w:hAnsi="Roboto" w:cs="Roboto"/>
          <w:sz w:val="20"/>
          <w:szCs w:val="20"/>
        </w:rPr>
      </w:pPr>
      <w:r>
        <w:rPr>
          <w:rFonts w:ascii="Roboto" w:eastAsia="Roboto" w:hAnsi="Roboto" w:cs="Roboto"/>
          <w:sz w:val="20"/>
          <w:szCs w:val="20"/>
        </w:rPr>
        <w:t xml:space="preserve">Reproducir, distribuir y comunicar públicamente el contenido en </w:t>
      </w:r>
      <w:r>
        <w:rPr>
          <w:rFonts w:ascii="Roboto" w:eastAsia="Roboto" w:hAnsi="Roboto" w:cs="Roboto"/>
          <w:b/>
          <w:bCs/>
          <w:sz w:val="20"/>
          <w:szCs w:val="20"/>
        </w:rPr>
        <w:t>formatos impresos y digitales</w:t>
      </w:r>
      <w:r>
        <w:rPr>
          <w:rFonts w:ascii="Roboto" w:eastAsia="Roboto" w:hAnsi="Roboto" w:cs="Roboto"/>
          <w:sz w:val="20"/>
          <w:szCs w:val="20"/>
        </w:rPr>
        <w:t>.</w:t>
      </w:r>
    </w:p>
    <w:p w14:paraId="4D8AE75E" w14:textId="77777777" w:rsidR="00BB045B" w:rsidRDefault="00BB045B" w:rsidP="00BB045B">
      <w:pPr>
        <w:numPr>
          <w:ilvl w:val="0"/>
          <w:numId w:val="1"/>
        </w:numPr>
        <w:spacing w:after="240"/>
        <w:jc w:val="both"/>
        <w:rPr>
          <w:rFonts w:ascii="Roboto" w:eastAsia="Roboto" w:hAnsi="Roboto" w:cs="Roboto"/>
          <w:sz w:val="20"/>
          <w:szCs w:val="20"/>
        </w:rPr>
      </w:pPr>
      <w:r>
        <w:rPr>
          <w:rFonts w:ascii="Roboto" w:eastAsia="Roboto" w:hAnsi="Roboto" w:cs="Roboto"/>
          <w:sz w:val="20"/>
          <w:szCs w:val="20"/>
        </w:rPr>
        <w:t xml:space="preserve">Difundir la obra a través de </w:t>
      </w:r>
      <w:r>
        <w:rPr>
          <w:rFonts w:ascii="Roboto" w:eastAsia="Roboto" w:hAnsi="Roboto" w:cs="Roboto"/>
          <w:b/>
          <w:bCs/>
          <w:sz w:val="20"/>
          <w:szCs w:val="20"/>
        </w:rPr>
        <w:t>repositorios institucionales, bibliotecas digitales, plataformas académicas, bases de datos, sitios web institucionales y otros medios de difusión científica</w:t>
      </w:r>
      <w:r>
        <w:rPr>
          <w:rFonts w:ascii="Roboto" w:eastAsia="Roboto" w:hAnsi="Roboto" w:cs="Roboto"/>
          <w:sz w:val="20"/>
          <w:szCs w:val="20"/>
        </w:rPr>
        <w:t xml:space="preserve"> vinculados al congreso, a la Universidad Anáhuac Mayab o a la Red Internacional de Universidades </w:t>
      </w:r>
      <w:proofErr w:type="spellStart"/>
      <w:r>
        <w:rPr>
          <w:rFonts w:ascii="Roboto" w:eastAsia="Roboto" w:hAnsi="Roboto" w:cs="Roboto"/>
          <w:sz w:val="20"/>
          <w:szCs w:val="20"/>
        </w:rPr>
        <w:t>Regnum</w:t>
      </w:r>
      <w:proofErr w:type="spellEnd"/>
      <w:r>
        <w:rPr>
          <w:rFonts w:ascii="Roboto" w:eastAsia="Roboto" w:hAnsi="Roboto" w:cs="Roboto"/>
          <w:sz w:val="20"/>
          <w:szCs w:val="20"/>
        </w:rPr>
        <w:t xml:space="preserve"> Christi.</w:t>
      </w:r>
    </w:p>
    <w:p w14:paraId="64DAE4F3" w14:textId="77777777" w:rsidR="00BB045B" w:rsidRDefault="00BB045B" w:rsidP="00BB045B">
      <w:pPr>
        <w:spacing w:before="240" w:after="240"/>
        <w:jc w:val="both"/>
        <w:rPr>
          <w:rFonts w:ascii="Roboto" w:eastAsia="Roboto" w:hAnsi="Roboto" w:cs="Roboto"/>
          <w:b/>
          <w:bCs/>
          <w:sz w:val="20"/>
          <w:szCs w:val="20"/>
        </w:rPr>
      </w:pPr>
      <w:r>
        <w:rPr>
          <w:rFonts w:ascii="Roboto" w:eastAsia="Roboto" w:hAnsi="Roboto" w:cs="Roboto"/>
          <w:b/>
          <w:bCs/>
          <w:sz w:val="20"/>
          <w:szCs w:val="20"/>
        </w:rPr>
        <w:t>4. Alcance de la autorización</w:t>
      </w:r>
    </w:p>
    <w:p w14:paraId="3C8E3C62" w14:textId="77777777" w:rsidR="00BB045B" w:rsidRDefault="00BB045B" w:rsidP="00BB045B">
      <w:pPr>
        <w:spacing w:before="240" w:after="240"/>
        <w:jc w:val="both"/>
        <w:rPr>
          <w:rFonts w:ascii="Roboto" w:eastAsia="Roboto" w:hAnsi="Roboto" w:cs="Roboto"/>
          <w:sz w:val="20"/>
          <w:szCs w:val="20"/>
        </w:rPr>
      </w:pPr>
      <w:r>
        <w:rPr>
          <w:rFonts w:ascii="Roboto" w:eastAsia="Roboto" w:hAnsi="Roboto" w:cs="Roboto"/>
          <w:sz w:val="20"/>
          <w:szCs w:val="20"/>
        </w:rPr>
        <w:t xml:space="preserve">La presente autorización se limita exclusivamente a la </w:t>
      </w:r>
      <w:r>
        <w:rPr>
          <w:rFonts w:ascii="Roboto" w:eastAsia="Roboto" w:hAnsi="Roboto" w:cs="Roboto"/>
          <w:b/>
          <w:bCs/>
          <w:sz w:val="20"/>
          <w:szCs w:val="20"/>
        </w:rPr>
        <w:t>publicación del resumen dentro de las memorias del congreso</w:t>
      </w:r>
      <w:r>
        <w:rPr>
          <w:rFonts w:ascii="Roboto" w:eastAsia="Roboto" w:hAnsi="Roboto" w:cs="Roboto"/>
          <w:sz w:val="20"/>
          <w:szCs w:val="20"/>
        </w:rPr>
        <w:t xml:space="preserve"> y no restringe el derecho de los autores a:</w:t>
      </w:r>
    </w:p>
    <w:p w14:paraId="37AF49FA" w14:textId="77777777" w:rsidR="00BB045B" w:rsidRDefault="00BB045B" w:rsidP="00BB045B">
      <w:pPr>
        <w:numPr>
          <w:ilvl w:val="0"/>
          <w:numId w:val="2"/>
        </w:numPr>
        <w:jc w:val="both"/>
        <w:rPr>
          <w:rFonts w:ascii="Roboto" w:eastAsia="Roboto" w:hAnsi="Roboto" w:cs="Roboto"/>
          <w:sz w:val="20"/>
          <w:szCs w:val="20"/>
        </w:rPr>
      </w:pPr>
      <w:r>
        <w:rPr>
          <w:rFonts w:ascii="Roboto" w:eastAsia="Roboto" w:hAnsi="Roboto" w:cs="Roboto"/>
          <w:sz w:val="20"/>
          <w:szCs w:val="20"/>
        </w:rPr>
        <w:t xml:space="preserve">Publicar versiones ampliadas del trabajo en </w:t>
      </w:r>
      <w:r>
        <w:rPr>
          <w:rFonts w:ascii="Roboto" w:eastAsia="Roboto" w:hAnsi="Roboto" w:cs="Roboto"/>
          <w:b/>
          <w:bCs/>
          <w:sz w:val="20"/>
          <w:szCs w:val="20"/>
        </w:rPr>
        <w:t>revistas científicas, libros u otros medios académicos</w:t>
      </w:r>
      <w:r>
        <w:rPr>
          <w:rFonts w:ascii="Roboto" w:eastAsia="Roboto" w:hAnsi="Roboto" w:cs="Roboto"/>
          <w:sz w:val="20"/>
          <w:szCs w:val="20"/>
        </w:rPr>
        <w:t>.</w:t>
      </w:r>
    </w:p>
    <w:p w14:paraId="5AB5D582" w14:textId="77777777" w:rsidR="00BB045B" w:rsidRDefault="00BB045B" w:rsidP="00BB045B">
      <w:pPr>
        <w:numPr>
          <w:ilvl w:val="0"/>
          <w:numId w:val="2"/>
        </w:numPr>
        <w:jc w:val="both"/>
        <w:rPr>
          <w:rFonts w:ascii="Roboto" w:eastAsia="Roboto" w:hAnsi="Roboto" w:cs="Roboto"/>
          <w:sz w:val="20"/>
          <w:szCs w:val="20"/>
        </w:rPr>
      </w:pPr>
      <w:r>
        <w:rPr>
          <w:rFonts w:ascii="Roboto" w:eastAsia="Roboto" w:hAnsi="Roboto" w:cs="Roboto"/>
          <w:sz w:val="20"/>
          <w:szCs w:val="20"/>
        </w:rPr>
        <w:t xml:space="preserve">Utilizar el contenido en </w:t>
      </w:r>
      <w:r>
        <w:rPr>
          <w:rFonts w:ascii="Roboto" w:eastAsia="Roboto" w:hAnsi="Roboto" w:cs="Roboto"/>
          <w:b/>
          <w:bCs/>
          <w:sz w:val="20"/>
          <w:szCs w:val="20"/>
        </w:rPr>
        <w:t>tesis, proyectos de investigación, reportes técnicos u otras publicaciones académicas</w:t>
      </w:r>
      <w:r>
        <w:rPr>
          <w:rFonts w:ascii="Roboto" w:eastAsia="Roboto" w:hAnsi="Roboto" w:cs="Roboto"/>
          <w:sz w:val="20"/>
          <w:szCs w:val="20"/>
        </w:rPr>
        <w:t>.</w:t>
      </w:r>
    </w:p>
    <w:p w14:paraId="0CCCC654" w14:textId="77777777" w:rsidR="00BB045B" w:rsidRDefault="00BB045B" w:rsidP="00BB045B">
      <w:pPr>
        <w:numPr>
          <w:ilvl w:val="0"/>
          <w:numId w:val="2"/>
        </w:numPr>
        <w:spacing w:after="240"/>
        <w:jc w:val="both"/>
        <w:rPr>
          <w:rFonts w:ascii="Roboto" w:eastAsia="Roboto" w:hAnsi="Roboto" w:cs="Roboto"/>
          <w:sz w:val="20"/>
          <w:szCs w:val="20"/>
        </w:rPr>
      </w:pPr>
      <w:r>
        <w:rPr>
          <w:rFonts w:ascii="Roboto" w:eastAsia="Roboto" w:hAnsi="Roboto" w:cs="Roboto"/>
          <w:sz w:val="20"/>
          <w:szCs w:val="20"/>
        </w:rPr>
        <w:t>Difundir su investigación en otros espacios científicos o de divulgación.</w:t>
      </w:r>
    </w:p>
    <w:p w14:paraId="26E13FC9" w14:textId="77777777" w:rsidR="00BB045B" w:rsidRDefault="00BB045B" w:rsidP="00BB045B">
      <w:pPr>
        <w:spacing w:before="240" w:after="240"/>
        <w:jc w:val="both"/>
        <w:rPr>
          <w:rFonts w:ascii="Roboto" w:eastAsia="Roboto" w:hAnsi="Roboto" w:cs="Roboto"/>
          <w:b/>
          <w:bCs/>
          <w:sz w:val="20"/>
          <w:szCs w:val="20"/>
        </w:rPr>
      </w:pPr>
      <w:r>
        <w:rPr>
          <w:rFonts w:ascii="Roboto" w:eastAsia="Roboto" w:hAnsi="Roboto" w:cs="Roboto"/>
          <w:b/>
          <w:bCs/>
          <w:sz w:val="20"/>
          <w:szCs w:val="20"/>
        </w:rPr>
        <w:t>5. Responsabilidad del contenido</w:t>
      </w:r>
    </w:p>
    <w:p w14:paraId="2A58CF7F" w14:textId="77777777" w:rsidR="00BB045B" w:rsidRDefault="00BB045B" w:rsidP="00BB045B">
      <w:pPr>
        <w:spacing w:before="240" w:after="240"/>
        <w:jc w:val="both"/>
        <w:rPr>
          <w:rFonts w:ascii="Roboto" w:eastAsia="Roboto" w:hAnsi="Roboto" w:cs="Roboto"/>
          <w:sz w:val="20"/>
          <w:szCs w:val="20"/>
        </w:rPr>
      </w:pPr>
      <w:r>
        <w:rPr>
          <w:rFonts w:ascii="Roboto" w:eastAsia="Roboto" w:hAnsi="Roboto" w:cs="Roboto"/>
          <w:sz w:val="20"/>
          <w:szCs w:val="20"/>
        </w:rPr>
        <w:t xml:space="preserve">Los autores asumen plena responsabilidad por el contenido del resumen, incluyendo la </w:t>
      </w:r>
      <w:r>
        <w:rPr>
          <w:rFonts w:ascii="Roboto" w:eastAsia="Roboto" w:hAnsi="Roboto" w:cs="Roboto"/>
          <w:b/>
          <w:bCs/>
          <w:sz w:val="20"/>
          <w:szCs w:val="20"/>
        </w:rPr>
        <w:t>veracidad de la información presentada, el cumplimiento de normas éticas de investigación y el respeto a derechos de terceros</w:t>
      </w:r>
      <w:r>
        <w:rPr>
          <w:rFonts w:ascii="Roboto" w:eastAsia="Roboto" w:hAnsi="Roboto" w:cs="Roboto"/>
          <w:sz w:val="20"/>
          <w:szCs w:val="20"/>
        </w:rPr>
        <w:t>.</w:t>
      </w:r>
    </w:p>
    <w:p w14:paraId="2C1D0DEF" w14:textId="77777777" w:rsidR="00BB045B" w:rsidRDefault="00BB045B" w:rsidP="00BB045B">
      <w:pPr>
        <w:spacing w:before="240" w:after="240"/>
        <w:jc w:val="both"/>
        <w:rPr>
          <w:rFonts w:ascii="Roboto" w:eastAsia="Roboto" w:hAnsi="Roboto" w:cs="Roboto"/>
          <w:b/>
          <w:bCs/>
          <w:sz w:val="20"/>
          <w:szCs w:val="20"/>
        </w:rPr>
      </w:pPr>
      <w:r>
        <w:rPr>
          <w:rFonts w:ascii="Roboto" w:eastAsia="Roboto" w:hAnsi="Roboto" w:cs="Roboto"/>
          <w:b/>
          <w:bCs/>
          <w:sz w:val="20"/>
          <w:szCs w:val="20"/>
        </w:rPr>
        <w:t>6. Aceptación de la declaración</w:t>
      </w:r>
    </w:p>
    <w:p w14:paraId="71AC58A5" w14:textId="77777777" w:rsidR="00BB045B" w:rsidRDefault="00BB045B" w:rsidP="00BB045B">
      <w:pPr>
        <w:spacing w:before="240" w:after="240"/>
        <w:jc w:val="both"/>
        <w:rPr>
          <w:rFonts w:ascii="Roboto" w:eastAsia="Roboto" w:hAnsi="Roboto" w:cs="Roboto"/>
          <w:sz w:val="20"/>
          <w:szCs w:val="20"/>
        </w:rPr>
      </w:pPr>
      <w:r>
        <w:rPr>
          <w:rFonts w:ascii="Roboto" w:eastAsia="Roboto" w:hAnsi="Roboto" w:cs="Roboto"/>
          <w:sz w:val="20"/>
          <w:szCs w:val="20"/>
        </w:rPr>
        <w:t xml:space="preserve">El envío del resumen mediante el sistema o formato oficial del congreso </w:t>
      </w:r>
      <w:r>
        <w:rPr>
          <w:rFonts w:ascii="Roboto" w:eastAsia="Roboto" w:hAnsi="Roboto" w:cs="Roboto"/>
          <w:b/>
          <w:bCs/>
          <w:sz w:val="20"/>
          <w:szCs w:val="20"/>
        </w:rPr>
        <w:t>constituye evidencia de que todos los autores conocen y aceptan los términos de la presente declaración y autorización de publicación</w:t>
      </w:r>
      <w:r>
        <w:rPr>
          <w:rFonts w:ascii="Roboto" w:eastAsia="Roboto" w:hAnsi="Roboto" w:cs="Roboto"/>
          <w:sz w:val="20"/>
          <w:szCs w:val="20"/>
        </w:rPr>
        <w:t>.</w:t>
      </w:r>
    </w:p>
    <w:p w14:paraId="7BD1B570" w14:textId="58CA92EF" w:rsidR="00BB045B" w:rsidRDefault="00BB045B" w:rsidP="00BB045B">
      <w:pPr>
        <w:spacing w:before="240" w:after="240"/>
        <w:jc w:val="both"/>
        <w:rPr>
          <w:rFonts w:ascii="Roboto" w:eastAsia="Roboto" w:hAnsi="Roboto" w:cs="Roboto"/>
          <w:sz w:val="20"/>
          <w:szCs w:val="20"/>
        </w:rPr>
      </w:pPr>
      <w:proofErr w:type="gramStart"/>
      <w:r>
        <w:rPr>
          <w:rFonts w:ascii="Roboto" w:eastAsia="Roboto" w:hAnsi="Roboto" w:cs="Roboto"/>
          <w:sz w:val="20"/>
          <w:szCs w:val="20"/>
        </w:rPr>
        <w:t>(  X</w:t>
      </w:r>
      <w:proofErr w:type="gramEnd"/>
      <w:r>
        <w:rPr>
          <w:rFonts w:ascii="Roboto" w:eastAsia="Roboto" w:hAnsi="Roboto" w:cs="Roboto"/>
          <w:sz w:val="20"/>
          <w:szCs w:val="20"/>
        </w:rPr>
        <w:t xml:space="preserve">  )  Declaro que he leído y acepto los términos de esta declaración y autorización de publicación.</w:t>
      </w:r>
    </w:p>
    <w:p w14:paraId="4E7E7338" w14:textId="55E8850D" w:rsidR="00BB045B" w:rsidRDefault="00BB045B" w:rsidP="00BB045B">
      <w:pPr>
        <w:spacing w:before="240" w:after="240"/>
        <w:rPr>
          <w:rFonts w:ascii="Roboto" w:eastAsia="Roboto" w:hAnsi="Roboto" w:cs="Roboto"/>
          <w:sz w:val="20"/>
          <w:szCs w:val="20"/>
        </w:rPr>
        <w:sectPr w:rsidR="00BB045B" w:rsidSect="00BB045B">
          <w:type w:val="continuous"/>
          <w:pgSz w:w="11906" w:h="16838"/>
          <w:pgMar w:top="1134" w:right="851" w:bottom="1134" w:left="851" w:header="357" w:footer="720" w:gutter="0"/>
          <w:cols w:space="335"/>
        </w:sectPr>
      </w:pPr>
      <w:r>
        <w:rPr>
          <w:rFonts w:ascii="Roboto" w:eastAsia="Roboto" w:hAnsi="Roboto" w:cs="Roboto"/>
          <w:b/>
          <w:bCs/>
          <w:sz w:val="20"/>
          <w:szCs w:val="20"/>
        </w:rPr>
        <w:t xml:space="preserve">Autor responsable: </w:t>
      </w:r>
      <w:r w:rsidRPr="00BB045B">
        <w:rPr>
          <w:rFonts w:ascii="Roboto" w:eastAsia="Roboto" w:hAnsi="Roboto" w:cs="Roboto"/>
          <w:sz w:val="20"/>
          <w:szCs w:val="20"/>
        </w:rPr>
        <w:t>Dr. Luis Hernán Orellana Santibáñez</w:t>
      </w:r>
      <w:r w:rsidRPr="00BB045B">
        <w:rPr>
          <w:rFonts w:ascii="Roboto" w:eastAsia="Roboto" w:hAnsi="Roboto" w:cs="Roboto"/>
          <w:sz w:val="20"/>
          <w:szCs w:val="20"/>
        </w:rPr>
        <w:br/>
      </w:r>
      <w:r>
        <w:rPr>
          <w:rFonts w:ascii="Roboto" w:eastAsia="Roboto" w:hAnsi="Roboto" w:cs="Roboto"/>
          <w:sz w:val="20"/>
          <w:szCs w:val="20"/>
        </w:rPr>
        <w:t xml:space="preserve"> </w:t>
      </w:r>
      <w:r>
        <w:rPr>
          <w:rFonts w:ascii="Roboto" w:eastAsia="Roboto" w:hAnsi="Roboto" w:cs="Roboto"/>
          <w:b/>
          <w:bCs/>
          <w:sz w:val="20"/>
          <w:szCs w:val="20"/>
        </w:rPr>
        <w:t xml:space="preserve">Institución: </w:t>
      </w:r>
      <w:r w:rsidRPr="00BB045B">
        <w:rPr>
          <w:rFonts w:ascii="Roboto" w:eastAsia="Roboto" w:hAnsi="Roboto" w:cs="Roboto"/>
          <w:sz w:val="20"/>
          <w:szCs w:val="20"/>
        </w:rPr>
        <w:t>Universidad Anáhuac Mérida</w:t>
      </w:r>
      <w:r w:rsidRPr="00BB045B">
        <w:rPr>
          <w:rFonts w:ascii="Roboto" w:eastAsia="Roboto" w:hAnsi="Roboto" w:cs="Roboto"/>
          <w:sz w:val="20"/>
          <w:szCs w:val="20"/>
        </w:rPr>
        <w:br/>
      </w:r>
      <w:r>
        <w:rPr>
          <w:rFonts w:ascii="Roboto" w:eastAsia="Roboto" w:hAnsi="Roboto" w:cs="Roboto"/>
          <w:sz w:val="20"/>
          <w:szCs w:val="20"/>
        </w:rPr>
        <w:lastRenderedPageBreak/>
        <w:t xml:space="preserve"> </w:t>
      </w:r>
      <w:r>
        <w:rPr>
          <w:rFonts w:ascii="Roboto" w:eastAsia="Roboto" w:hAnsi="Roboto" w:cs="Roboto"/>
          <w:b/>
          <w:bCs/>
          <w:sz w:val="20"/>
          <w:szCs w:val="20"/>
        </w:rPr>
        <w:t xml:space="preserve">Título del trabajo con autores: </w:t>
      </w:r>
      <w:r w:rsidRPr="00BB045B">
        <w:rPr>
          <w:rFonts w:ascii="Roboto" w:eastAsia="Roboto" w:hAnsi="Roboto" w:cs="Roboto"/>
          <w:bCs/>
          <w:sz w:val="20"/>
          <w:szCs w:val="20"/>
        </w:rPr>
        <w:t>Habilidades gerenciales y empleabilidad en egresados universitarios de carreras económico-administrativas</w:t>
      </w:r>
      <w:r>
        <w:rPr>
          <w:rFonts w:ascii="Roboto" w:eastAsia="Roboto" w:hAnsi="Roboto" w:cs="Roboto"/>
          <w:sz w:val="20"/>
          <w:szCs w:val="20"/>
        </w:rPr>
        <w:t xml:space="preserve">.          </w:t>
      </w:r>
      <w:r w:rsidRPr="00BB045B">
        <w:rPr>
          <w:rFonts w:ascii="Roboto" w:eastAsia="Roboto" w:hAnsi="Roboto" w:cs="Roboto"/>
          <w:bCs/>
          <w:sz w:val="20"/>
          <w:szCs w:val="20"/>
        </w:rPr>
        <w:t>Orellana Santibáñez Luis Hernán, Pacheco Pantoja María Antonie</w:t>
      </w:r>
      <w:r>
        <w:rPr>
          <w:rFonts w:ascii="Roboto" w:eastAsia="Roboto" w:hAnsi="Roboto" w:cs="Roboto"/>
          <w:bCs/>
          <w:sz w:val="20"/>
          <w:szCs w:val="20"/>
        </w:rPr>
        <w:t>ta.</w:t>
      </w:r>
    </w:p>
    <w:p w14:paraId="0C5D39CC" w14:textId="2359FE53" w:rsidR="00BB045B" w:rsidRPr="00822D77" w:rsidRDefault="00BB045B" w:rsidP="00BB045B">
      <w:pPr>
        <w:spacing w:before="240"/>
        <w:rPr>
          <w:rFonts w:ascii="Roboto" w:eastAsia="Roboto" w:hAnsi="Roboto" w:cs="Roboto"/>
          <w:sz w:val="20"/>
          <w:szCs w:val="20"/>
        </w:rPr>
      </w:pPr>
    </w:p>
    <w:sectPr w:rsidR="00BB045B" w:rsidRPr="00822D77">
      <w:type w:val="continuous"/>
      <w:pgSz w:w="11906" w:h="16838"/>
      <w:pgMar w:top="1134" w:right="851" w:bottom="1134" w:left="851" w:header="357" w:footer="720" w:gutter="0"/>
      <w:cols w:num="2" w:space="720" w:equalWidth="0">
        <w:col w:w="4934" w:space="335"/>
        <w:col w:w="4934" w:space="0"/>
      </w:cols>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EB55CBE" w14:textId="77777777" w:rsidR="00A3290F" w:rsidRDefault="00A3290F">
      <w:r>
        <w:separator/>
      </w:r>
    </w:p>
  </w:endnote>
  <w:endnote w:type="continuationSeparator" w:id="0">
    <w:p w14:paraId="2830FF71" w14:textId="77777777" w:rsidR="00A3290F" w:rsidRDefault="00A3290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Georgia">
    <w:panose1 w:val="02040502050405020303"/>
    <w:charset w:val="00"/>
    <w:family w:val="roman"/>
    <w:pitch w:val="variable"/>
    <w:sig w:usb0="00000287" w:usb1="00000000" w:usb2="00000000" w:usb3="00000000" w:csb0="0000009F" w:csb1="00000000"/>
  </w:font>
  <w:font w:name="Roboto">
    <w:charset w:val="00"/>
    <w:family w:val="auto"/>
    <w:pitch w:val="variable"/>
    <w:sig w:usb0="E0000AFF" w:usb1="5000217F" w:usb2="00000021" w:usb3="00000000" w:csb0="0000019F" w:csb1="00000000"/>
  </w:font>
  <w:font w:name="Calibri Light">
    <w:panose1 w:val="020F0302020204030204"/>
    <w:charset w:val="00"/>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FD6B387" w14:textId="77777777" w:rsidR="00A3290F" w:rsidRDefault="00A3290F">
      <w:r>
        <w:separator/>
      </w:r>
    </w:p>
  </w:footnote>
  <w:footnote w:type="continuationSeparator" w:id="0">
    <w:p w14:paraId="40DE3C81" w14:textId="77777777" w:rsidR="00A3290F" w:rsidRDefault="00A3290F">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A4E348B" w14:textId="77777777" w:rsidR="00032957" w:rsidRDefault="00032957">
    <w:pPr>
      <w:widowControl w:val="0"/>
      <w:pBdr>
        <w:top w:val="nil"/>
        <w:left w:val="nil"/>
        <w:bottom w:val="nil"/>
        <w:right w:val="nil"/>
        <w:between w:val="nil"/>
      </w:pBdr>
      <w:spacing w:line="276" w:lineRule="auto"/>
      <w:rPr>
        <w:rFonts w:ascii="Roboto" w:eastAsia="Roboto" w:hAnsi="Roboto" w:cs="Roboto"/>
      </w:rPr>
    </w:pPr>
  </w:p>
  <w:tbl>
    <w:tblPr>
      <w:tblStyle w:val="1"/>
      <w:tblW w:w="6306" w:type="dxa"/>
      <w:jc w:val="center"/>
      <w:tblInd w:w="0" w:type="dxa"/>
      <w:tblLayout w:type="fixed"/>
      <w:tblLook w:val="0400" w:firstRow="0" w:lastRow="0" w:firstColumn="0" w:lastColumn="0" w:noHBand="0" w:noVBand="1"/>
    </w:tblPr>
    <w:tblGrid>
      <w:gridCol w:w="6306"/>
    </w:tblGrid>
    <w:tr w:rsidR="00032957" w14:paraId="6711521C" w14:textId="77777777">
      <w:trPr>
        <w:trHeight w:val="345"/>
        <w:jc w:val="center"/>
      </w:trPr>
      <w:tc>
        <w:tcPr>
          <w:tcW w:w="6306" w:type="dxa"/>
          <w:vAlign w:val="center"/>
        </w:tcPr>
        <w:p w14:paraId="054299C2" w14:textId="77777777" w:rsidR="00032957" w:rsidRDefault="00032957">
          <w:pPr>
            <w:jc w:val="center"/>
            <w:rPr>
              <w:i/>
              <w:sz w:val="18"/>
              <w:szCs w:val="18"/>
            </w:rPr>
          </w:pPr>
        </w:p>
      </w:tc>
    </w:tr>
  </w:tbl>
  <w:p w14:paraId="1E87E393" w14:textId="77777777" w:rsidR="00032957" w:rsidRDefault="00032957">
    <w:pPr>
      <w:pBdr>
        <w:top w:val="nil"/>
        <w:left w:val="nil"/>
        <w:bottom w:val="nil"/>
        <w:right w:val="nil"/>
        <w:between w:val="nil"/>
      </w:pBdr>
      <w:tabs>
        <w:tab w:val="center" w:pos="4320"/>
        <w:tab w:val="right" w:pos="8640"/>
      </w:tabs>
      <w:rPr>
        <w:rFonts w:ascii="Calibri" w:eastAsia="Calibri" w:hAnsi="Calibri" w:cs="Calibri"/>
        <w:color w:val="000000"/>
        <w:sz w:val="22"/>
        <w:szCs w:val="2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6937363C"/>
    <w:multiLevelType w:val="multilevel"/>
    <w:tmpl w:val="C3E6C24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 w15:restartNumberingAfterBreak="0">
    <w:nsid w:val="6F3C10EA"/>
    <w:multiLevelType w:val="multilevel"/>
    <w:tmpl w:val="0312314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16cid:durableId="1730374154">
    <w:abstractNumId w:val="0"/>
  </w:num>
  <w:num w:numId="2" w16cid:durableId="54987968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32957"/>
    <w:rsid w:val="000079D7"/>
    <w:rsid w:val="000241C8"/>
    <w:rsid w:val="00030C85"/>
    <w:rsid w:val="00032957"/>
    <w:rsid w:val="000330F3"/>
    <w:rsid w:val="000903BF"/>
    <w:rsid w:val="000A5FE6"/>
    <w:rsid w:val="0011679B"/>
    <w:rsid w:val="00134615"/>
    <w:rsid w:val="00154A30"/>
    <w:rsid w:val="0016696F"/>
    <w:rsid w:val="001748B1"/>
    <w:rsid w:val="00174E13"/>
    <w:rsid w:val="00204AA2"/>
    <w:rsid w:val="00234617"/>
    <w:rsid w:val="002364C0"/>
    <w:rsid w:val="00242667"/>
    <w:rsid w:val="002634AD"/>
    <w:rsid w:val="00266CE6"/>
    <w:rsid w:val="002715F6"/>
    <w:rsid w:val="002B5FA4"/>
    <w:rsid w:val="002C4DE9"/>
    <w:rsid w:val="002F38C3"/>
    <w:rsid w:val="003029EC"/>
    <w:rsid w:val="00302A8E"/>
    <w:rsid w:val="00310937"/>
    <w:rsid w:val="003123CA"/>
    <w:rsid w:val="00314492"/>
    <w:rsid w:val="0033350E"/>
    <w:rsid w:val="00334548"/>
    <w:rsid w:val="00363FEE"/>
    <w:rsid w:val="003A23EF"/>
    <w:rsid w:val="003B0F53"/>
    <w:rsid w:val="003C4235"/>
    <w:rsid w:val="003C75EE"/>
    <w:rsid w:val="003D403D"/>
    <w:rsid w:val="003E20D9"/>
    <w:rsid w:val="003E71ED"/>
    <w:rsid w:val="003F2C4D"/>
    <w:rsid w:val="00402F34"/>
    <w:rsid w:val="00410693"/>
    <w:rsid w:val="00431C9D"/>
    <w:rsid w:val="00450BFD"/>
    <w:rsid w:val="00457282"/>
    <w:rsid w:val="00466DAD"/>
    <w:rsid w:val="004A087A"/>
    <w:rsid w:val="004A27AC"/>
    <w:rsid w:val="004A3F86"/>
    <w:rsid w:val="00566BDC"/>
    <w:rsid w:val="005A6B3A"/>
    <w:rsid w:val="005C49A9"/>
    <w:rsid w:val="005F1972"/>
    <w:rsid w:val="00613E6B"/>
    <w:rsid w:val="006362EA"/>
    <w:rsid w:val="0067369D"/>
    <w:rsid w:val="0067425C"/>
    <w:rsid w:val="006762D1"/>
    <w:rsid w:val="00687135"/>
    <w:rsid w:val="006A7EB1"/>
    <w:rsid w:val="006B5AD8"/>
    <w:rsid w:val="006D62C0"/>
    <w:rsid w:val="006F418A"/>
    <w:rsid w:val="007446EC"/>
    <w:rsid w:val="007828C2"/>
    <w:rsid w:val="007A0194"/>
    <w:rsid w:val="007A5DDE"/>
    <w:rsid w:val="007A68F3"/>
    <w:rsid w:val="007B0DA0"/>
    <w:rsid w:val="00803B3D"/>
    <w:rsid w:val="00822D77"/>
    <w:rsid w:val="00827532"/>
    <w:rsid w:val="00837C05"/>
    <w:rsid w:val="00845E8F"/>
    <w:rsid w:val="00863AA3"/>
    <w:rsid w:val="008C19C6"/>
    <w:rsid w:val="008E2D4D"/>
    <w:rsid w:val="008F0F59"/>
    <w:rsid w:val="00900447"/>
    <w:rsid w:val="00903BA7"/>
    <w:rsid w:val="00912877"/>
    <w:rsid w:val="009217FB"/>
    <w:rsid w:val="00956592"/>
    <w:rsid w:val="00987A11"/>
    <w:rsid w:val="009C63C7"/>
    <w:rsid w:val="009F3CEA"/>
    <w:rsid w:val="00A143C8"/>
    <w:rsid w:val="00A3100A"/>
    <w:rsid w:val="00A3290F"/>
    <w:rsid w:val="00A40179"/>
    <w:rsid w:val="00A4751F"/>
    <w:rsid w:val="00A92468"/>
    <w:rsid w:val="00A94E5D"/>
    <w:rsid w:val="00AD4913"/>
    <w:rsid w:val="00AD4D60"/>
    <w:rsid w:val="00AE025E"/>
    <w:rsid w:val="00AE23EE"/>
    <w:rsid w:val="00AF187E"/>
    <w:rsid w:val="00B001A6"/>
    <w:rsid w:val="00B04876"/>
    <w:rsid w:val="00B06D63"/>
    <w:rsid w:val="00B24712"/>
    <w:rsid w:val="00B9404B"/>
    <w:rsid w:val="00BA40BC"/>
    <w:rsid w:val="00BB045B"/>
    <w:rsid w:val="00BD3971"/>
    <w:rsid w:val="00BD4A66"/>
    <w:rsid w:val="00BE12E7"/>
    <w:rsid w:val="00BF3FA5"/>
    <w:rsid w:val="00BF59DF"/>
    <w:rsid w:val="00C04F27"/>
    <w:rsid w:val="00C25545"/>
    <w:rsid w:val="00C55C96"/>
    <w:rsid w:val="00C56FF9"/>
    <w:rsid w:val="00C71A76"/>
    <w:rsid w:val="00C81E9F"/>
    <w:rsid w:val="00C96EF9"/>
    <w:rsid w:val="00CC47FB"/>
    <w:rsid w:val="00CE25CE"/>
    <w:rsid w:val="00CF0AFF"/>
    <w:rsid w:val="00CF5408"/>
    <w:rsid w:val="00CF5BD3"/>
    <w:rsid w:val="00D02EB7"/>
    <w:rsid w:val="00D2358D"/>
    <w:rsid w:val="00D25152"/>
    <w:rsid w:val="00D325D9"/>
    <w:rsid w:val="00D350E5"/>
    <w:rsid w:val="00D764F1"/>
    <w:rsid w:val="00D95857"/>
    <w:rsid w:val="00DA1CBF"/>
    <w:rsid w:val="00DA4748"/>
    <w:rsid w:val="00DB4840"/>
    <w:rsid w:val="00E13378"/>
    <w:rsid w:val="00E30550"/>
    <w:rsid w:val="00E3151F"/>
    <w:rsid w:val="00E47082"/>
    <w:rsid w:val="00E473B6"/>
    <w:rsid w:val="00E47716"/>
    <w:rsid w:val="00EC2282"/>
    <w:rsid w:val="00EF0DE0"/>
    <w:rsid w:val="00F1212F"/>
    <w:rsid w:val="00F32E6C"/>
    <w:rsid w:val="00F43939"/>
    <w:rsid w:val="00F47170"/>
    <w:rsid w:val="00F7086F"/>
    <w:rsid w:val="00FA6902"/>
    <w:rsid w:val="00FB33A6"/>
    <w:rsid w:val="00FC4776"/>
    <w:rsid w:val="00FE5217"/>
    <w:rsid w:val="00FF5997"/>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DED81EF"/>
  <w15:docId w15:val="{E2F6BA8C-1683-418E-A779-240710269C3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sz w:val="24"/>
        <w:szCs w:val="24"/>
        <w:lang w:val="es-MX" w:eastAsia="es-MX"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B045B"/>
  </w:style>
  <w:style w:type="paragraph" w:styleId="Ttulo1">
    <w:name w:val="heading 1"/>
    <w:basedOn w:val="Normal"/>
    <w:next w:val="Normal"/>
    <w:uiPriority w:val="9"/>
    <w:qFormat/>
    <w:pPr>
      <w:keepNext/>
      <w:keepLines/>
      <w:spacing w:before="480" w:after="120"/>
      <w:outlineLvl w:val="0"/>
    </w:pPr>
    <w:rPr>
      <w:b/>
      <w:sz w:val="48"/>
      <w:szCs w:val="48"/>
    </w:rPr>
  </w:style>
  <w:style w:type="paragraph" w:styleId="Ttulo2">
    <w:name w:val="heading 2"/>
    <w:basedOn w:val="Normal"/>
    <w:next w:val="Normal"/>
    <w:uiPriority w:val="9"/>
    <w:semiHidden/>
    <w:unhideWhenUsed/>
    <w:qFormat/>
    <w:pPr>
      <w:keepNext/>
      <w:keepLines/>
      <w:spacing w:before="360" w:after="80"/>
      <w:outlineLvl w:val="1"/>
    </w:pPr>
    <w:rPr>
      <w:b/>
      <w:sz w:val="36"/>
      <w:szCs w:val="36"/>
    </w:rPr>
  </w:style>
  <w:style w:type="paragraph" w:styleId="Ttulo3">
    <w:name w:val="heading 3"/>
    <w:basedOn w:val="Normal"/>
    <w:next w:val="Normal"/>
    <w:uiPriority w:val="9"/>
    <w:semiHidden/>
    <w:unhideWhenUsed/>
    <w:qFormat/>
    <w:pPr>
      <w:keepNext/>
      <w:keepLines/>
      <w:spacing w:before="280" w:after="80"/>
      <w:outlineLvl w:val="2"/>
    </w:pPr>
    <w:rPr>
      <w:b/>
      <w:sz w:val="28"/>
      <w:szCs w:val="28"/>
    </w:rPr>
  </w:style>
  <w:style w:type="paragraph" w:styleId="Ttulo4">
    <w:name w:val="heading 4"/>
    <w:basedOn w:val="Normal"/>
    <w:next w:val="Normal"/>
    <w:uiPriority w:val="9"/>
    <w:semiHidden/>
    <w:unhideWhenUsed/>
    <w:qFormat/>
    <w:pPr>
      <w:keepNext/>
      <w:keepLines/>
      <w:spacing w:before="240" w:after="40"/>
      <w:outlineLvl w:val="3"/>
    </w:pPr>
    <w:rPr>
      <w:b/>
    </w:rPr>
  </w:style>
  <w:style w:type="paragraph" w:styleId="Ttulo5">
    <w:name w:val="heading 5"/>
    <w:basedOn w:val="Normal"/>
    <w:next w:val="Normal"/>
    <w:uiPriority w:val="9"/>
    <w:semiHidden/>
    <w:unhideWhenUsed/>
    <w:qFormat/>
    <w:pPr>
      <w:keepNext/>
      <w:keepLines/>
      <w:spacing w:before="220" w:after="40"/>
      <w:outlineLvl w:val="4"/>
    </w:pPr>
    <w:rPr>
      <w:b/>
      <w:sz w:val="22"/>
      <w:szCs w:val="22"/>
    </w:rPr>
  </w:style>
  <w:style w:type="paragraph" w:styleId="Ttulo6">
    <w:name w:val="heading 6"/>
    <w:basedOn w:val="Normal"/>
    <w:next w:val="Normal"/>
    <w:uiPriority w:val="9"/>
    <w:semiHidden/>
    <w:unhideWhenUsed/>
    <w:qFormat/>
    <w:pPr>
      <w:keepNext/>
      <w:keepLines/>
      <w:spacing w:before="200" w:after="40"/>
      <w:outlineLvl w:val="5"/>
    </w:pPr>
    <w:rPr>
      <w:b/>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Normal"/>
    <w:tblPr>
      <w:tblCellMar>
        <w:top w:w="100" w:type="dxa"/>
        <w:left w:w="100" w:type="dxa"/>
        <w:bottom w:w="100" w:type="dxa"/>
        <w:right w:w="100" w:type="dxa"/>
      </w:tblCellMar>
    </w:tblPr>
  </w:style>
  <w:style w:type="paragraph" w:styleId="Ttulo">
    <w:name w:val="Title"/>
    <w:basedOn w:val="Normal"/>
    <w:next w:val="Normal"/>
    <w:uiPriority w:val="10"/>
    <w:qFormat/>
    <w:pPr>
      <w:keepNext/>
      <w:keepLines/>
      <w:spacing w:before="480" w:after="120"/>
    </w:pPr>
    <w:rPr>
      <w:b/>
      <w:sz w:val="72"/>
      <w:szCs w:val="72"/>
    </w:rPr>
  </w:style>
  <w:style w:type="table" w:customStyle="1" w:styleId="TableNormal1">
    <w:name w:val="TableNormal1"/>
    <w:tblPr>
      <w:tblCellMar>
        <w:top w:w="100" w:type="dxa"/>
        <w:left w:w="100" w:type="dxa"/>
        <w:bottom w:w="100" w:type="dxa"/>
        <w:right w:w="100" w:type="dxa"/>
      </w:tblCellMar>
    </w:tblPr>
  </w:style>
  <w:style w:type="paragraph" w:styleId="Encabezado">
    <w:name w:val="header"/>
    <w:basedOn w:val="Normal"/>
    <w:link w:val="EncabezadoCar"/>
    <w:uiPriority w:val="99"/>
    <w:unhideWhenUsed/>
    <w:rsid w:val="005625FC"/>
    <w:pPr>
      <w:tabs>
        <w:tab w:val="center" w:pos="4320"/>
        <w:tab w:val="right" w:pos="8640"/>
      </w:tabs>
    </w:pPr>
    <w:rPr>
      <w:rFonts w:asciiTheme="minorHAnsi" w:eastAsiaTheme="minorHAnsi" w:hAnsiTheme="minorHAnsi" w:cstheme="minorBidi"/>
      <w:sz w:val="22"/>
      <w:szCs w:val="22"/>
      <w:lang w:val="en-US"/>
    </w:rPr>
  </w:style>
  <w:style w:type="character" w:customStyle="1" w:styleId="EncabezadoCar">
    <w:name w:val="Encabezado Car"/>
    <w:basedOn w:val="Fuentedeprrafopredeter"/>
    <w:link w:val="Encabezado"/>
    <w:uiPriority w:val="99"/>
    <w:rsid w:val="005625FC"/>
    <w:rPr>
      <w:lang w:val="en-US"/>
    </w:rPr>
  </w:style>
  <w:style w:type="paragraph" w:customStyle="1" w:styleId="AUTHORSNAMES">
    <w:name w:val="AUTHORS NAMES"/>
    <w:basedOn w:val="Normal"/>
    <w:qFormat/>
    <w:rsid w:val="005625FC"/>
    <w:pPr>
      <w:spacing w:before="120" w:after="120" w:line="240" w:lineRule="atLeast"/>
    </w:pPr>
    <w:rPr>
      <w:b/>
      <w:sz w:val="22"/>
      <w:szCs w:val="20"/>
    </w:rPr>
  </w:style>
  <w:style w:type="paragraph" w:customStyle="1" w:styleId="AFFILIATIONS">
    <w:name w:val="AFFILIATIONS"/>
    <w:basedOn w:val="Normal"/>
    <w:qFormat/>
    <w:rsid w:val="005625FC"/>
    <w:pPr>
      <w:spacing w:line="240" w:lineRule="atLeast"/>
    </w:pPr>
    <w:rPr>
      <w:sz w:val="18"/>
      <w:szCs w:val="20"/>
      <w:vertAlign w:val="superscript"/>
      <w:lang w:val="en-US"/>
    </w:rPr>
  </w:style>
  <w:style w:type="paragraph" w:styleId="Textocomentario">
    <w:name w:val="annotation text"/>
    <w:basedOn w:val="Normal"/>
    <w:link w:val="TextocomentarioCar"/>
    <w:rsid w:val="005625FC"/>
    <w:rPr>
      <w:sz w:val="20"/>
      <w:szCs w:val="20"/>
    </w:rPr>
  </w:style>
  <w:style w:type="character" w:customStyle="1" w:styleId="TextocomentarioCar">
    <w:name w:val="Texto comentario Car"/>
    <w:basedOn w:val="Fuentedeprrafopredeter"/>
    <w:link w:val="Textocomentario"/>
    <w:rsid w:val="005625FC"/>
    <w:rPr>
      <w:rFonts w:ascii="Times New Roman" w:eastAsia="Times New Roman" w:hAnsi="Times New Roman" w:cs="Times New Roman"/>
      <w:sz w:val="20"/>
      <w:szCs w:val="20"/>
      <w:lang w:val="tr-TR" w:eastAsia="tr-TR"/>
    </w:rPr>
  </w:style>
  <w:style w:type="character" w:styleId="Hipervnculo">
    <w:name w:val="Hyperlink"/>
    <w:basedOn w:val="Fuentedeprrafopredeter"/>
    <w:uiPriority w:val="99"/>
    <w:unhideWhenUsed/>
    <w:rsid w:val="005625FC"/>
    <w:rPr>
      <w:color w:val="0563C1" w:themeColor="hyperlink"/>
      <w:u w:val="single"/>
    </w:rPr>
  </w:style>
  <w:style w:type="paragraph" w:styleId="Piedepgina">
    <w:name w:val="footer"/>
    <w:basedOn w:val="Normal"/>
    <w:link w:val="PiedepginaCar"/>
    <w:uiPriority w:val="99"/>
    <w:unhideWhenUsed/>
    <w:rsid w:val="00B12BB3"/>
    <w:pPr>
      <w:tabs>
        <w:tab w:val="center" w:pos="4419"/>
        <w:tab w:val="right" w:pos="8838"/>
      </w:tabs>
    </w:pPr>
  </w:style>
  <w:style w:type="character" w:customStyle="1" w:styleId="PiedepginaCar">
    <w:name w:val="Pie de página Car"/>
    <w:basedOn w:val="Fuentedeprrafopredeter"/>
    <w:link w:val="Piedepgina"/>
    <w:uiPriority w:val="99"/>
    <w:rsid w:val="00B12BB3"/>
    <w:rPr>
      <w:rFonts w:ascii="Times New Roman" w:eastAsia="Times New Roman" w:hAnsi="Times New Roman" w:cs="Times New Roman"/>
      <w:sz w:val="24"/>
      <w:szCs w:val="24"/>
      <w:lang w:val="tr-TR" w:eastAsia="tr-TR"/>
    </w:rPr>
  </w:style>
  <w:style w:type="character" w:styleId="Mencinsinresolver">
    <w:name w:val="Unresolved Mention"/>
    <w:basedOn w:val="Fuentedeprrafopredeter"/>
    <w:uiPriority w:val="99"/>
    <w:semiHidden/>
    <w:unhideWhenUsed/>
    <w:rsid w:val="00AC5917"/>
    <w:rPr>
      <w:color w:val="605E5C"/>
      <w:shd w:val="clear" w:color="auto" w:fill="E1DFDD"/>
    </w:rPr>
  </w:style>
  <w:style w:type="table" w:customStyle="1" w:styleId="4">
    <w:name w:val="4"/>
    <w:basedOn w:val="TableNormal1"/>
    <w:tblPr>
      <w:tblStyleRowBandSize w:val="1"/>
      <w:tblStyleColBandSize w:val="1"/>
      <w:tblCellMar>
        <w:top w:w="0" w:type="dxa"/>
        <w:left w:w="115" w:type="dxa"/>
        <w:bottom w:w="0" w:type="dxa"/>
        <w:right w:w="115" w:type="dxa"/>
      </w:tblCellMar>
    </w:tblPr>
  </w:style>
  <w:style w:type="table" w:customStyle="1" w:styleId="3">
    <w:name w:val="3"/>
    <w:basedOn w:val="TableNormal1"/>
    <w:tblPr>
      <w:tblStyleRowBandSize w:val="1"/>
      <w:tblStyleColBandSize w:val="1"/>
      <w:tblCellMar>
        <w:top w:w="0" w:type="dxa"/>
        <w:left w:w="115" w:type="dxa"/>
        <w:bottom w:w="0" w:type="dxa"/>
        <w:right w:w="115" w:type="dxa"/>
      </w:tblCellMar>
    </w:tblPr>
  </w:style>
  <w:style w:type="paragraph" w:styleId="Subttulo">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table" w:customStyle="1" w:styleId="2">
    <w:name w:val="2"/>
    <w:basedOn w:val="TableNormal1"/>
    <w:tblPr>
      <w:tblStyleRowBandSize w:val="1"/>
      <w:tblStyleColBandSize w:val="1"/>
      <w:tblCellMar>
        <w:top w:w="0" w:type="dxa"/>
        <w:left w:w="115" w:type="dxa"/>
        <w:bottom w:w="0" w:type="dxa"/>
        <w:right w:w="115" w:type="dxa"/>
      </w:tblCellMar>
    </w:tblPr>
  </w:style>
  <w:style w:type="table" w:customStyle="1" w:styleId="1">
    <w:name w:val="1"/>
    <w:basedOn w:val="TableNormal1"/>
    <w:tblPr>
      <w:tblStyleRowBandSize w:val="1"/>
      <w:tblStyleColBandSize w:val="1"/>
      <w:tblCellMar>
        <w:top w:w="0" w:type="dxa"/>
        <w:left w:w="115" w:type="dxa"/>
        <w:bottom w:w="0" w:type="dxa"/>
        <w:right w:w="115" w:type="dxa"/>
      </w:tblCellMar>
    </w:tblPr>
  </w:style>
  <w:style w:type="character" w:styleId="nfasis">
    <w:name w:val="Emphasis"/>
    <w:basedOn w:val="Fuentedeprrafopredeter"/>
    <w:uiPriority w:val="20"/>
    <w:qFormat/>
    <w:rsid w:val="00822D77"/>
    <w:rPr>
      <w:i/>
      <w:iCs/>
    </w:rPr>
  </w:style>
  <w:style w:type="table" w:styleId="Tablaconcuadrcula">
    <w:name w:val="Table Grid"/>
    <w:basedOn w:val="Tablanormal"/>
    <w:uiPriority w:val="59"/>
    <w:rsid w:val="003E71ED"/>
    <w:rPr>
      <w:rFonts w:asciiTheme="minorHAnsi" w:eastAsiaTheme="minorEastAsia" w:hAnsiTheme="minorHAnsi" w:cstheme="minorBid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hyperlink" Target="https://orcid.org/0009-0007-6940-3085"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0" Type="http://schemas.openxmlformats.org/officeDocument/2006/relationships/hyperlink" Target="mailto:luis.orellana@anahuac.mx" TargetMode="External"/><Relationship Id="rId4" Type="http://schemas.openxmlformats.org/officeDocument/2006/relationships/settings" Target="settings.xml"/><Relationship Id="rId9" Type="http://schemas.openxmlformats.org/officeDocument/2006/relationships/hyperlink" Target="https://orcid.org/0009-0006-0564-7382"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iljXbelLgG65gZF2QnhxRlAtOTng==">CgMxLjA4AHIhMVVnbmZxNjZHV2Z0N2NLeFRUSEl4WjFxMVQ0MkVYSkYx</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4</Pages>
  <Words>2206</Words>
  <Characters>12139</Characters>
  <Application>Microsoft Office Word</Application>
  <DocSecurity>0</DocSecurity>
  <Lines>101</Lines>
  <Paragraphs>28</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14317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Mariana Berenice González Leija</dc:creator>
  <cp:keywords/>
  <dc:description/>
  <cp:lastModifiedBy>Luis Hernán Orellana Santibáñez</cp:lastModifiedBy>
  <cp:revision>2</cp:revision>
  <dcterms:created xsi:type="dcterms:W3CDTF">2026-03-20T17:38:00Z</dcterms:created>
  <dcterms:modified xsi:type="dcterms:W3CDTF">2026-03-20T17:38:00Z</dcterms:modified>
</cp:coreProperties>
</file>