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D5BB29" w14:textId="77777777" w:rsidR="006A69CA" w:rsidRDefault="003C29B9">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rPr>
        <w:t>IMPACTO DE LA REFORMA JUDICIAL EN EL T-MEC: PERSPECTIVAS PARA 2026</w:t>
      </w:r>
    </w:p>
    <w:p w14:paraId="4779FE5E" w14:textId="77777777" w:rsidR="006A69CA" w:rsidRPr="00123E6B" w:rsidRDefault="003C29B9">
      <w:pPr>
        <w:pBdr>
          <w:top w:val="nil"/>
          <w:left w:val="nil"/>
          <w:bottom w:val="nil"/>
          <w:right w:val="nil"/>
          <w:between w:val="nil"/>
        </w:pBdr>
        <w:spacing w:before="120" w:after="120"/>
        <w:jc w:val="center"/>
        <w:rPr>
          <w:rFonts w:ascii="Roboto" w:eastAsia="Roboto" w:hAnsi="Roboto" w:cs="Roboto"/>
          <w:color w:val="000000"/>
          <w:sz w:val="18"/>
          <w:szCs w:val="18"/>
          <w:vertAlign w:val="superscript"/>
          <w:lang w:val="it-IT"/>
        </w:rPr>
      </w:pPr>
      <w:r w:rsidRPr="00123E6B">
        <w:rPr>
          <w:rFonts w:ascii="Roboto" w:eastAsia="Roboto" w:hAnsi="Roboto" w:cs="Roboto"/>
          <w:b/>
          <w:bCs/>
          <w:sz w:val="20"/>
          <w:szCs w:val="20"/>
          <w:lang w:val="it-IT"/>
        </w:rPr>
        <w:t>Brown del Rivero Alfonso</w:t>
      </w:r>
      <w:r w:rsidRPr="00123E6B">
        <w:rPr>
          <w:rFonts w:ascii="Roboto" w:eastAsia="Roboto" w:hAnsi="Roboto" w:cs="Roboto"/>
          <w:b/>
          <w:bCs/>
          <w:color w:val="000000"/>
          <w:sz w:val="20"/>
          <w:szCs w:val="20"/>
          <w:vertAlign w:val="superscript"/>
          <w:lang w:val="it-IT"/>
        </w:rPr>
        <w:t>*</w:t>
      </w:r>
    </w:p>
    <w:p w14:paraId="52617B37" w14:textId="77777777" w:rsidR="00123E6B" w:rsidRPr="00123E6B" w:rsidRDefault="00123E6B" w:rsidP="00123E6B">
      <w:pPr>
        <w:jc w:val="center"/>
        <w:rPr>
          <w:rFonts w:ascii="Roboto" w:eastAsia="Roboto" w:hAnsi="Roboto" w:cs="Roboto"/>
          <w:sz w:val="18"/>
          <w:szCs w:val="18"/>
          <w:lang w:val="it-IT"/>
        </w:rPr>
      </w:pPr>
      <w:bookmarkStart w:id="0" w:name="_heading=h.wjyuu4ekbakd" w:colFirst="0" w:colLast="0"/>
      <w:bookmarkEnd w:id="0"/>
      <w:r w:rsidRPr="00123E6B">
        <w:rPr>
          <w:rFonts w:ascii="Roboto" w:eastAsia="Roboto" w:hAnsi="Roboto" w:cs="Roboto"/>
          <w:sz w:val="18"/>
          <w:szCs w:val="18"/>
          <w:lang w:val="it-IT"/>
        </w:rPr>
        <w:t>https://orcid.org/0000-0003-4370-3892</w:t>
      </w:r>
    </w:p>
    <w:p w14:paraId="2567D536" w14:textId="77777777" w:rsidR="006A69CA" w:rsidRPr="00123E6B" w:rsidRDefault="003C29B9">
      <w:pPr>
        <w:jc w:val="center"/>
        <w:rPr>
          <w:rFonts w:ascii="Roboto" w:eastAsia="Roboto" w:hAnsi="Roboto" w:cs="Roboto"/>
          <w:sz w:val="18"/>
          <w:szCs w:val="18"/>
          <w:lang w:val="it-IT"/>
        </w:rPr>
      </w:pPr>
      <w:r w:rsidRPr="00123E6B">
        <w:rPr>
          <w:rFonts w:ascii="Roboto" w:eastAsia="Roboto" w:hAnsi="Roboto" w:cs="Roboto"/>
          <w:sz w:val="18"/>
          <w:szCs w:val="18"/>
          <w:lang w:val="it-IT"/>
        </w:rPr>
        <w:t>*</w:t>
      </w:r>
      <w:r w:rsidRPr="00123E6B">
        <w:rPr>
          <w:rFonts w:ascii="Roboto" w:eastAsia="Roboto" w:hAnsi="Roboto" w:cs="Roboto"/>
          <w:sz w:val="18"/>
          <w:szCs w:val="18"/>
          <w:lang w:val="it-IT"/>
        </w:rPr>
        <w:t>alfonso.brown@anahuac.mx</w:t>
      </w:r>
    </w:p>
    <w:p w14:paraId="1B6B4D4A" w14:textId="77777777" w:rsidR="006A69CA" w:rsidRDefault="003C29B9">
      <w:pPr>
        <w:spacing w:before="60"/>
        <w:jc w:val="center"/>
        <w:rPr>
          <w:rFonts w:ascii="Roboto" w:eastAsia="Roboto" w:hAnsi="Roboto" w:cs="Roboto"/>
          <w:sz w:val="18"/>
          <w:szCs w:val="18"/>
        </w:rPr>
        <w:sectPr w:rsidR="006A69CA">
          <w:headerReference w:type="default" r:id="rId11"/>
          <w:pgSz w:w="11906" w:h="16838"/>
          <w:pgMar w:top="851" w:right="851" w:bottom="828" w:left="851" w:header="357" w:footer="720" w:gutter="0"/>
          <w:pgNumType w:start="1"/>
          <w:cols w:space="720"/>
        </w:sectPr>
      </w:pPr>
      <w:r>
        <w:pict w14:anchorId="52921294">
          <v:rect id="_x0000_i1025" style="width:0;height:1.5pt" o:hralign="center" o:hrstd="t" o:hr="t" fillcolor="#a0a0a0" stroked="f"/>
        </w:pict>
      </w:r>
    </w:p>
    <w:p w14:paraId="0311E778" w14:textId="77777777" w:rsidR="00D429D4" w:rsidRPr="00D429D4" w:rsidRDefault="00D429D4" w:rsidP="00D429D4">
      <w:pPr>
        <w:pBdr>
          <w:top w:val="nil"/>
          <w:left w:val="nil"/>
          <w:bottom w:val="nil"/>
          <w:right w:val="nil"/>
          <w:between w:val="nil"/>
        </w:pBdr>
        <w:jc w:val="both"/>
        <w:rPr>
          <w:rFonts w:ascii="Roboto" w:eastAsia="Roboto" w:hAnsi="Roboto" w:cs="Roboto"/>
          <w:b/>
          <w:bCs/>
          <w:color w:val="000000"/>
          <w:sz w:val="20"/>
          <w:szCs w:val="20"/>
        </w:rPr>
      </w:pPr>
      <w:r w:rsidRPr="00D429D4">
        <w:rPr>
          <w:rFonts w:ascii="Roboto" w:eastAsia="Roboto" w:hAnsi="Roboto" w:cs="Roboto"/>
          <w:b/>
          <w:bCs/>
          <w:color w:val="000000"/>
          <w:sz w:val="20"/>
          <w:szCs w:val="20"/>
        </w:rPr>
        <w:t>INTRODUCCIÓN </w:t>
      </w:r>
    </w:p>
    <w:p w14:paraId="60E98B15" w14:textId="636663E1" w:rsidR="00D429D4" w:rsidRPr="00D429D4" w:rsidRDefault="00D429D4" w:rsidP="00D429D4">
      <w:pPr>
        <w:pBdr>
          <w:top w:val="nil"/>
          <w:left w:val="nil"/>
          <w:bottom w:val="nil"/>
          <w:right w:val="nil"/>
          <w:between w:val="nil"/>
        </w:pBdr>
        <w:jc w:val="both"/>
        <w:rPr>
          <w:rFonts w:ascii="Roboto" w:eastAsia="Roboto" w:hAnsi="Roboto" w:cs="Roboto"/>
          <w:color w:val="000000"/>
          <w:sz w:val="20"/>
          <w:szCs w:val="20"/>
        </w:rPr>
      </w:pPr>
      <w:r w:rsidRPr="00D429D4">
        <w:rPr>
          <w:rFonts w:ascii="Roboto" w:eastAsia="Roboto" w:hAnsi="Roboto" w:cs="Roboto"/>
          <w:color w:val="000000"/>
          <w:sz w:val="20"/>
          <w:szCs w:val="20"/>
        </w:rPr>
        <w:t xml:space="preserve">La revisión del T-MEC en 2026 </w:t>
      </w:r>
      <w:r w:rsidR="00823971">
        <w:rPr>
          <w:rFonts w:ascii="Roboto" w:eastAsia="Roboto" w:hAnsi="Roboto" w:cs="Roboto"/>
          <w:color w:val="000000"/>
          <w:sz w:val="20"/>
          <w:szCs w:val="20"/>
        </w:rPr>
        <w:t>representa</w:t>
      </w:r>
      <w:r w:rsidRPr="00D429D4">
        <w:rPr>
          <w:rFonts w:ascii="Roboto" w:eastAsia="Roboto" w:hAnsi="Roboto" w:cs="Roboto"/>
          <w:color w:val="000000"/>
          <w:sz w:val="20"/>
          <w:szCs w:val="20"/>
        </w:rPr>
        <w:t xml:space="preserve"> el desafío más complejo para México desde la entrada en vigor del tratado. A diferencia de momentos anteriores, la variable crítica no es tanto la arancelaria, sino la institucional. La </w:t>
      </w:r>
      <w:r w:rsidR="00823971">
        <w:rPr>
          <w:rFonts w:ascii="Roboto" w:eastAsia="Roboto" w:hAnsi="Roboto" w:cs="Roboto"/>
          <w:color w:val="000000"/>
          <w:sz w:val="20"/>
          <w:szCs w:val="20"/>
        </w:rPr>
        <w:t>aprobación</w:t>
      </w:r>
      <w:r w:rsidRPr="00D429D4">
        <w:rPr>
          <w:rFonts w:ascii="Roboto" w:eastAsia="Roboto" w:hAnsi="Roboto" w:cs="Roboto"/>
          <w:color w:val="000000"/>
          <w:sz w:val="20"/>
          <w:szCs w:val="20"/>
        </w:rPr>
        <w:t xml:space="preserve"> de la Reforma Judicial de 2024 —que introdujo la elección popular de juzgadores— genera tensiones con las expectativas de certidumbre jurídica de los socios comerciales, creando un escenario de riesgo para el comercio y los negocios regionales. Empresarios estadounidenses han advertido que esta reforma, al politizar el sistema de justicia, pone en riesgo la imparcialidad de los jueces en las disputas entre inversionistas privados y el gobierno mexicano. </w:t>
      </w:r>
    </w:p>
    <w:p w14:paraId="100D0B41" w14:textId="77777777" w:rsidR="00D429D4" w:rsidRDefault="00D429D4" w:rsidP="00D429D4">
      <w:pPr>
        <w:pBdr>
          <w:top w:val="nil"/>
          <w:left w:val="nil"/>
          <w:bottom w:val="nil"/>
          <w:right w:val="nil"/>
          <w:between w:val="nil"/>
        </w:pBdr>
        <w:jc w:val="both"/>
        <w:rPr>
          <w:rFonts w:ascii="Roboto" w:eastAsia="Roboto" w:hAnsi="Roboto" w:cs="Roboto"/>
          <w:b/>
          <w:bCs/>
          <w:color w:val="000000"/>
          <w:sz w:val="20"/>
          <w:szCs w:val="20"/>
        </w:rPr>
      </w:pPr>
    </w:p>
    <w:p w14:paraId="7A899013" w14:textId="7783A2E4" w:rsidR="00D429D4" w:rsidRPr="00D429D4" w:rsidRDefault="00D429D4" w:rsidP="00D429D4">
      <w:pPr>
        <w:pBdr>
          <w:top w:val="nil"/>
          <w:left w:val="nil"/>
          <w:bottom w:val="nil"/>
          <w:right w:val="nil"/>
          <w:between w:val="nil"/>
        </w:pBdr>
        <w:jc w:val="both"/>
        <w:rPr>
          <w:rFonts w:ascii="Roboto" w:eastAsia="Roboto" w:hAnsi="Roboto" w:cs="Roboto"/>
          <w:b/>
          <w:bCs/>
          <w:color w:val="000000"/>
          <w:sz w:val="20"/>
          <w:szCs w:val="20"/>
        </w:rPr>
      </w:pPr>
      <w:r w:rsidRPr="00D429D4">
        <w:rPr>
          <w:rFonts w:ascii="Roboto" w:eastAsia="Roboto" w:hAnsi="Roboto" w:cs="Roboto"/>
          <w:b/>
          <w:bCs/>
          <w:color w:val="000000"/>
          <w:sz w:val="20"/>
          <w:szCs w:val="20"/>
        </w:rPr>
        <w:t>MARCO ANALÍTICO </w:t>
      </w:r>
    </w:p>
    <w:p w14:paraId="0A692BE1" w14:textId="7E253BA8" w:rsidR="00D429D4" w:rsidRPr="00D429D4" w:rsidRDefault="00D429D4" w:rsidP="00D429D4">
      <w:pPr>
        <w:pBdr>
          <w:top w:val="nil"/>
          <w:left w:val="nil"/>
          <w:bottom w:val="nil"/>
          <w:right w:val="nil"/>
          <w:between w:val="nil"/>
        </w:pBdr>
        <w:jc w:val="both"/>
        <w:rPr>
          <w:rFonts w:ascii="Roboto" w:eastAsia="Roboto" w:hAnsi="Roboto" w:cs="Roboto"/>
          <w:color w:val="000000"/>
          <w:sz w:val="20"/>
          <w:szCs w:val="20"/>
        </w:rPr>
      </w:pPr>
      <w:r w:rsidRPr="00D429D4">
        <w:rPr>
          <w:rFonts w:ascii="Roboto" w:eastAsia="Roboto" w:hAnsi="Roboto" w:cs="Roboto"/>
          <w:color w:val="000000"/>
          <w:sz w:val="20"/>
          <w:szCs w:val="20"/>
        </w:rPr>
        <w:t>Desde la perspectiva de la Nueva Economía Institucional (North, 1990), el Poder Judicial representa la estructura fundamental sobre la cual es factible reducir costos de transacción. Esta investigación examina cómo la reconfiguración judicial altera el estándar de Trato Justo y Equitativo (Art. 14.6 del T-MEC), abordando tres dimensiones específicas: la compatibilidad técnica de jueces electos con materias de propiedad intelectual, el potencial incremento de disputas ante paneles internacionales por desconfianza en tribunales locales, y la posible utilización de la debilidad institucional como moneda de cambio en l</w:t>
      </w:r>
      <w:r w:rsidR="002A7AED">
        <w:rPr>
          <w:rFonts w:ascii="Roboto" w:eastAsia="Roboto" w:hAnsi="Roboto" w:cs="Roboto"/>
          <w:color w:val="000000"/>
          <w:sz w:val="20"/>
          <w:szCs w:val="20"/>
        </w:rPr>
        <w:t>a negociación</w:t>
      </w:r>
      <w:r w:rsidRPr="00D429D4">
        <w:rPr>
          <w:rFonts w:ascii="Roboto" w:eastAsia="Roboto" w:hAnsi="Roboto" w:cs="Roboto"/>
          <w:color w:val="000000"/>
          <w:sz w:val="20"/>
          <w:szCs w:val="20"/>
        </w:rPr>
        <w:t>. </w:t>
      </w:r>
    </w:p>
    <w:p w14:paraId="36967CD3" w14:textId="77777777" w:rsidR="00D429D4" w:rsidRDefault="00D429D4" w:rsidP="00D429D4">
      <w:pPr>
        <w:pBdr>
          <w:top w:val="nil"/>
          <w:left w:val="nil"/>
          <w:bottom w:val="nil"/>
          <w:right w:val="nil"/>
          <w:between w:val="nil"/>
        </w:pBdr>
        <w:jc w:val="both"/>
        <w:rPr>
          <w:rFonts w:ascii="Roboto" w:eastAsia="Roboto" w:hAnsi="Roboto" w:cs="Roboto"/>
          <w:b/>
          <w:bCs/>
          <w:color w:val="000000"/>
          <w:sz w:val="20"/>
          <w:szCs w:val="20"/>
        </w:rPr>
      </w:pPr>
    </w:p>
    <w:p w14:paraId="7FC51DB1" w14:textId="5F756AFE" w:rsidR="00D429D4" w:rsidRPr="00D429D4" w:rsidRDefault="00D429D4" w:rsidP="00D429D4">
      <w:pPr>
        <w:pBdr>
          <w:top w:val="nil"/>
          <w:left w:val="nil"/>
          <w:bottom w:val="nil"/>
          <w:right w:val="nil"/>
          <w:between w:val="nil"/>
        </w:pBdr>
        <w:jc w:val="both"/>
        <w:rPr>
          <w:rFonts w:ascii="Roboto" w:eastAsia="Roboto" w:hAnsi="Roboto" w:cs="Roboto"/>
          <w:b/>
          <w:bCs/>
          <w:color w:val="000000"/>
          <w:sz w:val="20"/>
          <w:szCs w:val="20"/>
        </w:rPr>
      </w:pPr>
      <w:r w:rsidRPr="00D429D4">
        <w:rPr>
          <w:rFonts w:ascii="Roboto" w:eastAsia="Roboto" w:hAnsi="Roboto" w:cs="Roboto"/>
          <w:b/>
          <w:bCs/>
          <w:color w:val="000000"/>
          <w:sz w:val="20"/>
          <w:szCs w:val="20"/>
        </w:rPr>
        <w:t>ANÁLISIS JURÍDICO COMPARADO </w:t>
      </w:r>
    </w:p>
    <w:p w14:paraId="48111007" w14:textId="77777777" w:rsidR="00D429D4" w:rsidRPr="00D429D4" w:rsidRDefault="00D429D4" w:rsidP="00D429D4">
      <w:pPr>
        <w:pBdr>
          <w:top w:val="nil"/>
          <w:left w:val="nil"/>
          <w:bottom w:val="nil"/>
          <w:right w:val="nil"/>
          <w:between w:val="nil"/>
        </w:pBdr>
        <w:jc w:val="both"/>
        <w:rPr>
          <w:rFonts w:ascii="Roboto" w:eastAsia="Roboto" w:hAnsi="Roboto" w:cs="Roboto"/>
          <w:color w:val="000000"/>
          <w:sz w:val="20"/>
          <w:szCs w:val="20"/>
        </w:rPr>
      </w:pPr>
      <w:r w:rsidRPr="00D429D4">
        <w:rPr>
          <w:rFonts w:ascii="Roboto" w:eastAsia="Roboto" w:hAnsi="Roboto" w:cs="Roboto"/>
          <w:color w:val="000000"/>
          <w:sz w:val="20"/>
          <w:szCs w:val="20"/>
        </w:rPr>
        <w:t>El Capítulo 14 del T-MEC obliga a México a garantizar un nivel mínimo de trato conforme al derecho internacional. La reforma a los artículos 94 y 95 constitucionales genera una antinomia fundamental: mientras el Tratado exige aislamiento de la función judicial frente a presiones políticas, el nuevo modelo integra la justicia al ciclo electoral. </w:t>
      </w:r>
    </w:p>
    <w:p w14:paraId="51A0B8C7" w14:textId="035CDA35" w:rsidR="00D429D4" w:rsidRPr="00D429D4" w:rsidRDefault="00D429D4" w:rsidP="00D429D4">
      <w:pPr>
        <w:pBdr>
          <w:top w:val="nil"/>
          <w:left w:val="nil"/>
          <w:bottom w:val="nil"/>
          <w:right w:val="nil"/>
          <w:between w:val="nil"/>
        </w:pBdr>
        <w:jc w:val="both"/>
        <w:rPr>
          <w:rFonts w:ascii="Roboto" w:eastAsia="Roboto" w:hAnsi="Roboto" w:cs="Roboto"/>
          <w:color w:val="000000"/>
          <w:sz w:val="20"/>
          <w:szCs w:val="20"/>
        </w:rPr>
      </w:pPr>
      <w:r w:rsidRPr="00D429D4">
        <w:rPr>
          <w:rFonts w:ascii="Roboto" w:eastAsia="Roboto" w:hAnsi="Roboto" w:cs="Roboto"/>
          <w:color w:val="000000"/>
          <w:sz w:val="20"/>
          <w:szCs w:val="20"/>
        </w:rPr>
        <w:t xml:space="preserve">Como advierte Gantz (2020), la "denegación de justicia" no solo ocurre por ausencia de sentencia, sino por la carencia de un árbitro imparcial. Esta situación </w:t>
      </w:r>
      <w:r w:rsidR="00823971">
        <w:rPr>
          <w:rFonts w:ascii="Roboto" w:eastAsia="Roboto" w:hAnsi="Roboto" w:cs="Roboto"/>
          <w:color w:val="000000"/>
          <w:sz w:val="20"/>
          <w:szCs w:val="20"/>
        </w:rPr>
        <w:t>es</w:t>
      </w:r>
      <w:r w:rsidRPr="00D429D4">
        <w:rPr>
          <w:rFonts w:ascii="Roboto" w:eastAsia="Roboto" w:hAnsi="Roboto" w:cs="Roboto"/>
          <w:color w:val="000000"/>
          <w:sz w:val="20"/>
          <w:szCs w:val="20"/>
        </w:rPr>
        <w:t xml:space="preserve"> particularmente crítica en los capítulos de Telecomunicaciones (Cap. 18) y Energía, donde las resoluciones judiciales afectan activos estratégicos de empresas estadounidenses y canadienses. La </w:t>
      </w:r>
      <w:r w:rsidRPr="00D429D4">
        <w:rPr>
          <w:rFonts w:ascii="Roboto" w:eastAsia="Roboto" w:hAnsi="Roboto" w:cs="Roboto"/>
          <w:i/>
          <w:iCs/>
          <w:color w:val="000000"/>
          <w:sz w:val="20"/>
          <w:szCs w:val="20"/>
        </w:rPr>
        <w:t>Business </w:t>
      </w:r>
      <w:proofErr w:type="spellStart"/>
      <w:r w:rsidRPr="00D429D4">
        <w:rPr>
          <w:rFonts w:ascii="Roboto" w:eastAsia="Roboto" w:hAnsi="Roboto" w:cs="Roboto"/>
          <w:i/>
          <w:iCs/>
          <w:color w:val="000000"/>
          <w:sz w:val="20"/>
          <w:szCs w:val="20"/>
        </w:rPr>
        <w:t>Roundtable</w:t>
      </w:r>
      <w:proofErr w:type="spellEnd"/>
      <w:r w:rsidRPr="00D429D4">
        <w:rPr>
          <w:rFonts w:ascii="Roboto" w:eastAsia="Roboto" w:hAnsi="Roboto" w:cs="Roboto"/>
          <w:color w:val="000000"/>
          <w:sz w:val="20"/>
          <w:szCs w:val="20"/>
        </w:rPr>
        <w:t xml:space="preserve">, que representa aproximadamente </w:t>
      </w:r>
      <w:r w:rsidR="002A7AED">
        <w:rPr>
          <w:rFonts w:ascii="Roboto" w:eastAsia="Roboto" w:hAnsi="Roboto" w:cs="Roboto"/>
          <w:color w:val="000000"/>
          <w:sz w:val="20"/>
          <w:szCs w:val="20"/>
        </w:rPr>
        <w:t xml:space="preserve">a </w:t>
      </w:r>
      <w:r w:rsidRPr="00D429D4">
        <w:rPr>
          <w:rFonts w:ascii="Roboto" w:eastAsia="Roboto" w:hAnsi="Roboto" w:cs="Roboto"/>
          <w:color w:val="000000"/>
          <w:sz w:val="20"/>
          <w:szCs w:val="20"/>
        </w:rPr>
        <w:t>200 </w:t>
      </w:r>
      <w:proofErr w:type="spellStart"/>
      <w:r w:rsidRPr="00D429D4">
        <w:rPr>
          <w:rFonts w:ascii="Roboto" w:eastAsia="Roboto" w:hAnsi="Roboto" w:cs="Roboto"/>
          <w:color w:val="000000"/>
          <w:sz w:val="20"/>
          <w:szCs w:val="20"/>
        </w:rPr>
        <w:t>CEOs</w:t>
      </w:r>
      <w:proofErr w:type="spellEnd"/>
      <w:r w:rsidRPr="00D429D4">
        <w:rPr>
          <w:rFonts w:ascii="Roboto" w:eastAsia="Roboto" w:hAnsi="Roboto" w:cs="Roboto"/>
          <w:color w:val="000000"/>
          <w:sz w:val="20"/>
          <w:szCs w:val="20"/>
        </w:rPr>
        <w:t> de empresas como Apple, JPMorgan Chase y General Motors, ha solicitado formalmente la restauración del mecanismo ISDS (solución de controversias inversionista-Estado) para que las quejas puedan resolverse mediante árbitros neutrales. </w:t>
      </w:r>
    </w:p>
    <w:p w14:paraId="152C8C56" w14:textId="06915DC2" w:rsidR="006A69CA" w:rsidRDefault="006A69CA">
      <w:pPr>
        <w:pBdr>
          <w:top w:val="nil"/>
          <w:left w:val="nil"/>
          <w:bottom w:val="nil"/>
          <w:right w:val="nil"/>
          <w:between w:val="nil"/>
        </w:pBdr>
        <w:jc w:val="both"/>
        <w:rPr>
          <w:rFonts w:ascii="Roboto" w:eastAsia="Roboto" w:hAnsi="Roboto" w:cs="Roboto"/>
          <w:b/>
          <w:bCs/>
          <w:color w:val="000000"/>
          <w:sz w:val="20"/>
          <w:szCs w:val="20"/>
        </w:rPr>
      </w:pPr>
    </w:p>
    <w:p w14:paraId="1F09E72E" w14:textId="71BB22AE" w:rsidR="00D429D4" w:rsidRPr="00E45E35" w:rsidRDefault="00D429D4" w:rsidP="00E45E35">
      <w:pPr>
        <w:rPr>
          <w:rFonts w:ascii="Roboto" w:eastAsia="Roboto" w:hAnsi="Roboto" w:cs="Roboto"/>
          <w:b/>
          <w:bCs/>
          <w:color w:val="000000"/>
          <w:sz w:val="20"/>
          <w:szCs w:val="20"/>
        </w:rPr>
      </w:pPr>
      <w:r w:rsidRPr="00D429D4">
        <w:rPr>
          <w:rFonts w:ascii="Roboto" w:eastAsia="Roboto" w:hAnsi="Roboto" w:cs="Roboto"/>
          <w:b/>
          <w:bCs/>
          <w:color w:val="000000"/>
          <w:sz w:val="20"/>
          <w:szCs w:val="20"/>
        </w:rPr>
        <w:t>ANTECEDENTES:</w:t>
      </w:r>
      <w:r>
        <w:rPr>
          <w:rFonts w:ascii="Roboto" w:eastAsia="Roboto" w:hAnsi="Roboto" w:cs="Roboto"/>
          <w:b/>
          <w:bCs/>
          <w:color w:val="000000"/>
          <w:sz w:val="20"/>
          <w:szCs w:val="20"/>
        </w:rPr>
        <w:t xml:space="preserve"> </w:t>
      </w:r>
      <w:r w:rsidRPr="00D429D4">
        <w:rPr>
          <w:rFonts w:ascii="Roboto" w:eastAsia="Roboto" w:hAnsi="Roboto" w:cs="Roboto"/>
          <w:b/>
          <w:bCs/>
          <w:color w:val="000000"/>
          <w:sz w:val="20"/>
          <w:szCs w:val="20"/>
        </w:rPr>
        <w:t>INCUMPLIMIENTOS Y CONTROVERSIAS PREVIAS </w:t>
      </w:r>
    </w:p>
    <w:p w14:paraId="04F46155" w14:textId="47BACA47" w:rsidR="00D429D4" w:rsidRPr="00D429D4" w:rsidRDefault="00D429D4" w:rsidP="00D429D4">
      <w:pPr>
        <w:jc w:val="both"/>
        <w:rPr>
          <w:rFonts w:ascii="Roboto" w:eastAsia="Roboto" w:hAnsi="Roboto" w:cs="Roboto"/>
          <w:color w:val="000000"/>
          <w:sz w:val="20"/>
          <w:szCs w:val="20"/>
        </w:rPr>
      </w:pPr>
      <w:r w:rsidRPr="00D429D4">
        <w:rPr>
          <w:rFonts w:ascii="Roboto" w:eastAsia="Roboto" w:hAnsi="Roboto" w:cs="Roboto"/>
          <w:color w:val="000000"/>
          <w:sz w:val="20"/>
          <w:szCs w:val="20"/>
        </w:rPr>
        <w:t xml:space="preserve">El clima de tensión para la revisión de 2026 se </w:t>
      </w:r>
      <w:r w:rsidR="004F455D">
        <w:rPr>
          <w:rFonts w:ascii="Roboto" w:eastAsia="Roboto" w:hAnsi="Roboto" w:cs="Roboto"/>
          <w:color w:val="000000"/>
          <w:sz w:val="20"/>
          <w:szCs w:val="20"/>
        </w:rPr>
        <w:t xml:space="preserve">ha </w:t>
      </w:r>
      <w:r w:rsidRPr="00D429D4">
        <w:rPr>
          <w:rFonts w:ascii="Roboto" w:eastAsia="Roboto" w:hAnsi="Roboto" w:cs="Roboto"/>
          <w:color w:val="000000"/>
          <w:sz w:val="20"/>
          <w:szCs w:val="20"/>
        </w:rPr>
        <w:t>c</w:t>
      </w:r>
      <w:r w:rsidR="004F455D">
        <w:rPr>
          <w:rFonts w:ascii="Roboto" w:eastAsia="Roboto" w:hAnsi="Roboto" w:cs="Roboto"/>
          <w:color w:val="000000"/>
          <w:sz w:val="20"/>
          <w:szCs w:val="20"/>
        </w:rPr>
        <w:t>reado</w:t>
      </w:r>
      <w:r w:rsidRPr="00D429D4">
        <w:rPr>
          <w:rFonts w:ascii="Roboto" w:eastAsia="Roboto" w:hAnsi="Roboto" w:cs="Roboto"/>
          <w:color w:val="000000"/>
          <w:sz w:val="20"/>
          <w:szCs w:val="20"/>
        </w:rPr>
        <w:t xml:space="preserve"> sobre un historial de disputas y señalamientos en contra de México desde la entrada en vigor del T-MEC. La Oficina del Representante Comercial de Estados Unidos (USTR) ha identificado al menos 50 barreras comerciales en sectores como energía, agricultura, telecomunicaciones y propiedad intelectual. </w:t>
      </w:r>
    </w:p>
    <w:p w14:paraId="2E46A15E" w14:textId="4C9ED3CA" w:rsidR="00D429D4" w:rsidRPr="00D429D4" w:rsidRDefault="00D429D4" w:rsidP="00D429D4">
      <w:pPr>
        <w:jc w:val="both"/>
        <w:rPr>
          <w:rFonts w:ascii="Roboto" w:eastAsia="Roboto" w:hAnsi="Roboto" w:cs="Roboto"/>
          <w:color w:val="000000"/>
          <w:sz w:val="20"/>
          <w:szCs w:val="20"/>
        </w:rPr>
      </w:pPr>
      <w:r w:rsidRPr="00D429D4">
        <w:rPr>
          <w:rFonts w:ascii="Roboto" w:eastAsia="Roboto" w:hAnsi="Roboto" w:cs="Roboto"/>
          <w:color w:val="000000"/>
          <w:sz w:val="20"/>
          <w:szCs w:val="20"/>
        </w:rPr>
        <w:t>1. Política Energética y Trato Discriminatorio (Capítulos 14 y 22): La política energética del gobierno mexicano, orientada a fortalecer a Petróleos Mexicanos (Pemex) y la Comisión Federal de Electricidad (CFE) en detrimento de la inversión privada, ha sido el foco de las tensiones más prolongadas. Estados Unidos y Canadá solicitaron</w:t>
      </w:r>
      <w:r w:rsidR="00C3151F">
        <w:rPr>
          <w:rFonts w:ascii="Roboto" w:eastAsia="Roboto" w:hAnsi="Roboto" w:cs="Roboto"/>
          <w:color w:val="000000"/>
          <w:sz w:val="20"/>
          <w:szCs w:val="20"/>
        </w:rPr>
        <w:t xml:space="preserve"> en 2022</w:t>
      </w:r>
      <w:r w:rsidRPr="00D429D4">
        <w:rPr>
          <w:rFonts w:ascii="Roboto" w:eastAsia="Roboto" w:hAnsi="Roboto" w:cs="Roboto"/>
          <w:color w:val="000000"/>
          <w:sz w:val="20"/>
          <w:szCs w:val="20"/>
        </w:rPr>
        <w:t xml:space="preserve"> formalmente consultas de solución de controversias. La Cámara de Comercio de E</w:t>
      </w:r>
      <w:r w:rsidR="004F455D">
        <w:rPr>
          <w:rFonts w:ascii="Roboto" w:eastAsia="Roboto" w:hAnsi="Roboto" w:cs="Roboto"/>
          <w:color w:val="000000"/>
          <w:sz w:val="20"/>
          <w:szCs w:val="20"/>
        </w:rPr>
        <w:t>stados Unidos</w:t>
      </w:r>
      <w:r w:rsidRPr="00D429D4">
        <w:rPr>
          <w:rFonts w:ascii="Roboto" w:eastAsia="Roboto" w:hAnsi="Roboto" w:cs="Roboto"/>
          <w:color w:val="000000"/>
          <w:sz w:val="20"/>
          <w:szCs w:val="20"/>
        </w:rPr>
        <w:t xml:space="preserve"> ha señalado que las reformas energéticas implementadas </w:t>
      </w:r>
      <w:r w:rsidR="00C3151F">
        <w:rPr>
          <w:rFonts w:ascii="Roboto" w:eastAsia="Roboto" w:hAnsi="Roboto" w:cs="Roboto"/>
          <w:color w:val="000000"/>
          <w:sz w:val="20"/>
          <w:szCs w:val="20"/>
        </w:rPr>
        <w:t>en</w:t>
      </w:r>
      <w:r w:rsidRPr="00D429D4">
        <w:rPr>
          <w:rFonts w:ascii="Roboto" w:eastAsia="Roboto" w:hAnsi="Roboto" w:cs="Roboto"/>
          <w:color w:val="000000"/>
          <w:sz w:val="20"/>
          <w:szCs w:val="20"/>
        </w:rPr>
        <w:t xml:space="preserve"> octubre de 2024 "restablecen el control estatal sobre el sector, priorizando a Pemex y CFE en detrimento de empresas privadas, con claras violaciones a los compromisos de México en el T-MEC". El </w:t>
      </w:r>
      <w:r w:rsidRPr="00D429D4">
        <w:rPr>
          <w:rFonts w:ascii="Roboto" w:eastAsia="Roboto" w:hAnsi="Roboto" w:cs="Roboto"/>
          <w:i/>
          <w:iCs/>
          <w:color w:val="000000"/>
          <w:sz w:val="20"/>
          <w:szCs w:val="20"/>
        </w:rPr>
        <w:t>American </w:t>
      </w:r>
      <w:proofErr w:type="spellStart"/>
      <w:r w:rsidRPr="00D429D4">
        <w:rPr>
          <w:rFonts w:ascii="Roboto" w:eastAsia="Roboto" w:hAnsi="Roboto" w:cs="Roboto"/>
          <w:i/>
          <w:iCs/>
          <w:color w:val="000000"/>
          <w:sz w:val="20"/>
          <w:szCs w:val="20"/>
        </w:rPr>
        <w:t>Petroleum</w:t>
      </w:r>
      <w:proofErr w:type="spellEnd"/>
      <w:r w:rsidRPr="00D429D4">
        <w:rPr>
          <w:rFonts w:ascii="Roboto" w:eastAsia="Roboto" w:hAnsi="Roboto" w:cs="Roboto"/>
          <w:i/>
          <w:iCs/>
          <w:color w:val="000000"/>
          <w:sz w:val="20"/>
          <w:szCs w:val="20"/>
        </w:rPr>
        <w:t> </w:t>
      </w:r>
      <w:proofErr w:type="spellStart"/>
      <w:r w:rsidRPr="00D429D4">
        <w:rPr>
          <w:rFonts w:ascii="Roboto" w:eastAsia="Roboto" w:hAnsi="Roboto" w:cs="Roboto"/>
          <w:i/>
          <w:iCs/>
          <w:color w:val="000000"/>
          <w:sz w:val="20"/>
          <w:szCs w:val="20"/>
        </w:rPr>
        <w:t>Institute</w:t>
      </w:r>
      <w:proofErr w:type="spellEnd"/>
      <w:r w:rsidRPr="00D429D4">
        <w:rPr>
          <w:rFonts w:ascii="Roboto" w:eastAsia="Roboto" w:hAnsi="Roboto" w:cs="Roboto"/>
          <w:color w:val="000000"/>
          <w:sz w:val="20"/>
          <w:szCs w:val="20"/>
        </w:rPr>
        <w:t xml:space="preserve"> (API) ha instado a la USTR a endurecer </w:t>
      </w:r>
      <w:r w:rsidR="004F455D">
        <w:rPr>
          <w:rFonts w:ascii="Roboto" w:eastAsia="Roboto" w:hAnsi="Roboto" w:cs="Roboto"/>
          <w:color w:val="000000"/>
          <w:sz w:val="20"/>
          <w:szCs w:val="20"/>
        </w:rPr>
        <w:t>su</w:t>
      </w:r>
      <w:r w:rsidRPr="00D429D4">
        <w:rPr>
          <w:rFonts w:ascii="Roboto" w:eastAsia="Roboto" w:hAnsi="Roboto" w:cs="Roboto"/>
          <w:color w:val="000000"/>
          <w:sz w:val="20"/>
          <w:szCs w:val="20"/>
        </w:rPr>
        <w:t xml:space="preserve"> postura frente a México, argumentando que las políticas mexicanas favorecen a las empresas estatales y generan un entorno discriminatorio. </w:t>
      </w:r>
    </w:p>
    <w:p w14:paraId="66A9626C" w14:textId="16C50F75" w:rsidR="00D429D4" w:rsidRPr="00D429D4" w:rsidRDefault="00D429D4" w:rsidP="00D429D4">
      <w:pPr>
        <w:jc w:val="both"/>
        <w:rPr>
          <w:rFonts w:ascii="Roboto" w:eastAsia="Roboto" w:hAnsi="Roboto" w:cs="Roboto"/>
          <w:color w:val="000000"/>
          <w:sz w:val="20"/>
          <w:szCs w:val="20"/>
        </w:rPr>
      </w:pPr>
      <w:r w:rsidRPr="00D429D4">
        <w:rPr>
          <w:rFonts w:ascii="Roboto" w:eastAsia="Roboto" w:hAnsi="Roboto" w:cs="Roboto"/>
          <w:color w:val="000000"/>
          <w:sz w:val="20"/>
          <w:szCs w:val="20"/>
        </w:rPr>
        <w:t xml:space="preserve">2. Mecanismo Laboral de Respuesta Rápida (Anexo 31-A): El mecanismo laboral ha sido el área donde México ha enfrentado las </w:t>
      </w:r>
      <w:r w:rsidR="004F455D" w:rsidRPr="00D429D4">
        <w:rPr>
          <w:rFonts w:ascii="Roboto" w:eastAsia="Roboto" w:hAnsi="Roboto" w:cs="Roboto"/>
          <w:color w:val="000000"/>
          <w:sz w:val="20"/>
          <w:szCs w:val="20"/>
        </w:rPr>
        <w:t>consecuencias más notorias</w:t>
      </w:r>
      <w:r w:rsidRPr="00D429D4">
        <w:rPr>
          <w:rFonts w:ascii="Roboto" w:eastAsia="Roboto" w:hAnsi="Roboto" w:cs="Roboto"/>
          <w:color w:val="000000"/>
          <w:sz w:val="20"/>
          <w:szCs w:val="20"/>
        </w:rPr>
        <w:t xml:space="preserve"> de incumplimiento. Entre julio de 2020 y junio de 2025, Estados Unidos impulsó 37 casos </w:t>
      </w:r>
      <w:r w:rsidR="004F455D">
        <w:rPr>
          <w:rFonts w:ascii="Roboto" w:eastAsia="Roboto" w:hAnsi="Roboto" w:cs="Roboto"/>
          <w:color w:val="000000"/>
          <w:sz w:val="20"/>
          <w:szCs w:val="20"/>
        </w:rPr>
        <w:t>a través del</w:t>
      </w:r>
      <w:r w:rsidRPr="00D429D4">
        <w:rPr>
          <w:rFonts w:ascii="Roboto" w:eastAsia="Roboto" w:hAnsi="Roboto" w:cs="Roboto"/>
          <w:color w:val="000000"/>
          <w:sz w:val="20"/>
          <w:szCs w:val="20"/>
        </w:rPr>
        <w:t xml:space="preserve"> Mecanismo de Respuesta Rápida contra 36 sitios de trabajo en sectores como minería, </w:t>
      </w:r>
      <w:proofErr w:type="spellStart"/>
      <w:r w:rsidRPr="00D429D4">
        <w:rPr>
          <w:rFonts w:ascii="Roboto" w:eastAsia="Roboto" w:hAnsi="Roboto" w:cs="Roboto"/>
          <w:i/>
          <w:iCs/>
          <w:color w:val="000000"/>
          <w:sz w:val="20"/>
          <w:szCs w:val="20"/>
        </w:rPr>
        <w:t>call</w:t>
      </w:r>
      <w:proofErr w:type="spellEnd"/>
      <w:r w:rsidRPr="00D429D4">
        <w:rPr>
          <w:rFonts w:ascii="Roboto" w:eastAsia="Roboto" w:hAnsi="Roboto" w:cs="Roboto"/>
          <w:i/>
          <w:iCs/>
          <w:color w:val="000000"/>
          <w:sz w:val="20"/>
          <w:szCs w:val="20"/>
        </w:rPr>
        <w:t> centers</w:t>
      </w:r>
      <w:r w:rsidRPr="00D429D4">
        <w:rPr>
          <w:rFonts w:ascii="Roboto" w:eastAsia="Roboto" w:hAnsi="Roboto" w:cs="Roboto"/>
          <w:color w:val="000000"/>
          <w:sz w:val="20"/>
          <w:szCs w:val="20"/>
        </w:rPr>
        <w:t>, transporte, alimentación, electrónica y manufactura automotriz. </w:t>
      </w:r>
    </w:p>
    <w:p w14:paraId="0B31A9D2" w14:textId="36F0B109" w:rsidR="00D429D4" w:rsidRPr="00D429D4" w:rsidRDefault="00D429D4" w:rsidP="00D429D4">
      <w:pPr>
        <w:jc w:val="both"/>
        <w:rPr>
          <w:rFonts w:ascii="Roboto" w:eastAsia="Roboto" w:hAnsi="Roboto" w:cs="Roboto"/>
          <w:color w:val="000000"/>
          <w:sz w:val="20"/>
          <w:szCs w:val="20"/>
        </w:rPr>
      </w:pPr>
      <w:r w:rsidRPr="00D429D4">
        <w:rPr>
          <w:rFonts w:ascii="Roboto" w:eastAsia="Roboto" w:hAnsi="Roboto" w:cs="Roboto"/>
          <w:color w:val="000000"/>
          <w:sz w:val="20"/>
          <w:szCs w:val="20"/>
        </w:rPr>
        <w:t xml:space="preserve">Un </w:t>
      </w:r>
      <w:r w:rsidR="004F455D">
        <w:rPr>
          <w:rFonts w:ascii="Roboto" w:eastAsia="Roboto" w:hAnsi="Roboto" w:cs="Roboto"/>
          <w:color w:val="000000"/>
          <w:sz w:val="20"/>
          <w:szCs w:val="20"/>
        </w:rPr>
        <w:t>punto</w:t>
      </w:r>
      <w:r w:rsidRPr="00D429D4">
        <w:rPr>
          <w:rFonts w:ascii="Roboto" w:eastAsia="Roboto" w:hAnsi="Roboto" w:cs="Roboto"/>
          <w:color w:val="000000"/>
          <w:sz w:val="20"/>
          <w:szCs w:val="20"/>
        </w:rPr>
        <w:t xml:space="preserve"> crítico se alcanzó en agosto de 2025, cuando un panel del Mecanismo Laboral de Respuesta Rápida falló a favor de Estados Unidos en el caso de la </w:t>
      </w:r>
      <w:r w:rsidR="00233AAC">
        <w:rPr>
          <w:rFonts w:ascii="Roboto" w:eastAsia="Roboto" w:hAnsi="Roboto" w:cs="Roboto"/>
          <w:color w:val="000000"/>
          <w:sz w:val="20"/>
          <w:szCs w:val="20"/>
        </w:rPr>
        <w:t>empresa</w:t>
      </w:r>
      <w:r w:rsidRPr="00D429D4">
        <w:rPr>
          <w:rFonts w:ascii="Roboto" w:eastAsia="Roboto" w:hAnsi="Roboto" w:cs="Roboto"/>
          <w:color w:val="000000"/>
          <w:sz w:val="20"/>
          <w:szCs w:val="20"/>
        </w:rPr>
        <w:t xml:space="preserve"> Atento Servicios en Hidalgo. El panel determinó que existió una "negación de derechos" por parte de la empresa, incluyendo interferencia ilegal y discriminación antisindical que creó un clima de temor, y consideró que las acciones de México fueron insuficientes para remediar la situación. Esta fue la primera vez que un panel dio la razón a Estados Unidos bajo este mecanismo, estableciendo un precedente de que las violaciones laborales pueden tener consecuencias comerciales directas. Otros casos como los de la mina San Martín en Zacatecas, Pirelli y Bader de México se mantienen activos. </w:t>
      </w:r>
    </w:p>
    <w:p w14:paraId="0B4C95F0" w14:textId="60962F5F" w:rsidR="00D429D4" w:rsidRPr="00D429D4" w:rsidRDefault="00D429D4" w:rsidP="00D429D4">
      <w:pPr>
        <w:jc w:val="both"/>
        <w:rPr>
          <w:rFonts w:ascii="Roboto" w:eastAsia="Roboto" w:hAnsi="Roboto" w:cs="Roboto"/>
          <w:color w:val="000000"/>
          <w:sz w:val="20"/>
          <w:szCs w:val="20"/>
        </w:rPr>
      </w:pPr>
      <w:r w:rsidRPr="00D429D4">
        <w:rPr>
          <w:rFonts w:ascii="Roboto" w:eastAsia="Roboto" w:hAnsi="Roboto" w:cs="Roboto"/>
          <w:color w:val="000000"/>
          <w:sz w:val="20"/>
          <w:szCs w:val="20"/>
        </w:rPr>
        <w:t>3. Propiedad Intelectual y Barreras Agrícolas: La USTR incluyó a México en su lista de prioridades de vigilancia (</w:t>
      </w:r>
      <w:proofErr w:type="spellStart"/>
      <w:r w:rsidRPr="00D429D4">
        <w:rPr>
          <w:rFonts w:ascii="Roboto" w:eastAsia="Roboto" w:hAnsi="Roboto" w:cs="Roboto"/>
          <w:i/>
          <w:iCs/>
          <w:color w:val="000000"/>
          <w:sz w:val="20"/>
          <w:szCs w:val="20"/>
        </w:rPr>
        <w:t>Priority</w:t>
      </w:r>
      <w:proofErr w:type="spellEnd"/>
      <w:r w:rsidRPr="00D429D4">
        <w:rPr>
          <w:rFonts w:ascii="Roboto" w:eastAsia="Roboto" w:hAnsi="Roboto" w:cs="Roboto"/>
          <w:i/>
          <w:iCs/>
          <w:color w:val="000000"/>
          <w:sz w:val="20"/>
          <w:szCs w:val="20"/>
        </w:rPr>
        <w:t> Watch List</w:t>
      </w:r>
      <w:r w:rsidRPr="00D429D4">
        <w:rPr>
          <w:rFonts w:ascii="Roboto" w:eastAsia="Roboto" w:hAnsi="Roboto" w:cs="Roboto"/>
          <w:color w:val="000000"/>
          <w:sz w:val="20"/>
          <w:szCs w:val="20"/>
        </w:rPr>
        <w:t xml:space="preserve">) por deficiencias en la protección de patentes, derechos de autor y marcas, señalando específicamente a los mercados de El Santuario y San </w:t>
      </w:r>
      <w:r w:rsidRPr="00D429D4">
        <w:rPr>
          <w:rFonts w:ascii="Roboto" w:eastAsia="Roboto" w:hAnsi="Roboto" w:cs="Roboto"/>
          <w:color w:val="000000"/>
          <w:sz w:val="20"/>
          <w:szCs w:val="20"/>
        </w:rPr>
        <w:lastRenderedPageBreak/>
        <w:t>Juan de Dios en Guadalajara, y Tepito en la Ciudad de México, como "</w:t>
      </w:r>
      <w:r w:rsidR="00233AAC">
        <w:rPr>
          <w:rFonts w:ascii="Roboto" w:eastAsia="Roboto" w:hAnsi="Roboto" w:cs="Roboto"/>
          <w:color w:val="000000"/>
          <w:sz w:val="20"/>
          <w:szCs w:val="20"/>
        </w:rPr>
        <w:t xml:space="preserve">notorios </w:t>
      </w:r>
      <w:r w:rsidRPr="00D429D4">
        <w:rPr>
          <w:rFonts w:ascii="Roboto" w:eastAsia="Roboto" w:hAnsi="Roboto" w:cs="Roboto"/>
          <w:color w:val="000000"/>
          <w:sz w:val="20"/>
          <w:szCs w:val="20"/>
        </w:rPr>
        <w:t>mercados" por falsificación y piratería. En el sector agrícola, México perdió un panel de solución de controversias relacionado con las restricciones a la importación de maíz genéticamente modificado, al determinarse que el decreto de 2023 carecía de sustento científico suficiente. </w:t>
      </w:r>
    </w:p>
    <w:p w14:paraId="1420D7F4" w14:textId="4004375F" w:rsidR="00D429D4" w:rsidRPr="00D429D4" w:rsidRDefault="00D429D4" w:rsidP="00D429D4">
      <w:pPr>
        <w:jc w:val="both"/>
        <w:rPr>
          <w:rFonts w:ascii="Roboto" w:eastAsia="Roboto" w:hAnsi="Roboto" w:cs="Roboto"/>
          <w:color w:val="000000"/>
          <w:sz w:val="20"/>
          <w:szCs w:val="20"/>
        </w:rPr>
      </w:pPr>
      <w:r w:rsidRPr="00D429D4">
        <w:rPr>
          <w:rFonts w:ascii="Roboto" w:eastAsia="Roboto" w:hAnsi="Roboto" w:cs="Roboto"/>
          <w:color w:val="000000"/>
          <w:sz w:val="20"/>
          <w:szCs w:val="20"/>
        </w:rPr>
        <w:t>4.Incumplimientos</w:t>
      </w:r>
      <w:r w:rsidR="00233AAC">
        <w:rPr>
          <w:rFonts w:ascii="Roboto" w:eastAsia="Roboto" w:hAnsi="Roboto" w:cs="Roboto"/>
          <w:color w:val="000000"/>
          <w:sz w:val="20"/>
          <w:szCs w:val="20"/>
        </w:rPr>
        <w:t xml:space="preserve"> </w:t>
      </w:r>
      <w:r w:rsidRPr="00D429D4">
        <w:rPr>
          <w:rFonts w:ascii="Roboto" w:eastAsia="Roboto" w:hAnsi="Roboto" w:cs="Roboto"/>
          <w:color w:val="000000"/>
          <w:sz w:val="20"/>
          <w:szCs w:val="20"/>
        </w:rPr>
        <w:t>Adicionales: Congresistas</w:t>
      </w:r>
      <w:r w:rsidR="00233AAC">
        <w:rPr>
          <w:rFonts w:ascii="Roboto" w:eastAsia="Roboto" w:hAnsi="Roboto" w:cs="Roboto"/>
          <w:color w:val="000000"/>
          <w:sz w:val="20"/>
          <w:szCs w:val="20"/>
        </w:rPr>
        <w:t xml:space="preserve"> </w:t>
      </w:r>
      <w:r w:rsidRPr="00D429D4">
        <w:rPr>
          <w:rFonts w:ascii="Roboto" w:eastAsia="Roboto" w:hAnsi="Roboto" w:cs="Roboto"/>
          <w:color w:val="000000"/>
          <w:sz w:val="20"/>
          <w:szCs w:val="20"/>
        </w:rPr>
        <w:t>estadounidenses han impulsado iniciativas como la "Ley de Cumplimiento del Comercio Energético Mexicano" para presionar a la Casa Blanca a activar paneles contra México. Los señalamientos incluyen retrasos en la aprobación de permisos sanitarios, procedimientos aduanales opacos y creciente proteccionismo hacia industrias locales como los pagos electrónicos. </w:t>
      </w:r>
    </w:p>
    <w:p w14:paraId="4B097538" w14:textId="12454F3D" w:rsidR="00D429D4" w:rsidRPr="00D429D4" w:rsidRDefault="00D429D4" w:rsidP="00D429D4">
      <w:pPr>
        <w:jc w:val="both"/>
        <w:rPr>
          <w:rFonts w:ascii="Roboto" w:eastAsia="Roboto" w:hAnsi="Roboto" w:cs="Roboto"/>
          <w:color w:val="000000"/>
          <w:sz w:val="20"/>
          <w:szCs w:val="20"/>
        </w:rPr>
      </w:pPr>
      <w:r w:rsidRPr="00D429D4">
        <w:rPr>
          <w:rFonts w:ascii="Roboto" w:eastAsia="Roboto" w:hAnsi="Roboto" w:cs="Roboto"/>
          <w:color w:val="000000"/>
          <w:sz w:val="20"/>
          <w:szCs w:val="20"/>
        </w:rPr>
        <w:t>5. La Reforma Judicial como Agravante: En este contexto de incumplimientos previos, la reforma judicial de 2024 actúa como un catalizador. E</w:t>
      </w:r>
      <w:r w:rsidR="00233AAC">
        <w:rPr>
          <w:rFonts w:ascii="Roboto" w:eastAsia="Roboto" w:hAnsi="Roboto" w:cs="Roboto"/>
          <w:color w:val="000000"/>
          <w:sz w:val="20"/>
          <w:szCs w:val="20"/>
        </w:rPr>
        <w:t>ste v</w:t>
      </w:r>
      <w:r w:rsidRPr="00D429D4">
        <w:rPr>
          <w:rFonts w:ascii="Roboto" w:eastAsia="Roboto" w:hAnsi="Roboto" w:cs="Roboto"/>
          <w:color w:val="000000"/>
          <w:sz w:val="20"/>
          <w:szCs w:val="20"/>
        </w:rPr>
        <w:t xml:space="preserve">a a ser </w:t>
      </w:r>
      <w:r w:rsidR="00233AAC">
        <w:rPr>
          <w:rFonts w:ascii="Roboto" w:eastAsia="Roboto" w:hAnsi="Roboto" w:cs="Roboto"/>
          <w:color w:val="000000"/>
          <w:sz w:val="20"/>
          <w:szCs w:val="20"/>
        </w:rPr>
        <w:t xml:space="preserve">uno </w:t>
      </w:r>
      <w:r w:rsidRPr="00D429D4">
        <w:rPr>
          <w:rFonts w:ascii="Roboto" w:eastAsia="Roboto" w:hAnsi="Roboto" w:cs="Roboto"/>
          <w:color w:val="000000"/>
          <w:sz w:val="20"/>
          <w:szCs w:val="20"/>
        </w:rPr>
        <w:t xml:space="preserve">de los puntos </w:t>
      </w:r>
      <w:r w:rsidR="00233AAC">
        <w:rPr>
          <w:rFonts w:ascii="Roboto" w:eastAsia="Roboto" w:hAnsi="Roboto" w:cs="Roboto"/>
          <w:color w:val="000000"/>
          <w:sz w:val="20"/>
          <w:szCs w:val="20"/>
        </w:rPr>
        <w:t>más delicados pues</w:t>
      </w:r>
      <w:r w:rsidRPr="00D429D4">
        <w:rPr>
          <w:rFonts w:ascii="Roboto" w:eastAsia="Roboto" w:hAnsi="Roboto" w:cs="Roboto"/>
          <w:color w:val="000000"/>
          <w:sz w:val="20"/>
          <w:szCs w:val="20"/>
        </w:rPr>
        <w:t xml:space="preserve"> tiene que ver con la seguridad y</w:t>
      </w:r>
      <w:r w:rsidR="00233AAC">
        <w:rPr>
          <w:rFonts w:ascii="Roboto" w:eastAsia="Roboto" w:hAnsi="Roboto" w:cs="Roboto"/>
          <w:color w:val="000000"/>
          <w:sz w:val="20"/>
          <w:szCs w:val="20"/>
        </w:rPr>
        <w:t xml:space="preserve"> la prevalencia del</w:t>
      </w:r>
      <w:r w:rsidRPr="00D429D4">
        <w:rPr>
          <w:rFonts w:ascii="Roboto" w:eastAsia="Roboto" w:hAnsi="Roboto" w:cs="Roboto"/>
          <w:color w:val="000000"/>
          <w:sz w:val="20"/>
          <w:szCs w:val="20"/>
        </w:rPr>
        <w:t xml:space="preserve"> Estado de derecho en México. Las preocupaciones empresariales se centran en que, al politizar la justicia, se erosiona la capacidad de México para garantizar la imparcialidad e independencia de sus tribunales.</w:t>
      </w:r>
    </w:p>
    <w:p w14:paraId="2355110E" w14:textId="77777777" w:rsidR="00233AAC" w:rsidRDefault="00233AAC" w:rsidP="00D429D4">
      <w:pPr>
        <w:jc w:val="both"/>
        <w:rPr>
          <w:rFonts w:ascii="Roboto" w:eastAsia="Roboto" w:hAnsi="Roboto" w:cs="Roboto"/>
          <w:color w:val="000000"/>
          <w:sz w:val="20"/>
          <w:szCs w:val="20"/>
        </w:rPr>
      </w:pPr>
    </w:p>
    <w:p w14:paraId="44E2CD6B" w14:textId="07FD8146" w:rsidR="00D429D4" w:rsidRPr="00D429D4" w:rsidRDefault="00D429D4" w:rsidP="00D429D4">
      <w:pPr>
        <w:jc w:val="both"/>
        <w:rPr>
          <w:rFonts w:ascii="Roboto" w:eastAsia="Roboto" w:hAnsi="Roboto" w:cs="Roboto"/>
          <w:b/>
          <w:bCs/>
          <w:color w:val="000000"/>
          <w:sz w:val="20"/>
          <w:szCs w:val="20"/>
        </w:rPr>
      </w:pPr>
      <w:r w:rsidRPr="00D429D4">
        <w:rPr>
          <w:rFonts w:ascii="Roboto" w:eastAsia="Roboto" w:hAnsi="Roboto" w:cs="Roboto"/>
          <w:b/>
          <w:bCs/>
          <w:color w:val="000000"/>
          <w:sz w:val="20"/>
          <w:szCs w:val="20"/>
        </w:rPr>
        <w:t>CONTEXTO ECONÓMICO </w:t>
      </w:r>
    </w:p>
    <w:p w14:paraId="4BEF672C" w14:textId="1AAC62F8" w:rsidR="00D429D4" w:rsidRPr="00D429D4" w:rsidRDefault="00D429D4" w:rsidP="00D429D4">
      <w:pPr>
        <w:jc w:val="both"/>
        <w:rPr>
          <w:rFonts w:ascii="Roboto" w:eastAsia="Roboto" w:hAnsi="Roboto" w:cs="Roboto"/>
          <w:color w:val="000000"/>
          <w:sz w:val="20"/>
          <w:szCs w:val="20"/>
        </w:rPr>
      </w:pPr>
      <w:r w:rsidRPr="00D429D4">
        <w:rPr>
          <w:rFonts w:ascii="Roboto" w:eastAsia="Roboto" w:hAnsi="Roboto" w:cs="Roboto"/>
          <w:color w:val="000000"/>
          <w:sz w:val="20"/>
          <w:szCs w:val="20"/>
        </w:rPr>
        <w:t>Al cierre de 2025, México registró un superávit comercial con Estados Unidos de $165,000 MDD, con</w:t>
      </w:r>
      <w:r w:rsidR="008370A5">
        <w:rPr>
          <w:rFonts w:ascii="Roboto" w:eastAsia="Roboto" w:hAnsi="Roboto" w:cs="Roboto"/>
          <w:color w:val="000000"/>
          <w:sz w:val="20"/>
          <w:szCs w:val="20"/>
        </w:rPr>
        <w:t xml:space="preserve"> lo que se consolidó</w:t>
      </w:r>
      <w:r w:rsidRPr="00D429D4">
        <w:rPr>
          <w:rFonts w:ascii="Roboto" w:eastAsia="Roboto" w:hAnsi="Roboto" w:cs="Roboto"/>
          <w:color w:val="000000"/>
          <w:sz w:val="20"/>
          <w:szCs w:val="20"/>
        </w:rPr>
        <w:t xml:space="preserve"> como el primer socio comercial de Estados Unidos con más de 46 mil millones de dólares en exportaciones (82.2% de los envíos mexicanos tienen como destino el mercado estadounidense). Sin embargo, la inversión extranjera directa mostró señales de alerta: aunque el flujo total alcanzó $38,500 MDD, la proporción de nuevas inversiones se estancó, reflejando una postura de "esperar y ver" por parte de los capitales globales. El déficit comercial de E</w:t>
      </w:r>
      <w:r w:rsidR="008370A5">
        <w:rPr>
          <w:rFonts w:ascii="Roboto" w:eastAsia="Roboto" w:hAnsi="Roboto" w:cs="Roboto"/>
          <w:color w:val="000000"/>
          <w:sz w:val="20"/>
          <w:szCs w:val="20"/>
        </w:rPr>
        <w:t>stados Unidos</w:t>
      </w:r>
      <w:r w:rsidRPr="00D429D4">
        <w:rPr>
          <w:rFonts w:ascii="Roboto" w:eastAsia="Roboto" w:hAnsi="Roboto" w:cs="Roboto"/>
          <w:color w:val="000000"/>
          <w:sz w:val="20"/>
          <w:szCs w:val="20"/>
        </w:rPr>
        <w:t> con México alcanzó los $172 mil millones en 2024, lo que añade presión política a las negociaciones. </w:t>
      </w:r>
    </w:p>
    <w:p w14:paraId="0E58360C" w14:textId="332E701D" w:rsidR="00D429D4" w:rsidRPr="00D429D4" w:rsidRDefault="00D429D4" w:rsidP="00D429D4">
      <w:pPr>
        <w:jc w:val="both"/>
        <w:rPr>
          <w:rFonts w:ascii="Roboto" w:eastAsia="Roboto" w:hAnsi="Roboto" w:cs="Roboto"/>
          <w:color w:val="000000"/>
          <w:sz w:val="20"/>
          <w:szCs w:val="20"/>
        </w:rPr>
      </w:pPr>
      <w:r w:rsidRPr="00D429D4">
        <w:rPr>
          <w:rFonts w:ascii="Roboto" w:eastAsia="Roboto" w:hAnsi="Roboto" w:cs="Roboto"/>
          <w:color w:val="000000"/>
          <w:sz w:val="20"/>
          <w:szCs w:val="20"/>
        </w:rPr>
        <w:t> El sector automotriz —que representa el 32% del PIB manufacturero con un Valor de Contenido Regional del 75%— es el más vulnerable. La ausencia de jueces especializados para resolver disputas sobre reglas de origen o patentes de vehículos eléctricos podría derivar en sanciones comerciales bajo el Capítulo 31, particularmente si Estados Unidos percibe que México no garantiza un campo de juego nivelado.</w:t>
      </w:r>
    </w:p>
    <w:p w14:paraId="7162FDCD" w14:textId="77777777" w:rsidR="008370A5" w:rsidRDefault="008370A5">
      <w:pPr>
        <w:jc w:val="both"/>
        <w:rPr>
          <w:rFonts w:ascii="Roboto" w:eastAsia="Roboto" w:hAnsi="Roboto" w:cs="Roboto"/>
          <w:sz w:val="20"/>
          <w:szCs w:val="20"/>
        </w:rPr>
      </w:pPr>
    </w:p>
    <w:p w14:paraId="684705FB" w14:textId="77777777" w:rsidR="008370A5" w:rsidRPr="008370A5" w:rsidRDefault="008370A5" w:rsidP="008370A5">
      <w:pPr>
        <w:jc w:val="both"/>
        <w:rPr>
          <w:rFonts w:ascii="Roboto" w:eastAsia="Roboto" w:hAnsi="Roboto" w:cs="Roboto"/>
          <w:b/>
          <w:bCs/>
          <w:color w:val="000000"/>
          <w:sz w:val="20"/>
          <w:szCs w:val="20"/>
        </w:rPr>
      </w:pPr>
      <w:r w:rsidRPr="008370A5">
        <w:rPr>
          <w:rFonts w:ascii="Roboto" w:eastAsia="Roboto" w:hAnsi="Roboto" w:cs="Roboto"/>
          <w:b/>
          <w:bCs/>
          <w:color w:val="000000"/>
          <w:sz w:val="20"/>
          <w:szCs w:val="20"/>
        </w:rPr>
        <w:t>RECOMENDACIONES ESTRATÉGICAS </w:t>
      </w:r>
    </w:p>
    <w:p w14:paraId="05CB4579" w14:textId="4EC29557" w:rsidR="008370A5" w:rsidRPr="008370A5" w:rsidRDefault="008370A5" w:rsidP="008370A5">
      <w:pPr>
        <w:jc w:val="both"/>
        <w:rPr>
          <w:rFonts w:ascii="Roboto" w:eastAsia="Roboto" w:hAnsi="Roboto" w:cs="Roboto"/>
          <w:sz w:val="20"/>
          <w:szCs w:val="20"/>
        </w:rPr>
      </w:pPr>
      <w:r>
        <w:rPr>
          <w:rFonts w:ascii="Roboto" w:eastAsia="Roboto" w:hAnsi="Roboto" w:cs="Roboto"/>
          <w:sz w:val="20"/>
          <w:szCs w:val="20"/>
        </w:rPr>
        <w:t>Para reducir riesgos en la negociación se pueden adoptar las siguientes medidas</w:t>
      </w:r>
      <w:r w:rsidRPr="008370A5">
        <w:rPr>
          <w:rFonts w:ascii="Roboto" w:eastAsia="Roboto" w:hAnsi="Roboto" w:cs="Roboto"/>
          <w:sz w:val="20"/>
          <w:szCs w:val="20"/>
        </w:rPr>
        <w:t>: </w:t>
      </w:r>
    </w:p>
    <w:p w14:paraId="6234E947" w14:textId="77777777" w:rsidR="008370A5" w:rsidRPr="008370A5" w:rsidRDefault="008370A5" w:rsidP="008370A5">
      <w:pPr>
        <w:jc w:val="both"/>
        <w:rPr>
          <w:rFonts w:ascii="Roboto" w:eastAsia="Roboto" w:hAnsi="Roboto" w:cs="Roboto"/>
          <w:sz w:val="20"/>
          <w:szCs w:val="20"/>
        </w:rPr>
      </w:pPr>
      <w:r w:rsidRPr="008370A5">
        <w:rPr>
          <w:rFonts w:ascii="Roboto" w:eastAsia="Roboto" w:hAnsi="Roboto" w:cs="Roboto"/>
          <w:sz w:val="20"/>
          <w:szCs w:val="20"/>
        </w:rPr>
        <w:t>- Tribunales especializados: Blindar la justicia comercial mediante jueces de carrera técnica no sujetos a ciclos de elección popular directa. </w:t>
      </w:r>
    </w:p>
    <w:p w14:paraId="22E63D15" w14:textId="1B982FD9" w:rsidR="008370A5" w:rsidRPr="008370A5" w:rsidRDefault="008370A5" w:rsidP="008370A5">
      <w:pPr>
        <w:jc w:val="both"/>
        <w:rPr>
          <w:rFonts w:ascii="Roboto" w:eastAsia="Roboto" w:hAnsi="Roboto" w:cs="Roboto"/>
          <w:sz w:val="20"/>
          <w:szCs w:val="20"/>
        </w:rPr>
      </w:pPr>
      <w:r w:rsidRPr="008370A5">
        <w:rPr>
          <w:rFonts w:ascii="Roboto" w:eastAsia="Roboto" w:hAnsi="Roboto" w:cs="Roboto"/>
          <w:sz w:val="20"/>
          <w:szCs w:val="20"/>
        </w:rPr>
        <w:t>- Fortalecimiento del arbitraje: Potenciar los mecanismos alternativos de justicia como vía preferente para controversias entre empresas. </w:t>
      </w:r>
    </w:p>
    <w:p w14:paraId="75C224DE" w14:textId="77777777" w:rsidR="008370A5" w:rsidRPr="008370A5" w:rsidRDefault="008370A5" w:rsidP="008370A5">
      <w:pPr>
        <w:jc w:val="both"/>
        <w:rPr>
          <w:rFonts w:ascii="Roboto" w:eastAsia="Roboto" w:hAnsi="Roboto" w:cs="Roboto"/>
          <w:sz w:val="20"/>
          <w:szCs w:val="20"/>
        </w:rPr>
      </w:pPr>
      <w:r w:rsidRPr="008370A5">
        <w:rPr>
          <w:rFonts w:ascii="Roboto" w:eastAsia="Roboto" w:hAnsi="Roboto" w:cs="Roboto"/>
          <w:sz w:val="20"/>
          <w:szCs w:val="20"/>
        </w:rPr>
        <w:t>- Observatorio trinacional: Establecer una instancia de monitoreo que valide la imparcialidad de las resoluciones judiciales en México ante los socios comerciales. </w:t>
      </w:r>
    </w:p>
    <w:p w14:paraId="340D5B79" w14:textId="33B5ACD3" w:rsidR="008370A5" w:rsidRPr="008370A5" w:rsidRDefault="008370A5" w:rsidP="008370A5">
      <w:pPr>
        <w:jc w:val="both"/>
        <w:rPr>
          <w:rFonts w:ascii="Roboto" w:eastAsia="Roboto" w:hAnsi="Roboto" w:cs="Roboto"/>
          <w:sz w:val="20"/>
          <w:szCs w:val="20"/>
        </w:rPr>
      </w:pPr>
      <w:r>
        <w:rPr>
          <w:rFonts w:ascii="Roboto" w:eastAsia="Roboto" w:hAnsi="Roboto" w:cs="Roboto"/>
          <w:sz w:val="20"/>
          <w:szCs w:val="20"/>
        </w:rPr>
        <w:t xml:space="preserve">- </w:t>
      </w:r>
      <w:r w:rsidRPr="008370A5">
        <w:rPr>
          <w:rFonts w:ascii="Roboto" w:eastAsia="Roboto" w:hAnsi="Roboto" w:cs="Roboto"/>
          <w:sz w:val="20"/>
          <w:szCs w:val="20"/>
        </w:rPr>
        <w:t>Alineación regulatoria: Abordar las preocupaciones en materia energética mediante ajustes reglamentarios que reduzcan fricciones. </w:t>
      </w:r>
    </w:p>
    <w:p w14:paraId="7F7B107D" w14:textId="77777777" w:rsidR="008370A5" w:rsidRPr="008370A5" w:rsidRDefault="008370A5" w:rsidP="008370A5">
      <w:pPr>
        <w:jc w:val="both"/>
        <w:rPr>
          <w:rFonts w:ascii="Roboto" w:eastAsia="Roboto" w:hAnsi="Roboto" w:cs="Roboto"/>
          <w:sz w:val="20"/>
          <w:szCs w:val="20"/>
        </w:rPr>
      </w:pPr>
      <w:r w:rsidRPr="008370A5">
        <w:rPr>
          <w:rFonts w:ascii="Roboto" w:eastAsia="Roboto" w:hAnsi="Roboto" w:cs="Roboto"/>
          <w:sz w:val="20"/>
          <w:szCs w:val="20"/>
        </w:rPr>
        <w:t> </w:t>
      </w:r>
    </w:p>
    <w:p w14:paraId="2F347BF4" w14:textId="77777777" w:rsidR="008370A5" w:rsidRPr="008370A5" w:rsidRDefault="008370A5" w:rsidP="008370A5">
      <w:pPr>
        <w:jc w:val="both"/>
        <w:rPr>
          <w:rFonts w:ascii="Roboto" w:eastAsia="Roboto" w:hAnsi="Roboto" w:cs="Roboto"/>
          <w:b/>
          <w:bCs/>
          <w:sz w:val="20"/>
          <w:szCs w:val="20"/>
        </w:rPr>
      </w:pPr>
      <w:r w:rsidRPr="008370A5">
        <w:rPr>
          <w:rFonts w:ascii="Roboto" w:eastAsia="Roboto" w:hAnsi="Roboto" w:cs="Roboto"/>
          <w:b/>
          <w:bCs/>
          <w:sz w:val="20"/>
          <w:szCs w:val="20"/>
        </w:rPr>
        <w:t>CONCLUSIÓN </w:t>
      </w:r>
    </w:p>
    <w:p w14:paraId="0B8412E4" w14:textId="300A7C37" w:rsidR="008370A5" w:rsidRPr="008370A5" w:rsidRDefault="00634D70" w:rsidP="008370A5">
      <w:pPr>
        <w:jc w:val="both"/>
        <w:rPr>
          <w:rFonts w:ascii="Roboto" w:eastAsia="Roboto" w:hAnsi="Roboto" w:cs="Roboto"/>
          <w:sz w:val="20"/>
          <w:szCs w:val="20"/>
        </w:rPr>
      </w:pPr>
      <w:r>
        <w:rPr>
          <w:rFonts w:ascii="Roboto" w:eastAsia="Roboto" w:hAnsi="Roboto" w:cs="Roboto"/>
          <w:sz w:val="20"/>
          <w:szCs w:val="20"/>
        </w:rPr>
        <w:t>A pesar de su indudable ventaja geográfica y su fortaleza productiva, México padece de una</w:t>
      </w:r>
      <w:r w:rsidR="008370A5" w:rsidRPr="008370A5">
        <w:rPr>
          <w:rFonts w:ascii="Roboto" w:eastAsia="Roboto" w:hAnsi="Roboto" w:cs="Roboto"/>
          <w:sz w:val="20"/>
          <w:szCs w:val="20"/>
        </w:rPr>
        <w:t xml:space="preserve"> vulnerabilidad estratégica</w:t>
      </w:r>
      <w:r>
        <w:rPr>
          <w:rFonts w:ascii="Roboto" w:eastAsia="Roboto" w:hAnsi="Roboto" w:cs="Roboto"/>
          <w:sz w:val="20"/>
          <w:szCs w:val="20"/>
        </w:rPr>
        <w:t xml:space="preserve"> debido a su</w:t>
      </w:r>
      <w:r w:rsidR="008370A5" w:rsidRPr="008370A5">
        <w:rPr>
          <w:rFonts w:ascii="Roboto" w:eastAsia="Roboto" w:hAnsi="Roboto" w:cs="Roboto"/>
          <w:sz w:val="20"/>
          <w:szCs w:val="20"/>
        </w:rPr>
        <w:t xml:space="preserve"> arquitectura institucional</w:t>
      </w:r>
      <w:r w:rsidR="008370A5">
        <w:rPr>
          <w:rFonts w:ascii="Roboto" w:eastAsia="Roboto" w:hAnsi="Roboto" w:cs="Roboto"/>
          <w:sz w:val="20"/>
          <w:szCs w:val="20"/>
        </w:rPr>
        <w:t xml:space="preserve">. </w:t>
      </w:r>
      <w:r w:rsidR="008370A5" w:rsidRPr="008370A5">
        <w:rPr>
          <w:rFonts w:ascii="Roboto" w:eastAsia="Roboto" w:hAnsi="Roboto" w:cs="Roboto"/>
          <w:sz w:val="20"/>
          <w:szCs w:val="20"/>
        </w:rPr>
        <w:t xml:space="preserve">La revisión del 1 de julio de 2026 no es una renegociación automática, </w:t>
      </w:r>
      <w:r>
        <w:rPr>
          <w:rFonts w:ascii="Roboto" w:eastAsia="Roboto" w:hAnsi="Roboto" w:cs="Roboto"/>
          <w:sz w:val="20"/>
          <w:szCs w:val="20"/>
        </w:rPr>
        <w:t>sino</w:t>
      </w:r>
      <w:r w:rsidR="008370A5" w:rsidRPr="008370A5">
        <w:rPr>
          <w:rFonts w:ascii="Roboto" w:eastAsia="Roboto" w:hAnsi="Roboto" w:cs="Roboto"/>
          <w:sz w:val="20"/>
          <w:szCs w:val="20"/>
        </w:rPr>
        <w:t xml:space="preserve"> una ventana crítica para extender o condicionar el tratado. Sin un sistema judicial predecible, los beneficios </w:t>
      </w:r>
      <w:r w:rsidR="008370A5">
        <w:rPr>
          <w:rFonts w:ascii="Roboto" w:eastAsia="Roboto" w:hAnsi="Roboto" w:cs="Roboto"/>
          <w:sz w:val="20"/>
          <w:szCs w:val="20"/>
        </w:rPr>
        <w:t>potenciales</w:t>
      </w:r>
      <w:r w:rsidR="008370A5" w:rsidRPr="008370A5">
        <w:rPr>
          <w:rFonts w:ascii="Roboto" w:eastAsia="Roboto" w:hAnsi="Roboto" w:cs="Roboto"/>
          <w:sz w:val="20"/>
          <w:szCs w:val="20"/>
        </w:rPr>
        <w:t> podrían desplazarse hacia mercados con marcos legales más estables. </w:t>
      </w:r>
    </w:p>
    <w:p w14:paraId="64D560BC" w14:textId="77777777" w:rsidR="008370A5" w:rsidRPr="008370A5" w:rsidRDefault="008370A5" w:rsidP="008370A5">
      <w:pPr>
        <w:jc w:val="both"/>
        <w:rPr>
          <w:rFonts w:ascii="Roboto" w:eastAsia="Roboto" w:hAnsi="Roboto" w:cs="Roboto"/>
          <w:sz w:val="20"/>
          <w:szCs w:val="20"/>
        </w:rPr>
      </w:pPr>
      <w:r w:rsidRPr="008370A5">
        <w:rPr>
          <w:rFonts w:ascii="Roboto" w:eastAsia="Roboto" w:hAnsi="Roboto" w:cs="Roboto"/>
          <w:sz w:val="20"/>
          <w:szCs w:val="20"/>
        </w:rPr>
        <w:t> </w:t>
      </w:r>
    </w:p>
    <w:p w14:paraId="68ECF711" w14:textId="77777777" w:rsidR="008370A5" w:rsidRPr="008370A5" w:rsidRDefault="008370A5" w:rsidP="008370A5">
      <w:pPr>
        <w:jc w:val="both"/>
        <w:rPr>
          <w:rFonts w:ascii="Roboto" w:eastAsia="Roboto" w:hAnsi="Roboto" w:cs="Roboto"/>
          <w:b/>
          <w:bCs/>
          <w:sz w:val="20"/>
          <w:szCs w:val="20"/>
          <w:lang w:val="en-US"/>
        </w:rPr>
      </w:pPr>
      <w:r w:rsidRPr="008370A5">
        <w:rPr>
          <w:rFonts w:ascii="Roboto" w:eastAsia="Roboto" w:hAnsi="Roboto" w:cs="Roboto"/>
          <w:b/>
          <w:bCs/>
          <w:sz w:val="20"/>
          <w:szCs w:val="20"/>
          <w:lang w:val="en-US"/>
        </w:rPr>
        <w:t>REFERENCIAS </w:t>
      </w:r>
    </w:p>
    <w:p w14:paraId="4DF1DD94" w14:textId="4F44D484" w:rsidR="007C2195" w:rsidRPr="007C2195" w:rsidRDefault="007C2195" w:rsidP="007C2195">
      <w:pPr>
        <w:jc w:val="both"/>
        <w:rPr>
          <w:rFonts w:ascii="Roboto" w:eastAsia="Roboto" w:hAnsi="Roboto" w:cs="Roboto"/>
          <w:sz w:val="20"/>
          <w:szCs w:val="20"/>
          <w:lang w:val="en-US"/>
        </w:rPr>
      </w:pPr>
      <w:r w:rsidRPr="007C2195">
        <w:rPr>
          <w:rFonts w:ascii="Roboto" w:eastAsia="Roboto" w:hAnsi="Roboto" w:cs="Roboto"/>
          <w:sz w:val="20"/>
          <w:szCs w:val="20"/>
          <w:lang w:val="en-US"/>
        </w:rPr>
        <w:t xml:space="preserve">Allende, M. (2025, </w:t>
      </w:r>
      <w:proofErr w:type="spellStart"/>
      <w:r w:rsidRPr="007C2195">
        <w:rPr>
          <w:rFonts w:ascii="Roboto" w:eastAsia="Roboto" w:hAnsi="Roboto" w:cs="Roboto"/>
          <w:sz w:val="20"/>
          <w:szCs w:val="20"/>
          <w:lang w:val="en-US"/>
        </w:rPr>
        <w:t>noviembre</w:t>
      </w:r>
      <w:proofErr w:type="spellEnd"/>
      <w:r w:rsidRPr="007C2195">
        <w:rPr>
          <w:rFonts w:ascii="Roboto" w:eastAsia="Roboto" w:hAnsi="Roboto" w:cs="Roboto"/>
          <w:sz w:val="20"/>
          <w:szCs w:val="20"/>
          <w:lang w:val="en-US"/>
        </w:rPr>
        <w:t xml:space="preserve"> 3). </w:t>
      </w:r>
      <w:r w:rsidRPr="007C2195">
        <w:rPr>
          <w:rFonts w:ascii="Roboto" w:eastAsia="Roboto" w:hAnsi="Roboto" w:cs="Roboto"/>
          <w:i/>
          <w:iCs/>
          <w:sz w:val="20"/>
          <w:szCs w:val="20"/>
          <w:lang w:val="en-US"/>
        </w:rPr>
        <w:t>US CEOs warn Mexico reform may risk investment, urge ISDS return</w:t>
      </w:r>
      <w:r w:rsidRPr="007C2195">
        <w:rPr>
          <w:rFonts w:ascii="Roboto" w:eastAsia="Roboto" w:hAnsi="Roboto" w:cs="Roboto"/>
          <w:sz w:val="20"/>
          <w:szCs w:val="20"/>
          <w:lang w:val="en-US"/>
        </w:rPr>
        <w:t>. Mexico Business News. </w:t>
      </w:r>
      <w:hyperlink r:id="rId12" w:tgtFrame="_blank" w:history="1">
        <w:r w:rsidRPr="007C2195">
          <w:rPr>
            <w:rStyle w:val="Hipervnculo"/>
            <w:rFonts w:ascii="Roboto" w:eastAsia="Roboto" w:hAnsi="Roboto" w:cs="Roboto"/>
            <w:sz w:val="20"/>
            <w:szCs w:val="20"/>
            <w:lang w:val="en-US"/>
          </w:rPr>
          <w:t>https://mexicobusiness.news/finance/news/us-ceos-warn-mexico-reform-may-risk-investment-urge-isds-return</w:t>
        </w:r>
      </w:hyperlink>
    </w:p>
    <w:p w14:paraId="52CE4909" w14:textId="7F8700A7" w:rsidR="007C2195" w:rsidRPr="007C2195" w:rsidRDefault="007C2195" w:rsidP="007C2195">
      <w:pPr>
        <w:jc w:val="both"/>
        <w:rPr>
          <w:rFonts w:ascii="Roboto" w:eastAsia="Roboto" w:hAnsi="Roboto" w:cs="Roboto"/>
          <w:sz w:val="20"/>
          <w:szCs w:val="20"/>
        </w:rPr>
      </w:pPr>
      <w:proofErr w:type="spellStart"/>
      <w:r w:rsidRPr="007C2195">
        <w:rPr>
          <w:rFonts w:ascii="Roboto" w:eastAsia="Roboto" w:hAnsi="Roboto" w:cs="Roboto"/>
          <w:sz w:val="20"/>
          <w:szCs w:val="20"/>
          <w:lang w:val="en-US"/>
        </w:rPr>
        <w:t>BNamericas</w:t>
      </w:r>
      <w:proofErr w:type="spellEnd"/>
      <w:r w:rsidRPr="007C2195">
        <w:rPr>
          <w:rFonts w:ascii="Roboto" w:eastAsia="Roboto" w:hAnsi="Roboto" w:cs="Roboto"/>
          <w:sz w:val="20"/>
          <w:szCs w:val="20"/>
          <w:lang w:val="en-US"/>
        </w:rPr>
        <w:t xml:space="preserve">. (2025, </w:t>
      </w:r>
      <w:proofErr w:type="spellStart"/>
      <w:r w:rsidRPr="007C2195">
        <w:rPr>
          <w:rFonts w:ascii="Roboto" w:eastAsia="Roboto" w:hAnsi="Roboto" w:cs="Roboto"/>
          <w:sz w:val="20"/>
          <w:szCs w:val="20"/>
          <w:lang w:val="en-US"/>
        </w:rPr>
        <w:t>octubre</w:t>
      </w:r>
      <w:proofErr w:type="spellEnd"/>
      <w:r w:rsidRPr="007C2195">
        <w:rPr>
          <w:rFonts w:ascii="Roboto" w:eastAsia="Roboto" w:hAnsi="Roboto" w:cs="Roboto"/>
          <w:sz w:val="20"/>
          <w:szCs w:val="20"/>
          <w:lang w:val="en-US"/>
        </w:rPr>
        <w:t xml:space="preserve"> 29). </w:t>
      </w:r>
      <w:r w:rsidRPr="007C2195">
        <w:rPr>
          <w:rFonts w:ascii="Roboto" w:eastAsia="Roboto" w:hAnsi="Roboto" w:cs="Roboto"/>
          <w:i/>
          <w:iCs/>
          <w:sz w:val="20"/>
          <w:szCs w:val="20"/>
          <w:lang w:val="en-US"/>
        </w:rPr>
        <w:t>US Chamber: Act now on</w:t>
      </w:r>
      <w:r>
        <w:rPr>
          <w:rFonts w:ascii="Roboto" w:eastAsia="Roboto" w:hAnsi="Roboto" w:cs="Roboto"/>
          <w:i/>
          <w:iCs/>
          <w:sz w:val="20"/>
          <w:szCs w:val="20"/>
          <w:lang w:val="en-US"/>
        </w:rPr>
        <w:t xml:space="preserve"> </w:t>
      </w:r>
      <w:r w:rsidRPr="007C2195">
        <w:rPr>
          <w:rFonts w:ascii="Roboto" w:eastAsia="Roboto" w:hAnsi="Roboto" w:cs="Roboto"/>
          <w:i/>
          <w:iCs/>
          <w:sz w:val="20"/>
          <w:szCs w:val="20"/>
          <w:lang w:val="en-US"/>
        </w:rPr>
        <w:t>Mexico energy rules</w:t>
      </w:r>
      <w:r w:rsidRPr="007C2195">
        <w:rPr>
          <w:rFonts w:ascii="Roboto" w:eastAsia="Roboto" w:hAnsi="Roboto" w:cs="Roboto"/>
          <w:sz w:val="20"/>
          <w:szCs w:val="20"/>
          <w:lang w:val="en-US"/>
        </w:rPr>
        <w:t>. </w:t>
      </w:r>
      <w:hyperlink r:id="rId13" w:tgtFrame="_blank" w:history="1">
        <w:r w:rsidRPr="007C2195">
          <w:rPr>
            <w:rStyle w:val="Hipervnculo"/>
            <w:rFonts w:ascii="Roboto" w:eastAsia="Roboto" w:hAnsi="Roboto" w:cs="Roboto"/>
            <w:sz w:val="20"/>
            <w:szCs w:val="20"/>
          </w:rPr>
          <w:t>https://www.bnamericas.com/en/news/us-chamber-act-now-on-mexico-energy-rules</w:t>
        </w:r>
      </w:hyperlink>
    </w:p>
    <w:p w14:paraId="4ED4C90B" w14:textId="77777777" w:rsidR="007C2195" w:rsidRPr="007C2195" w:rsidRDefault="007C2195" w:rsidP="007C2195">
      <w:pPr>
        <w:jc w:val="both"/>
        <w:rPr>
          <w:rFonts w:ascii="Roboto" w:eastAsia="Roboto" w:hAnsi="Roboto" w:cs="Roboto"/>
          <w:sz w:val="20"/>
          <w:szCs w:val="20"/>
          <w:lang w:val="en-US"/>
        </w:rPr>
      </w:pPr>
      <w:r w:rsidRPr="007C2195">
        <w:rPr>
          <w:rFonts w:ascii="Roboto" w:eastAsia="Roboto" w:hAnsi="Roboto" w:cs="Roboto"/>
          <w:sz w:val="20"/>
          <w:szCs w:val="20"/>
        </w:rPr>
        <w:t>Cason, J., &amp; Brooks, D. (2025, octubre 7). El T-MEC no ha beneficiado a los trabajadores: expertos. </w:t>
      </w:r>
      <w:r w:rsidRPr="007C2195">
        <w:rPr>
          <w:rFonts w:ascii="Roboto" w:eastAsia="Roboto" w:hAnsi="Roboto" w:cs="Roboto"/>
          <w:i/>
          <w:iCs/>
          <w:sz w:val="20"/>
          <w:szCs w:val="20"/>
          <w:lang w:val="en-US"/>
        </w:rPr>
        <w:t>La Jornada</w:t>
      </w:r>
      <w:r w:rsidRPr="007C2195">
        <w:rPr>
          <w:rFonts w:ascii="Roboto" w:eastAsia="Roboto" w:hAnsi="Roboto" w:cs="Roboto"/>
          <w:sz w:val="20"/>
          <w:szCs w:val="20"/>
          <w:lang w:val="en-US"/>
        </w:rPr>
        <w:t>. </w:t>
      </w:r>
      <w:hyperlink r:id="rId14" w:tgtFrame="_blank" w:history="1">
        <w:r w:rsidRPr="007C2195">
          <w:rPr>
            <w:rStyle w:val="Hipervnculo"/>
            <w:rFonts w:ascii="Roboto" w:eastAsia="Roboto" w:hAnsi="Roboto" w:cs="Roboto"/>
            <w:sz w:val="20"/>
            <w:szCs w:val="20"/>
            <w:lang w:val="en-US"/>
          </w:rPr>
          <w:t>https://www.jornada.com.mx/2025/10/07/economia/025n1eco</w:t>
        </w:r>
      </w:hyperlink>
    </w:p>
    <w:p w14:paraId="54317E9D" w14:textId="77777777" w:rsidR="007C2195" w:rsidRPr="007C2195" w:rsidRDefault="007C2195" w:rsidP="007C2195">
      <w:pPr>
        <w:jc w:val="both"/>
        <w:rPr>
          <w:rFonts w:ascii="Roboto" w:eastAsia="Roboto" w:hAnsi="Roboto" w:cs="Roboto"/>
          <w:sz w:val="20"/>
          <w:szCs w:val="20"/>
        </w:rPr>
      </w:pPr>
      <w:r w:rsidRPr="007C2195">
        <w:rPr>
          <w:rFonts w:ascii="Roboto" w:eastAsia="Roboto" w:hAnsi="Roboto" w:cs="Roboto"/>
          <w:sz w:val="20"/>
          <w:szCs w:val="20"/>
          <w:lang w:val="en-US"/>
        </w:rPr>
        <w:t>Gantz, D. A. (2020). </w:t>
      </w:r>
      <w:r w:rsidRPr="007C2195">
        <w:rPr>
          <w:rFonts w:ascii="Roboto" w:eastAsia="Roboto" w:hAnsi="Roboto" w:cs="Roboto"/>
          <w:i/>
          <w:iCs/>
          <w:sz w:val="20"/>
          <w:szCs w:val="20"/>
          <w:lang w:val="en-US"/>
        </w:rPr>
        <w:t>An introduction to the United States-Mexico-Canada Agreement: Understanding the new NAFTA</w:t>
      </w:r>
      <w:r w:rsidRPr="007C2195">
        <w:rPr>
          <w:rFonts w:ascii="Roboto" w:eastAsia="Roboto" w:hAnsi="Roboto" w:cs="Roboto"/>
          <w:sz w:val="20"/>
          <w:szCs w:val="20"/>
          <w:lang w:val="en-US"/>
        </w:rPr>
        <w:t xml:space="preserve">. </w:t>
      </w:r>
      <w:r w:rsidRPr="007C2195">
        <w:rPr>
          <w:rFonts w:ascii="Roboto" w:eastAsia="Roboto" w:hAnsi="Roboto" w:cs="Roboto"/>
          <w:sz w:val="20"/>
          <w:szCs w:val="20"/>
        </w:rPr>
        <w:t>Edward Elgar Publishing.</w:t>
      </w:r>
    </w:p>
    <w:p w14:paraId="09D34227" w14:textId="77777777" w:rsidR="007C2195" w:rsidRPr="007C2195" w:rsidRDefault="007C2195" w:rsidP="007C2195">
      <w:pPr>
        <w:jc w:val="both"/>
        <w:rPr>
          <w:rFonts w:ascii="Roboto" w:eastAsia="Roboto" w:hAnsi="Roboto" w:cs="Roboto"/>
          <w:sz w:val="20"/>
          <w:szCs w:val="20"/>
        </w:rPr>
      </w:pPr>
      <w:proofErr w:type="spellStart"/>
      <w:r w:rsidRPr="007C2195">
        <w:rPr>
          <w:rFonts w:ascii="Roboto" w:eastAsia="Roboto" w:hAnsi="Roboto" w:cs="Roboto"/>
          <w:sz w:val="20"/>
          <w:szCs w:val="20"/>
        </w:rPr>
        <w:t>Industry</w:t>
      </w:r>
      <w:proofErr w:type="spellEnd"/>
      <w:r w:rsidRPr="007C2195">
        <w:rPr>
          <w:rFonts w:ascii="Roboto" w:eastAsia="Roboto" w:hAnsi="Roboto" w:cs="Roboto"/>
          <w:sz w:val="20"/>
          <w:szCs w:val="20"/>
        </w:rPr>
        <w:t xml:space="preserve"> &amp; Energy Magazine. (2025, noviembre 4). </w:t>
      </w:r>
      <w:r w:rsidRPr="007C2195">
        <w:rPr>
          <w:rFonts w:ascii="Roboto" w:eastAsia="Roboto" w:hAnsi="Roboto" w:cs="Roboto"/>
          <w:i/>
          <w:iCs/>
          <w:sz w:val="20"/>
          <w:szCs w:val="20"/>
        </w:rPr>
        <w:t>Washington sube el tono: petroleras y cabilderos presionan usar el USMCA contra la política energética de México</w:t>
      </w:r>
      <w:r w:rsidRPr="007C2195">
        <w:rPr>
          <w:rFonts w:ascii="Roboto" w:eastAsia="Roboto" w:hAnsi="Roboto" w:cs="Roboto"/>
          <w:sz w:val="20"/>
          <w:szCs w:val="20"/>
        </w:rPr>
        <w:t>. </w:t>
      </w:r>
      <w:hyperlink r:id="rId15" w:tgtFrame="_blank" w:history="1">
        <w:r w:rsidRPr="007C2195">
          <w:rPr>
            <w:rStyle w:val="Hipervnculo"/>
            <w:rFonts w:ascii="Roboto" w:eastAsia="Roboto" w:hAnsi="Roboto" w:cs="Roboto"/>
            <w:sz w:val="20"/>
            <w:szCs w:val="20"/>
          </w:rPr>
          <w:t>https://energymagazine.mx/2025/11/washington-sube-el-tono-petroleras-y-cabilderos-presionan-usar-el-usmca-contra-la-politica-energetica-de-mexico/</w:t>
        </w:r>
      </w:hyperlink>
    </w:p>
    <w:p w14:paraId="089D81FA" w14:textId="77777777" w:rsidR="007C2195" w:rsidRPr="007C2195" w:rsidRDefault="007C2195" w:rsidP="007C2195">
      <w:pPr>
        <w:jc w:val="both"/>
        <w:rPr>
          <w:rFonts w:ascii="Roboto" w:eastAsia="Roboto" w:hAnsi="Roboto" w:cs="Roboto"/>
          <w:sz w:val="20"/>
          <w:szCs w:val="20"/>
          <w:lang w:val="en-US"/>
        </w:rPr>
      </w:pPr>
      <w:r w:rsidRPr="007C2195">
        <w:rPr>
          <w:rFonts w:ascii="Roboto" w:eastAsia="Roboto" w:hAnsi="Roboto" w:cs="Roboto"/>
          <w:sz w:val="20"/>
          <w:szCs w:val="20"/>
        </w:rPr>
        <w:t>Instituto Nacional de Estadística y Geografía. (2025). </w:t>
      </w:r>
      <w:r w:rsidRPr="007C2195">
        <w:rPr>
          <w:rFonts w:ascii="Roboto" w:eastAsia="Roboto" w:hAnsi="Roboto" w:cs="Roboto"/>
          <w:i/>
          <w:iCs/>
          <w:sz w:val="20"/>
          <w:szCs w:val="20"/>
        </w:rPr>
        <w:t>Balanza Comercial de Mercancías de México</w:t>
      </w:r>
      <w:r w:rsidRPr="007C2195">
        <w:rPr>
          <w:rFonts w:ascii="Roboto" w:eastAsia="Roboto" w:hAnsi="Roboto" w:cs="Roboto"/>
          <w:sz w:val="20"/>
          <w:szCs w:val="20"/>
        </w:rPr>
        <w:t>. </w:t>
      </w:r>
      <w:hyperlink r:id="rId16" w:tgtFrame="_blank" w:history="1">
        <w:r w:rsidRPr="007C2195">
          <w:rPr>
            <w:rStyle w:val="Hipervnculo"/>
            <w:rFonts w:ascii="Roboto" w:eastAsia="Roboto" w:hAnsi="Roboto" w:cs="Roboto"/>
            <w:sz w:val="20"/>
            <w:szCs w:val="20"/>
            <w:lang w:val="en-US"/>
          </w:rPr>
          <w:t>https://www.inegi.org.mx/temas/balanza/</w:t>
        </w:r>
      </w:hyperlink>
    </w:p>
    <w:p w14:paraId="38CE07C8" w14:textId="47C193F1" w:rsidR="007C2195" w:rsidRPr="007C2195" w:rsidRDefault="007C2195" w:rsidP="007C2195">
      <w:pPr>
        <w:jc w:val="both"/>
        <w:rPr>
          <w:rFonts w:ascii="Roboto" w:eastAsia="Roboto" w:hAnsi="Roboto" w:cs="Roboto"/>
          <w:sz w:val="20"/>
          <w:szCs w:val="20"/>
        </w:rPr>
      </w:pPr>
      <w:r w:rsidRPr="007C2195">
        <w:rPr>
          <w:rFonts w:ascii="Roboto" w:eastAsia="Roboto" w:hAnsi="Roboto" w:cs="Roboto"/>
          <w:sz w:val="20"/>
          <w:szCs w:val="20"/>
          <w:lang w:val="en-US"/>
        </w:rPr>
        <w:t xml:space="preserve">International Economic Law and Policy Blog. (2025, </w:t>
      </w:r>
      <w:proofErr w:type="spellStart"/>
      <w:r w:rsidRPr="007C2195">
        <w:rPr>
          <w:rFonts w:ascii="Roboto" w:eastAsia="Roboto" w:hAnsi="Roboto" w:cs="Roboto"/>
          <w:sz w:val="20"/>
          <w:szCs w:val="20"/>
          <w:lang w:val="en-US"/>
        </w:rPr>
        <w:t>septiembre</w:t>
      </w:r>
      <w:proofErr w:type="spellEnd"/>
      <w:r w:rsidRPr="007C2195">
        <w:rPr>
          <w:rFonts w:ascii="Roboto" w:eastAsia="Roboto" w:hAnsi="Roboto" w:cs="Roboto"/>
          <w:sz w:val="20"/>
          <w:szCs w:val="20"/>
          <w:lang w:val="en-US"/>
        </w:rPr>
        <w:t xml:space="preserve"> 3). </w:t>
      </w:r>
      <w:r w:rsidRPr="007C2195">
        <w:rPr>
          <w:rFonts w:ascii="Roboto" w:eastAsia="Roboto" w:hAnsi="Roboto" w:cs="Roboto"/>
          <w:i/>
          <w:iCs/>
          <w:sz w:val="20"/>
          <w:szCs w:val="20"/>
          <w:lang w:val="en-US"/>
        </w:rPr>
        <w:t>Lessons from the first U.S. win in a trade and labor dispute: The USMCA RRM Atento decision</w:t>
      </w:r>
      <w:r w:rsidRPr="007C2195">
        <w:rPr>
          <w:rFonts w:ascii="Roboto" w:eastAsia="Roboto" w:hAnsi="Roboto" w:cs="Roboto"/>
          <w:sz w:val="20"/>
          <w:szCs w:val="20"/>
          <w:lang w:val="en-US"/>
        </w:rPr>
        <w:t>. </w:t>
      </w:r>
      <w:hyperlink r:id="rId17" w:tgtFrame="_blank" w:history="1">
        <w:r w:rsidRPr="007C2195">
          <w:rPr>
            <w:rStyle w:val="Hipervnculo"/>
            <w:rFonts w:ascii="Roboto" w:eastAsia="Roboto" w:hAnsi="Roboto" w:cs="Roboto"/>
            <w:sz w:val="20"/>
            <w:szCs w:val="20"/>
          </w:rPr>
          <w:t>https://ielp.worldtradelaw.net/2025/09/lessons-from-the-first-u-s-win-in-a-trade-and-labor-dispute-the-usmca-rrm-atento-decision.html</w:t>
        </w:r>
      </w:hyperlink>
      <w:r w:rsidRPr="007C2195">
        <w:rPr>
          <w:rFonts w:ascii="Roboto" w:eastAsia="Roboto" w:hAnsi="Roboto" w:cs="Roboto"/>
          <w:sz w:val="20"/>
          <w:szCs w:val="20"/>
        </w:rPr>
        <w:t xml:space="preserve"> </w:t>
      </w:r>
    </w:p>
    <w:p w14:paraId="530D65E3" w14:textId="77777777" w:rsidR="007C2195" w:rsidRPr="007C2195" w:rsidRDefault="007C2195" w:rsidP="007C2195">
      <w:pPr>
        <w:jc w:val="both"/>
        <w:rPr>
          <w:rFonts w:ascii="Roboto" w:eastAsia="Roboto" w:hAnsi="Roboto" w:cs="Roboto"/>
          <w:sz w:val="20"/>
          <w:szCs w:val="20"/>
          <w:lang w:val="en-US"/>
        </w:rPr>
      </w:pPr>
      <w:r w:rsidRPr="007C2195">
        <w:rPr>
          <w:rFonts w:ascii="Roboto" w:eastAsia="Roboto" w:hAnsi="Roboto" w:cs="Roboto"/>
          <w:sz w:val="20"/>
          <w:szCs w:val="20"/>
          <w:lang w:val="en-US"/>
        </w:rPr>
        <w:t>North, D. C. (1990). </w:t>
      </w:r>
      <w:r w:rsidRPr="007C2195">
        <w:rPr>
          <w:rFonts w:ascii="Roboto" w:eastAsia="Roboto" w:hAnsi="Roboto" w:cs="Roboto"/>
          <w:i/>
          <w:iCs/>
          <w:sz w:val="20"/>
          <w:szCs w:val="20"/>
          <w:lang w:val="en-US"/>
        </w:rPr>
        <w:t>Institutions, institutional change and economic performance</w:t>
      </w:r>
      <w:r w:rsidRPr="007C2195">
        <w:rPr>
          <w:rFonts w:ascii="Roboto" w:eastAsia="Roboto" w:hAnsi="Roboto" w:cs="Roboto"/>
          <w:sz w:val="20"/>
          <w:szCs w:val="20"/>
          <w:lang w:val="en-US"/>
        </w:rPr>
        <w:t>. Cambridge University Press.</w:t>
      </w:r>
    </w:p>
    <w:p w14:paraId="440A9453" w14:textId="77777777" w:rsidR="007C2195" w:rsidRPr="007C2195" w:rsidRDefault="007C2195" w:rsidP="007C2195">
      <w:pPr>
        <w:jc w:val="both"/>
        <w:rPr>
          <w:rFonts w:ascii="Roboto" w:eastAsia="Roboto" w:hAnsi="Roboto" w:cs="Roboto"/>
          <w:sz w:val="20"/>
          <w:szCs w:val="20"/>
        </w:rPr>
      </w:pPr>
      <w:r w:rsidRPr="007C2195">
        <w:rPr>
          <w:rFonts w:ascii="Roboto" w:eastAsia="Roboto" w:hAnsi="Roboto" w:cs="Roboto"/>
          <w:sz w:val="20"/>
          <w:szCs w:val="20"/>
          <w:lang w:val="en-US"/>
        </w:rPr>
        <w:t xml:space="preserve">Office of the United States Trade Representative. </w:t>
      </w:r>
      <w:r w:rsidRPr="007C2195">
        <w:rPr>
          <w:rFonts w:ascii="Roboto" w:eastAsia="Roboto" w:hAnsi="Roboto" w:cs="Roboto"/>
          <w:sz w:val="20"/>
          <w:szCs w:val="20"/>
        </w:rPr>
        <w:t>(2025). </w:t>
      </w:r>
      <w:r w:rsidRPr="007C2195">
        <w:rPr>
          <w:rFonts w:ascii="Roboto" w:eastAsia="Roboto" w:hAnsi="Roboto" w:cs="Roboto"/>
          <w:i/>
          <w:iCs/>
          <w:sz w:val="20"/>
          <w:szCs w:val="20"/>
        </w:rPr>
        <w:t>2025 Special 301 Report</w:t>
      </w:r>
      <w:r w:rsidRPr="007C2195">
        <w:rPr>
          <w:rFonts w:ascii="Roboto" w:eastAsia="Roboto" w:hAnsi="Roboto" w:cs="Roboto"/>
          <w:sz w:val="20"/>
          <w:szCs w:val="20"/>
        </w:rPr>
        <w:t>. </w:t>
      </w:r>
      <w:hyperlink r:id="rId18" w:tgtFrame="_blank" w:history="1">
        <w:r w:rsidRPr="007C2195">
          <w:rPr>
            <w:rStyle w:val="Hipervnculo"/>
            <w:rFonts w:ascii="Roboto" w:eastAsia="Roboto" w:hAnsi="Roboto" w:cs="Roboto"/>
            <w:sz w:val="20"/>
            <w:szCs w:val="20"/>
          </w:rPr>
          <w:t>https://ustr.gov/sites/default/files/2025-04/2025-Special-301-Report.pdf</w:t>
        </w:r>
      </w:hyperlink>
    </w:p>
    <w:p w14:paraId="33292404" w14:textId="77777777" w:rsidR="008370A5" w:rsidRPr="00D429D4" w:rsidRDefault="008370A5">
      <w:pPr>
        <w:jc w:val="both"/>
        <w:rPr>
          <w:rFonts w:ascii="Roboto" w:eastAsia="Roboto" w:hAnsi="Roboto" w:cs="Roboto"/>
          <w:sz w:val="20"/>
          <w:szCs w:val="20"/>
        </w:rPr>
        <w:sectPr w:rsidR="008370A5" w:rsidRPr="00D429D4">
          <w:type w:val="continuous"/>
          <w:pgSz w:w="11906" w:h="16838"/>
          <w:pgMar w:top="1134" w:right="851" w:bottom="1134" w:left="851" w:header="357" w:footer="720" w:gutter="0"/>
          <w:cols w:num="2" w:space="720" w:equalWidth="0">
            <w:col w:w="4934" w:space="335"/>
            <w:col w:w="4934" w:space="0"/>
          </w:cols>
        </w:sectPr>
      </w:pPr>
    </w:p>
    <w:p w14:paraId="4C576C9E" w14:textId="77777777" w:rsidR="006A69CA" w:rsidRDefault="003C29B9">
      <w:pPr>
        <w:spacing w:before="240"/>
        <w:jc w:val="center"/>
        <w:rPr>
          <w:rFonts w:ascii="Roboto" w:eastAsia="Roboto" w:hAnsi="Roboto" w:cs="Roboto"/>
          <w:b/>
          <w:bCs/>
          <w:color w:val="FF0000"/>
          <w:sz w:val="20"/>
          <w:szCs w:val="20"/>
        </w:rPr>
      </w:pPr>
      <w:r w:rsidRPr="008370A5">
        <w:rPr>
          <w:rFonts w:ascii="Roboto" w:eastAsia="Roboto" w:hAnsi="Roboto" w:cs="Roboto"/>
          <w:b/>
          <w:bCs/>
          <w:color w:val="FF0000"/>
          <w:sz w:val="20"/>
          <w:szCs w:val="20"/>
        </w:rPr>
        <w:lastRenderedPageBreak/>
        <w:t xml:space="preserve">NO ELIMINAR ESTA HOJA DEL ARCHIVO. </w:t>
      </w:r>
      <w:r>
        <w:rPr>
          <w:rFonts w:ascii="Roboto" w:eastAsia="Roboto" w:hAnsi="Roboto" w:cs="Roboto"/>
          <w:b/>
          <w:bCs/>
          <w:color w:val="FF0000"/>
          <w:sz w:val="20"/>
          <w:szCs w:val="20"/>
        </w:rPr>
        <w:t>ENVÍE EL ARCHIVO COMPLETO</w:t>
      </w:r>
    </w:p>
    <w:p w14:paraId="50EEC7F5" w14:textId="77777777" w:rsidR="006A69CA" w:rsidRDefault="003C29B9">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7379E4AF" w14:textId="77777777" w:rsidR="006A69CA" w:rsidRDefault="003C29B9">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2646EFE2" w14:textId="77777777" w:rsidR="006A69CA" w:rsidRDefault="003C29B9">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0A6D7092" w14:textId="77777777" w:rsidR="006A69CA" w:rsidRDefault="003C29B9">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23843EBF" w14:textId="77777777" w:rsidR="006A69CA" w:rsidRDefault="003C29B9">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2367F796" w14:textId="77777777" w:rsidR="006A69CA" w:rsidRDefault="003C29B9">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6691F2EE" w14:textId="77777777" w:rsidR="006A69CA" w:rsidRDefault="003C29B9">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08219292" w14:textId="77777777" w:rsidR="006A69CA" w:rsidRDefault="003C29B9">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0B00930E" w14:textId="77777777" w:rsidR="006A69CA" w:rsidRDefault="003C29B9">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3016336A" w14:textId="77777777" w:rsidR="006A69CA" w:rsidRDefault="003C29B9">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5EBF2D3E" w14:textId="77777777" w:rsidR="006A69CA" w:rsidRDefault="003C29B9">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67378527" w14:textId="77777777" w:rsidR="006A69CA" w:rsidRDefault="003C29B9">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57FC1D02" w14:textId="77777777" w:rsidR="006A69CA" w:rsidRDefault="003C29B9">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7DF1A885" w14:textId="77777777" w:rsidR="006A69CA" w:rsidRDefault="003C29B9">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3ADAEB81" w14:textId="77777777" w:rsidR="006A69CA" w:rsidRDefault="003C29B9">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7B8990FF" w14:textId="77777777" w:rsidR="006A69CA" w:rsidRDefault="003C29B9">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678C7E5F" w14:textId="77777777" w:rsidR="006A69CA" w:rsidRDefault="003C29B9">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13D8E68B" w14:textId="77777777" w:rsidR="006A69CA" w:rsidRDefault="003C29B9">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031128C8" w14:textId="77777777" w:rsidR="006A69CA" w:rsidRDefault="003C29B9">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445642AB" w14:textId="77777777" w:rsidR="006A69CA" w:rsidRDefault="003C29B9">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3C4874F0" w14:textId="77777777" w:rsidR="006A69CA" w:rsidRDefault="003C29B9">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42BAEB5C" w14:textId="77777777" w:rsidR="006A69CA" w:rsidRDefault="003C29B9">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17E40FE7" w14:textId="5A14E76E" w:rsidR="006A69CA" w:rsidRDefault="003C29B9">
      <w:pPr>
        <w:spacing w:before="240" w:after="240"/>
        <w:jc w:val="both"/>
        <w:rPr>
          <w:rFonts w:ascii="Roboto" w:eastAsia="Roboto" w:hAnsi="Roboto" w:cs="Roboto"/>
          <w:sz w:val="20"/>
          <w:szCs w:val="20"/>
        </w:rPr>
      </w:pPr>
      <w:r>
        <w:rPr>
          <w:rFonts w:ascii="Roboto" w:eastAsia="Roboto" w:hAnsi="Roboto" w:cs="Roboto"/>
          <w:sz w:val="20"/>
          <w:szCs w:val="20"/>
        </w:rPr>
        <w:t xml:space="preserve">(  </w:t>
      </w:r>
      <w:r w:rsidR="00967C89">
        <w:rPr>
          <w:rFonts w:ascii="Roboto" w:eastAsia="Roboto" w:hAnsi="Roboto" w:cs="Roboto"/>
          <w:sz w:val="20"/>
          <w:szCs w:val="20"/>
        </w:rPr>
        <w:t>X</w:t>
      </w:r>
      <w:r>
        <w:rPr>
          <w:rFonts w:ascii="Roboto" w:eastAsia="Roboto" w:hAnsi="Roboto" w:cs="Roboto"/>
          <w:sz w:val="20"/>
          <w:szCs w:val="20"/>
        </w:rPr>
        <w:t xml:space="preserve"> )  Declaro que he leído y acepto los términos de esta declaración y autorización de publicación.</w:t>
      </w:r>
    </w:p>
    <w:p w14:paraId="182098E1" w14:textId="0FFC08EB" w:rsidR="00C92ADD" w:rsidRPr="00C92ADD" w:rsidRDefault="003C29B9" w:rsidP="00C92ADD">
      <w:pPr>
        <w:pBdr>
          <w:top w:val="nil"/>
          <w:left w:val="nil"/>
          <w:bottom w:val="nil"/>
          <w:right w:val="nil"/>
          <w:between w:val="nil"/>
        </w:pBdr>
        <w:spacing w:before="120" w:after="120"/>
        <w:rPr>
          <w:rFonts w:ascii="Roboto" w:eastAsia="Roboto" w:hAnsi="Roboto" w:cs="Roboto"/>
          <w:b/>
          <w:bCs/>
          <w:sz w:val="20"/>
          <w:szCs w:val="20"/>
        </w:rPr>
      </w:pPr>
      <w:r>
        <w:rPr>
          <w:rFonts w:ascii="Roboto" w:eastAsia="Roboto" w:hAnsi="Roboto" w:cs="Roboto"/>
          <w:b/>
          <w:bCs/>
          <w:sz w:val="20"/>
          <w:szCs w:val="20"/>
        </w:rPr>
        <w:lastRenderedPageBreak/>
        <w:t>Autor</w:t>
      </w:r>
      <w:r w:rsidR="00C92ADD">
        <w:rPr>
          <w:rFonts w:ascii="Roboto" w:eastAsia="Roboto" w:hAnsi="Roboto" w:cs="Roboto"/>
          <w:b/>
          <w:bCs/>
          <w:sz w:val="20"/>
          <w:szCs w:val="20"/>
        </w:rPr>
        <w:t xml:space="preserve"> </w:t>
      </w:r>
      <w:r>
        <w:rPr>
          <w:rFonts w:ascii="Roboto" w:eastAsia="Roboto" w:hAnsi="Roboto" w:cs="Roboto"/>
          <w:b/>
          <w:bCs/>
          <w:sz w:val="20"/>
          <w:szCs w:val="20"/>
        </w:rPr>
        <w:t>responsable:</w:t>
      </w:r>
      <w:r w:rsidR="00C92ADD">
        <w:rPr>
          <w:rFonts w:ascii="Roboto" w:eastAsia="Roboto" w:hAnsi="Roboto" w:cs="Roboto"/>
          <w:b/>
          <w:bCs/>
          <w:sz w:val="20"/>
          <w:szCs w:val="20"/>
        </w:rPr>
        <w:t xml:space="preserve"> Alfonso Brown del Rivero</w:t>
      </w:r>
      <w:r>
        <w:rPr>
          <w:rFonts w:ascii="Roboto" w:eastAsia="Roboto" w:hAnsi="Roboto" w:cs="Roboto"/>
          <w:b/>
          <w:bCs/>
          <w:sz w:val="20"/>
          <w:szCs w:val="20"/>
        </w:rPr>
        <w:br/>
      </w:r>
      <w:r>
        <w:rPr>
          <w:rFonts w:ascii="Roboto" w:eastAsia="Roboto" w:hAnsi="Roboto" w:cs="Roboto"/>
          <w:b/>
          <w:bCs/>
          <w:sz w:val="20"/>
          <w:szCs w:val="20"/>
        </w:rPr>
        <w:t>Institución:</w:t>
      </w:r>
      <w:r w:rsidR="00C92ADD">
        <w:rPr>
          <w:rFonts w:ascii="Roboto" w:eastAsia="Roboto" w:hAnsi="Roboto" w:cs="Roboto"/>
          <w:b/>
          <w:bCs/>
          <w:sz w:val="20"/>
          <w:szCs w:val="20"/>
        </w:rPr>
        <w:t xml:space="preserve"> Universidad Anáhuac México</w:t>
      </w:r>
      <w:r>
        <w:rPr>
          <w:rFonts w:ascii="Roboto" w:eastAsia="Roboto" w:hAnsi="Roboto" w:cs="Roboto"/>
          <w:b/>
          <w:bCs/>
          <w:sz w:val="20"/>
          <w:szCs w:val="20"/>
        </w:rPr>
        <w:br/>
      </w:r>
      <w:r>
        <w:rPr>
          <w:rFonts w:ascii="Roboto" w:eastAsia="Roboto" w:hAnsi="Roboto" w:cs="Roboto"/>
          <w:b/>
          <w:bCs/>
          <w:sz w:val="20"/>
          <w:szCs w:val="20"/>
        </w:rPr>
        <w:t>Título del trabajo con autores:</w:t>
      </w:r>
      <w:r w:rsidR="00C92ADD">
        <w:rPr>
          <w:rFonts w:ascii="Roboto" w:eastAsia="Roboto" w:hAnsi="Roboto" w:cs="Roboto"/>
          <w:b/>
          <w:bCs/>
          <w:sz w:val="20"/>
          <w:szCs w:val="20"/>
        </w:rPr>
        <w:t xml:space="preserve"> </w:t>
      </w:r>
      <w:r w:rsidR="00C92ADD" w:rsidRPr="00C92ADD">
        <w:rPr>
          <w:rFonts w:ascii="Roboto" w:eastAsia="Roboto" w:hAnsi="Roboto" w:cs="Roboto"/>
          <w:b/>
          <w:bCs/>
          <w:sz w:val="20"/>
          <w:szCs w:val="20"/>
        </w:rPr>
        <w:t>IMPACTO DE LA REFORMA JUDICIAL EN EL T-MEC: PERSPECTIVAS PARA 2026</w:t>
      </w:r>
      <w:r w:rsidR="00C92ADD" w:rsidRPr="00C92ADD">
        <w:rPr>
          <w:rFonts w:ascii="Roboto" w:eastAsia="Roboto" w:hAnsi="Roboto" w:cs="Roboto"/>
          <w:b/>
          <w:bCs/>
          <w:sz w:val="20"/>
          <w:szCs w:val="20"/>
        </w:rPr>
        <w:t>.</w:t>
      </w:r>
    </w:p>
    <w:p w14:paraId="513188CC" w14:textId="40187473" w:rsidR="00C92ADD" w:rsidRPr="00C92ADD" w:rsidRDefault="00C92ADD" w:rsidP="00C92ADD">
      <w:pPr>
        <w:pBdr>
          <w:top w:val="nil"/>
          <w:left w:val="nil"/>
          <w:bottom w:val="nil"/>
          <w:right w:val="nil"/>
          <w:between w:val="nil"/>
        </w:pBdr>
        <w:spacing w:before="120" w:after="120"/>
        <w:jc w:val="center"/>
        <w:rPr>
          <w:rFonts w:ascii="Roboto" w:eastAsia="Roboto" w:hAnsi="Roboto" w:cs="Roboto"/>
          <w:b/>
          <w:bCs/>
          <w:sz w:val="20"/>
          <w:szCs w:val="20"/>
        </w:rPr>
      </w:pPr>
      <w:r w:rsidRPr="00C92ADD">
        <w:rPr>
          <w:rFonts w:ascii="Roboto" w:eastAsia="Roboto" w:hAnsi="Roboto" w:cs="Roboto"/>
          <w:b/>
          <w:bCs/>
          <w:sz w:val="20"/>
          <w:szCs w:val="20"/>
        </w:rPr>
        <w:t>Alfonso Brown del Rivero</w:t>
      </w:r>
    </w:p>
    <w:p w14:paraId="2342BE7A" w14:textId="3595BD37" w:rsidR="006A69CA" w:rsidRDefault="006A69CA">
      <w:pPr>
        <w:spacing w:before="240" w:after="240"/>
        <w:jc w:val="both"/>
        <w:rPr>
          <w:rFonts w:ascii="Roboto" w:eastAsia="Roboto" w:hAnsi="Roboto" w:cs="Roboto"/>
          <w:sz w:val="20"/>
          <w:szCs w:val="20"/>
        </w:rPr>
      </w:pPr>
    </w:p>
    <w:sectPr w:rsidR="006A69CA">
      <w:pgSz w:w="11906" w:h="16838"/>
      <w:pgMar w:top="1134" w:right="851" w:bottom="1134" w:left="851" w:header="35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0E80A8" w14:textId="77777777" w:rsidR="003C29B9" w:rsidRDefault="003C29B9">
      <w:r>
        <w:separator/>
      </w:r>
    </w:p>
  </w:endnote>
  <w:endnote w:type="continuationSeparator" w:id="0">
    <w:p w14:paraId="50E50BCA" w14:textId="77777777" w:rsidR="003C29B9" w:rsidRDefault="003C29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Roboto">
    <w:charset w:val="00"/>
    <w:family w:val="auto"/>
    <w:pitch w:val="variable"/>
    <w:sig w:usb0="E0000AFF" w:usb1="5000217F" w:usb2="00000021" w:usb3="00000000" w:csb0="0000019F" w:csb1="00000000"/>
    <w:embedRegular r:id="rId1" w:fontKey="{8B0C0B6A-25D9-4F19-A3C6-B6506AF573AC}"/>
    <w:embedBold r:id="rId2" w:fontKey="{F40491A6-11A1-4A49-8000-D408C242D147}"/>
    <w:embedItalic r:id="rId3" w:fontKey="{F9CC0952-F406-4CD5-AD45-0C897E7F6019}"/>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4" w:fontKey="{5B40AC63-961B-4EAF-9054-A2DD295E061A}"/>
  </w:font>
  <w:font w:name="Georgia">
    <w:panose1 w:val="02040502050405020303"/>
    <w:charset w:val="00"/>
    <w:family w:val="roman"/>
    <w:pitch w:val="variable"/>
    <w:sig w:usb0="00000287" w:usb1="00000000" w:usb2="00000000" w:usb3="00000000" w:csb0="0000009F" w:csb1="00000000"/>
    <w:embedItalic r:id="rId5" w:fontKey="{3A377239-3878-4B03-8041-8E8CD9CC0BB5}"/>
  </w:font>
  <w:font w:name="Calibri Light">
    <w:panose1 w:val="020F0302020204030204"/>
    <w:charset w:val="00"/>
    <w:family w:val="swiss"/>
    <w:pitch w:val="variable"/>
    <w:sig w:usb0="E4002EFF" w:usb1="C200247B" w:usb2="00000009" w:usb3="00000000" w:csb0="000001FF" w:csb1="00000000"/>
    <w:embedRegular r:id="rId6" w:fontKey="{27CA99C5-4F67-4963-930C-21BC73CD277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2C9D7A" w14:textId="77777777" w:rsidR="003C29B9" w:rsidRDefault="003C29B9">
      <w:r>
        <w:separator/>
      </w:r>
    </w:p>
  </w:footnote>
  <w:footnote w:type="continuationSeparator" w:id="0">
    <w:p w14:paraId="2BC63C6C" w14:textId="77777777" w:rsidR="003C29B9" w:rsidRDefault="003C29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AC0C84" w14:textId="77777777" w:rsidR="006A69CA" w:rsidRDefault="006A69CA">
    <w:pPr>
      <w:widowControl w:val="0"/>
      <w:pBdr>
        <w:top w:val="nil"/>
        <w:left w:val="nil"/>
        <w:bottom w:val="nil"/>
        <w:right w:val="nil"/>
        <w:between w:val="nil"/>
      </w:pBdr>
      <w:spacing w:line="276" w:lineRule="auto"/>
      <w:rPr>
        <w:rFonts w:ascii="Roboto" w:eastAsia="Roboto" w:hAnsi="Roboto" w:cs="Roboto"/>
      </w:rPr>
    </w:pPr>
  </w:p>
  <w:tbl>
    <w:tblPr>
      <w:tblStyle w:val="a4"/>
      <w:tblW w:w="6306" w:type="dxa"/>
      <w:jc w:val="center"/>
      <w:tblInd w:w="0" w:type="dxa"/>
      <w:tblLayout w:type="fixed"/>
      <w:tblLook w:val="0400" w:firstRow="0" w:lastRow="0" w:firstColumn="0" w:lastColumn="0" w:noHBand="0" w:noVBand="1"/>
    </w:tblPr>
    <w:tblGrid>
      <w:gridCol w:w="6306"/>
    </w:tblGrid>
    <w:tr w:rsidR="006A69CA" w14:paraId="5A030744" w14:textId="77777777">
      <w:trPr>
        <w:trHeight w:val="345"/>
        <w:jc w:val="center"/>
      </w:trPr>
      <w:tc>
        <w:tcPr>
          <w:tcW w:w="6306" w:type="dxa"/>
          <w:vAlign w:val="center"/>
        </w:tcPr>
        <w:p w14:paraId="3E68EAC3" w14:textId="77777777" w:rsidR="006A69CA" w:rsidRDefault="006A69CA">
          <w:pPr>
            <w:jc w:val="center"/>
            <w:rPr>
              <w:i/>
              <w:iCs/>
              <w:sz w:val="18"/>
              <w:szCs w:val="18"/>
            </w:rPr>
          </w:pPr>
        </w:p>
      </w:tc>
    </w:tr>
  </w:tbl>
  <w:p w14:paraId="413AA008" w14:textId="77777777" w:rsidR="006A69CA" w:rsidRDefault="006A69CA">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1420FF"/>
    <w:multiLevelType w:val="hybridMultilevel"/>
    <w:tmpl w:val="350C808C"/>
    <w:lvl w:ilvl="0" w:tplc="5D0AC968">
      <w:start w:val="3"/>
      <w:numFmt w:val="bullet"/>
      <w:lvlText w:val="-"/>
      <w:lvlJc w:val="left"/>
      <w:pPr>
        <w:ind w:left="720" w:hanging="360"/>
      </w:pPr>
      <w:rPr>
        <w:rFonts w:ascii="Roboto" w:eastAsia="Roboto" w:hAnsi="Roboto" w:cs="Roboto"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D8F4128"/>
    <w:multiLevelType w:val="multilevel"/>
    <w:tmpl w:val="BE2AD9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F3162AB"/>
    <w:multiLevelType w:val="hybridMultilevel"/>
    <w:tmpl w:val="F5E613D6"/>
    <w:lvl w:ilvl="0" w:tplc="5D0AC968">
      <w:start w:val="3"/>
      <w:numFmt w:val="bullet"/>
      <w:lvlText w:val="-"/>
      <w:lvlJc w:val="left"/>
      <w:pPr>
        <w:ind w:left="1080" w:hanging="360"/>
      </w:pPr>
      <w:rPr>
        <w:rFonts w:ascii="Roboto" w:eastAsia="Roboto" w:hAnsi="Roboto" w:cs="Roboto"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 w15:restartNumberingAfterBreak="0">
    <w:nsid w:val="7BC20B46"/>
    <w:multiLevelType w:val="hybridMultilevel"/>
    <w:tmpl w:val="756AE454"/>
    <w:lvl w:ilvl="0" w:tplc="C85AD20A">
      <w:start w:val="3"/>
      <w:numFmt w:val="bullet"/>
      <w:lvlText w:val="-"/>
      <w:lvlJc w:val="left"/>
      <w:pPr>
        <w:ind w:left="720" w:hanging="360"/>
      </w:pPr>
      <w:rPr>
        <w:rFonts w:ascii="Roboto" w:eastAsia="Roboto" w:hAnsi="Roboto" w:cs="Roboto"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7C8F5723"/>
    <w:multiLevelType w:val="multilevel"/>
    <w:tmpl w:val="1E2CCF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453328719">
    <w:abstractNumId w:val="1"/>
  </w:num>
  <w:num w:numId="2" w16cid:durableId="405344913">
    <w:abstractNumId w:val="4"/>
  </w:num>
  <w:num w:numId="3" w16cid:durableId="426509304">
    <w:abstractNumId w:val="3"/>
  </w:num>
  <w:num w:numId="4" w16cid:durableId="1280725662">
    <w:abstractNumId w:val="0"/>
  </w:num>
  <w:num w:numId="5" w16cid:durableId="4336752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69CA"/>
    <w:rsid w:val="00123E6B"/>
    <w:rsid w:val="00233AAC"/>
    <w:rsid w:val="002A7AED"/>
    <w:rsid w:val="003C29B9"/>
    <w:rsid w:val="004F455D"/>
    <w:rsid w:val="005070BB"/>
    <w:rsid w:val="00634D70"/>
    <w:rsid w:val="006871DF"/>
    <w:rsid w:val="006A69CA"/>
    <w:rsid w:val="007C2195"/>
    <w:rsid w:val="00823971"/>
    <w:rsid w:val="008370A5"/>
    <w:rsid w:val="00967C89"/>
    <w:rsid w:val="00BD4A82"/>
    <w:rsid w:val="00C3151F"/>
    <w:rsid w:val="00C92ADD"/>
    <w:rsid w:val="00D429D4"/>
    <w:rsid w:val="00E45E3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29254E"/>
  <w15:docId w15:val="{F2DF7628-2086-4E43-8661-7B28A605CC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2ADD"/>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table" w:customStyle="1" w:styleId="TableNormal1">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3">
    <w:basedOn w:val="TableNormal1"/>
    <w:tblPr>
      <w:tblStyleRowBandSize w:val="1"/>
      <w:tblStyleColBandSize w:val="1"/>
      <w:tblCellMar>
        <w:top w:w="0" w:type="dxa"/>
        <w:left w:w="115" w:type="dxa"/>
        <w:bottom w:w="0" w:type="dxa"/>
        <w:right w:w="115" w:type="dxa"/>
      </w:tblCellMar>
    </w:tblPr>
  </w:style>
  <w:style w:type="table" w:customStyle="1" w:styleId="a4">
    <w:basedOn w:val="TableNormal1"/>
    <w:tblPr>
      <w:tblStyleRowBandSize w:val="1"/>
      <w:tblStyleColBandSize w:val="1"/>
      <w:tblCellMar>
        <w:top w:w="0" w:type="dxa"/>
        <w:left w:w="115" w:type="dxa"/>
        <w:bottom w:w="0" w:type="dxa"/>
        <w:right w:w="115" w:type="dxa"/>
      </w:tblCellMar>
    </w:tblPr>
  </w:style>
  <w:style w:type="paragraph" w:styleId="Prrafodelista">
    <w:name w:val="List Paragraph"/>
    <w:basedOn w:val="Normal"/>
    <w:uiPriority w:val="34"/>
    <w:qFormat/>
    <w:rsid w:val="007C219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namericas.com/en/news/us-chamber-act-now-on-mexico-energy-rules" TargetMode="External"/><Relationship Id="rId18" Type="http://schemas.openxmlformats.org/officeDocument/2006/relationships/hyperlink" Target="https://ustr.gov/sites/default/files/2025-04/2025-Special-301-Report.pd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mexicobusiness.news/finance/news/us-ceos-warn-mexico-reform-may-risk-investment-urge-isds-return" TargetMode="External"/><Relationship Id="rId17" Type="http://schemas.openxmlformats.org/officeDocument/2006/relationships/hyperlink" Target="https://ielp.worldtradelaw.net/2025/09/lessons-from-the-first-u-s-win-in-a-trade-and-labor-dispute-the-usmca-rrm-atento-decision.html" TargetMode="External"/><Relationship Id="rId2" Type="http://schemas.openxmlformats.org/officeDocument/2006/relationships/customXml" Target="../customXml/item2.xml"/><Relationship Id="rId16" Type="http://schemas.openxmlformats.org/officeDocument/2006/relationships/hyperlink" Target="https://www.inegi.org.mx/temas/balanza/"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energymagazine.mx/2025/11/washington-sube-el-tono-petroleras-y-cabilderos-presionan-usar-el-usmca-contra-la-politica-energetica-de-mexico/"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jornada.com.mx/2025/10/07/economia/025n1eco"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E8gXToQEW4fMI7OeAm2ZdgX14dg==">CgMxLjAyDmgud2p5dXU0ZWtiYWtkOAByITFRRERFZlEzdXBtUlJib2dKMUtBSGd4X2pQSzg5Z28xTQ==</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o" ma:contentTypeID="0x0101000FD59668BD5D694CB0D9412435D43BC2" ma:contentTypeVersion="18" ma:contentTypeDescription="Crear nuevo documento." ma:contentTypeScope="" ma:versionID="27bdb79c1431e31435995ddca8b7c2e7">
  <xsd:schema xmlns:xsd="http://www.w3.org/2001/XMLSchema" xmlns:xs="http://www.w3.org/2001/XMLSchema" xmlns:p="http://schemas.microsoft.com/office/2006/metadata/properties" xmlns:ns3="423b4b57-42a5-432a-bd28-423caaf14b39" xmlns:ns4="37846905-2ace-4c69-be81-19f8ec355953" targetNamespace="http://schemas.microsoft.com/office/2006/metadata/properties" ma:root="true" ma:fieldsID="8ca6512a73b590c4deb3838f0c3cbce8" ns3:_="" ns4:_="">
    <xsd:import namespace="423b4b57-42a5-432a-bd28-423caaf14b39"/>
    <xsd:import namespace="37846905-2ace-4c69-be81-19f8ec355953"/>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AutoKeyPoints" minOccurs="0"/>
                <xsd:element ref="ns3:MediaServiceKeyPoints" minOccurs="0"/>
                <xsd:element ref="ns3:MediaLengthInSecond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SearchProperties" minOccurs="0"/>
                <xsd:element ref="ns3:MediaServiceObjectDetectorVersions" minOccurs="0"/>
                <xsd:element ref="ns3:MediaServiceLocation" minOccurs="0"/>
                <xsd:element ref="ns3:MediaServiceSystemTag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3b4b57-42a5-432a-bd28-423caaf14b39"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LengthInSeconds" ma:index="15" nillable="true" ma:displayName="MediaLengthInSeconds" ma:hidden="true" ma:internalName="MediaLengthInSeconds" ma:readOnly="true">
      <xsd:simpleType>
        <xsd:restriction base="dms:Unknow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_activity" ma:index="25"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7846905-2ace-4c69-be81-19f8ec355953" elementFormDefault="qualified">
    <xsd:import namespace="http://schemas.microsoft.com/office/2006/documentManagement/types"/>
    <xsd:import namespace="http://schemas.microsoft.com/office/infopath/2007/PartnerControls"/>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element name="SharingHintHash" ma:index="20"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423b4b57-42a5-432a-bd28-423caaf14b39" xsi:nil="true"/>
  </documentManagement>
</p:properti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8A4004B-86C0-4807-A8E4-FCB83F9B2D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3b4b57-42a5-432a-bd28-423caaf14b39"/>
    <ds:schemaRef ds:uri="37846905-2ace-4c69-be81-19f8ec3559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19A4E15-1EA3-477A-9ED6-88566B1DDC7D}">
  <ds:schemaRefs>
    <ds:schemaRef ds:uri="http://schemas.microsoft.com/sharepoint/v3/contenttype/forms"/>
  </ds:schemaRefs>
</ds:datastoreItem>
</file>

<file path=customXml/itemProps4.xml><?xml version="1.0" encoding="utf-8"?>
<ds:datastoreItem xmlns:ds="http://schemas.openxmlformats.org/officeDocument/2006/customXml" ds:itemID="{FF7FFCDB-B7AF-4532-BD25-CF2881CC3FE4}">
  <ds:schemaRefs>
    <ds:schemaRef ds:uri="http://schemas.microsoft.com/office/2006/metadata/properties"/>
    <ds:schemaRef ds:uri="http://schemas.microsoft.com/office/infopath/2007/PartnerControls"/>
    <ds:schemaRef ds:uri="423b4b57-42a5-432a-bd28-423caaf14b39"/>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2255</Words>
  <Characters>12408</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Alfonso Brown Del Rivero</cp:lastModifiedBy>
  <cp:revision>2</cp:revision>
  <dcterms:created xsi:type="dcterms:W3CDTF">2026-03-18T16:56:00Z</dcterms:created>
  <dcterms:modified xsi:type="dcterms:W3CDTF">2026-03-18T16:56:00Z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0x0101000FD59668BD5D694CB0D9412435D43BC2</vt:lpwstr>
  </property>
</Properties>
</file>