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A7B597" w14:textId="7BF7E0DD" w:rsidR="00777397" w:rsidRPr="006A5D2A" w:rsidRDefault="00C06CBB" w:rsidP="001642F5">
      <w:pPr>
        <w:spacing w:after="120"/>
        <w:jc w:val="center"/>
        <w:rPr>
          <w:rFonts w:ascii="Roboto" w:hAnsi="Roboto"/>
          <w:color w:val="000000" w:themeColor="text1"/>
          <w:sz w:val="24"/>
          <w:szCs w:val="24"/>
        </w:rPr>
      </w:pPr>
      <w:r w:rsidRPr="006A5D2A">
        <w:rPr>
          <w:rFonts w:ascii="Roboto" w:hAnsi="Roboto"/>
          <w:b/>
          <w:bCs/>
          <w:color w:val="000000" w:themeColor="text1"/>
          <w:sz w:val="24"/>
          <w:szCs w:val="24"/>
        </w:rPr>
        <w:t xml:space="preserve">Decodificando </w:t>
      </w:r>
      <w:r w:rsidR="006A5D2A" w:rsidRPr="006A5D2A">
        <w:rPr>
          <w:rFonts w:ascii="Roboto" w:hAnsi="Roboto"/>
          <w:b/>
          <w:bCs/>
          <w:color w:val="000000" w:themeColor="text1"/>
          <w:sz w:val="24"/>
          <w:szCs w:val="24"/>
        </w:rPr>
        <w:t>el NPS de</w:t>
      </w:r>
      <w:r w:rsidRPr="006A5D2A">
        <w:rPr>
          <w:rFonts w:ascii="Roboto" w:hAnsi="Roboto"/>
          <w:b/>
          <w:bCs/>
          <w:color w:val="000000" w:themeColor="text1"/>
          <w:sz w:val="24"/>
          <w:szCs w:val="24"/>
        </w:rPr>
        <w:t xml:space="preserve"> una universidad privada de México</w:t>
      </w:r>
    </w:p>
    <w:p w14:paraId="3760A7DD" w14:textId="68BB9D46" w:rsidR="006A5D2A" w:rsidRPr="00AC19E6" w:rsidRDefault="006A5D2A" w:rsidP="001642F5">
      <w:pPr>
        <w:jc w:val="center"/>
        <w:rPr>
          <w:rFonts w:ascii="Roboto" w:hAnsi="Roboto"/>
          <w:b/>
          <w:bCs/>
        </w:rPr>
      </w:pPr>
      <w:r w:rsidRPr="00AC19E6">
        <w:rPr>
          <w:rFonts w:ascii="Roboto" w:hAnsi="Roboto"/>
          <w:b/>
          <w:bCs/>
        </w:rPr>
        <w:t>Vázquez-Cotera D</w:t>
      </w:r>
      <w:r w:rsidR="00AC19E6">
        <w:rPr>
          <w:rFonts w:ascii="Roboto" w:hAnsi="Roboto"/>
          <w:b/>
          <w:bCs/>
        </w:rPr>
        <w:t>.</w:t>
      </w:r>
      <w:r w:rsidRPr="00AC19E6">
        <w:rPr>
          <w:rFonts w:ascii="Roboto" w:hAnsi="Roboto"/>
          <w:b/>
          <w:bCs/>
          <w:vertAlign w:val="superscript"/>
        </w:rPr>
        <w:t>1</w:t>
      </w:r>
      <w:r w:rsidR="00AC19E6" w:rsidRPr="00AC19E6">
        <w:rPr>
          <w:rFonts w:ascii="Roboto" w:hAnsi="Roboto"/>
          <w:b/>
          <w:bCs/>
          <w:vertAlign w:val="superscript"/>
        </w:rPr>
        <w:t>*</w:t>
      </w:r>
      <w:r w:rsidRPr="00AC19E6">
        <w:rPr>
          <w:rFonts w:ascii="Roboto" w:hAnsi="Roboto"/>
          <w:b/>
          <w:bCs/>
        </w:rPr>
        <w:t xml:space="preserve">, y Zúñiga-Lobato </w:t>
      </w:r>
      <w:r w:rsidR="00AC19E6">
        <w:rPr>
          <w:rFonts w:ascii="Roboto" w:hAnsi="Roboto"/>
          <w:b/>
          <w:bCs/>
        </w:rPr>
        <w:t>J.I.</w:t>
      </w:r>
      <w:r w:rsidRPr="00AC19E6">
        <w:rPr>
          <w:rFonts w:ascii="Roboto" w:hAnsi="Roboto"/>
          <w:b/>
          <w:bCs/>
        </w:rPr>
        <w:t>.</w:t>
      </w:r>
      <w:r w:rsidRPr="00AC19E6">
        <w:rPr>
          <w:rFonts w:ascii="Roboto" w:hAnsi="Roboto"/>
          <w:b/>
          <w:bCs/>
          <w:vertAlign w:val="superscript"/>
        </w:rPr>
        <w:t>2</w:t>
      </w:r>
    </w:p>
    <w:p w14:paraId="3A0573DA" w14:textId="18269D92" w:rsidR="006A5D2A" w:rsidRPr="001642F5" w:rsidRDefault="006A5D2A" w:rsidP="001642F5">
      <w:pPr>
        <w:jc w:val="center"/>
        <w:rPr>
          <w:rFonts w:ascii="Roboto" w:hAnsi="Roboto"/>
          <w:sz w:val="18"/>
          <w:szCs w:val="18"/>
          <w:vertAlign w:val="superscript"/>
        </w:rPr>
      </w:pPr>
      <w:r w:rsidRPr="001642F5">
        <w:rPr>
          <w:rFonts w:ascii="Roboto" w:hAnsi="Roboto"/>
          <w:sz w:val="18"/>
          <w:szCs w:val="18"/>
        </w:rPr>
        <w:t xml:space="preserve">Universidad Anáhuac Veracruz, </w:t>
      </w:r>
      <w:r w:rsidRPr="001642F5">
        <w:rPr>
          <w:rFonts w:ascii="Roboto" w:hAnsi="Roboto"/>
          <w:noProof/>
          <w:sz w:val="18"/>
          <w:szCs w:val="18"/>
          <w:vertAlign w:val="subscript"/>
          <w:lang w:val="en-US" w:eastAsia="en-US"/>
        </w:rPr>
        <w:drawing>
          <wp:inline distT="0" distB="0" distL="0" distR="0" wp14:anchorId="2D238C1B" wp14:editId="0E948393">
            <wp:extent cx="171450" cy="171450"/>
            <wp:effectExtent l="0" t="0" r="0" b="0"/>
            <wp:docPr id="4" name="Picture 4" descr="Описание: C:\Users\JACOB OWUSU\Downloads\index-removebg-preview.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Описание: C:\Users\JACOB OWUSU\Downloads\index-removebg-preview.pn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r w:rsidRPr="001642F5">
        <w:rPr>
          <w:rFonts w:ascii="Roboto" w:hAnsi="Roboto"/>
          <w:sz w:val="18"/>
          <w:szCs w:val="18"/>
          <w:vertAlign w:val="superscript"/>
        </w:rPr>
        <w:t>1</w:t>
      </w:r>
    </w:p>
    <w:p w14:paraId="4FCC8A04" w14:textId="2A24440F" w:rsidR="006A5D2A" w:rsidRPr="001642F5" w:rsidRDefault="001642F5" w:rsidP="001642F5">
      <w:pPr>
        <w:ind w:right="-330"/>
        <w:rPr>
          <w:rFonts w:ascii="Roboto" w:eastAsia="Roboto" w:hAnsi="Roboto" w:cs="Roboto"/>
          <w:color w:val="000000"/>
          <w:sz w:val="18"/>
          <w:szCs w:val="18"/>
          <w:vertAlign w:val="superscript"/>
        </w:rPr>
      </w:pPr>
      <w:r>
        <w:rPr>
          <w:rFonts w:ascii="Roboto" w:eastAsia="Roboto" w:hAnsi="Roboto" w:cs="Roboto"/>
          <w:color w:val="000000"/>
          <w:sz w:val="18"/>
          <w:szCs w:val="18"/>
        </w:rPr>
        <w:t xml:space="preserve">                                                                            </w:t>
      </w:r>
      <w:r w:rsidR="006A5D2A" w:rsidRPr="001642F5">
        <w:rPr>
          <w:rFonts w:ascii="Roboto" w:eastAsia="Roboto" w:hAnsi="Roboto" w:cs="Roboto"/>
          <w:color w:val="000000"/>
          <w:sz w:val="18"/>
          <w:szCs w:val="18"/>
        </w:rPr>
        <w:t>Universidad Anáhuac, Veracruz</w:t>
      </w:r>
      <w:r w:rsidR="00EC01A1">
        <w:rPr>
          <w:rFonts w:ascii="Roboto" w:eastAsia="Roboto" w:hAnsi="Roboto" w:cs="Roboto"/>
          <w:color w:val="000000"/>
          <w:sz w:val="18"/>
          <w:szCs w:val="18"/>
        </w:rPr>
        <w:t xml:space="preserve"> </w:t>
      </w:r>
      <w:r w:rsidR="00EC01A1" w:rsidRPr="001642F5">
        <w:rPr>
          <w:rFonts w:ascii="Roboto" w:hAnsi="Roboto"/>
          <w:noProof/>
          <w:sz w:val="18"/>
          <w:szCs w:val="18"/>
          <w:vertAlign w:val="subscript"/>
          <w:lang w:val="en-US" w:eastAsia="en-US"/>
        </w:rPr>
        <w:drawing>
          <wp:inline distT="0" distB="0" distL="0" distR="0" wp14:anchorId="4C53B6BC" wp14:editId="5B131D56">
            <wp:extent cx="171450" cy="171450"/>
            <wp:effectExtent l="0" t="0" r="0" b="0"/>
            <wp:docPr id="636946608" name="Picture 4" descr="Описание: C:\Users\JACOB OWUSU\Downloads\index-removebg-preview.pn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946608" name="Picture 4" descr="Описание: C:\Users\JACOB OWUSU\Downloads\index-removebg-preview.png">
                      <a:hlinkClick r:id="rId7"/>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r w:rsidR="00AC19E6" w:rsidRPr="001642F5">
        <w:rPr>
          <w:rFonts w:ascii="Roboto" w:eastAsia="Roboto" w:hAnsi="Roboto" w:cs="Roboto"/>
          <w:color w:val="000000"/>
          <w:sz w:val="18"/>
          <w:szCs w:val="18"/>
          <w:vertAlign w:val="superscript"/>
        </w:rPr>
        <w:t>2</w:t>
      </w:r>
    </w:p>
    <w:p w14:paraId="5F395424" w14:textId="12996A31" w:rsidR="00AC19E6" w:rsidRPr="001642F5" w:rsidRDefault="001642F5" w:rsidP="001642F5">
      <w:pPr>
        <w:ind w:right="-330"/>
        <w:rPr>
          <w:rFonts w:ascii="Roboto" w:eastAsia="Roboto" w:hAnsi="Roboto" w:cs="Roboto"/>
          <w:color w:val="000000"/>
          <w:sz w:val="18"/>
          <w:szCs w:val="18"/>
        </w:rPr>
      </w:pPr>
      <w:r>
        <w:rPr>
          <w:rFonts w:ascii="Roboto" w:eastAsia="Roboto" w:hAnsi="Roboto" w:cs="Roboto"/>
          <w:color w:val="000000"/>
          <w:sz w:val="18"/>
          <w:szCs w:val="18"/>
        </w:rPr>
        <w:t xml:space="preserve">                                                                         </w:t>
      </w:r>
      <w:r w:rsidR="00AC19E6" w:rsidRPr="001642F5">
        <w:rPr>
          <w:rFonts w:ascii="Roboto" w:eastAsia="Roboto" w:hAnsi="Roboto" w:cs="Roboto"/>
          <w:color w:val="000000"/>
          <w:sz w:val="18"/>
          <w:szCs w:val="18"/>
        </w:rPr>
        <w:t>*daniel.vazquezcotera@anahuac.mx</w:t>
      </w:r>
    </w:p>
    <w:p w14:paraId="603CCA5C" w14:textId="77777777" w:rsidR="00777397" w:rsidRDefault="00777397" w:rsidP="001642F5">
      <w:pPr>
        <w:pBdr>
          <w:bottom w:val="single" w:sz="4" w:space="1" w:color="1F4E79"/>
        </w:pBdr>
        <w:spacing w:before="100" w:after="100"/>
        <w:jc w:val="center"/>
      </w:pPr>
    </w:p>
    <w:p w14:paraId="25ED9B2F" w14:textId="77777777" w:rsidR="006A5D2A" w:rsidRDefault="006A5D2A">
      <w:pPr>
        <w:pStyle w:val="Ttulo2"/>
        <w:spacing w:before="160" w:after="80"/>
        <w:rPr>
          <w:b/>
          <w:bCs/>
          <w:color w:val="1F4E79"/>
          <w:sz w:val="22"/>
          <w:szCs w:val="22"/>
        </w:rPr>
        <w:sectPr w:rsidR="006A5D2A">
          <w:pgSz w:w="11906" w:h="16838"/>
          <w:pgMar w:top="1134" w:right="1134" w:bottom="1134" w:left="1134" w:header="708" w:footer="708" w:gutter="0"/>
          <w:cols w:space="720"/>
          <w:docGrid w:linePitch="360"/>
        </w:sectPr>
      </w:pPr>
    </w:p>
    <w:p w14:paraId="172C0890" w14:textId="703CFE90" w:rsidR="00777397" w:rsidRPr="004E76D6" w:rsidRDefault="00AC19E6" w:rsidP="004E76D6">
      <w:pPr>
        <w:jc w:val="both"/>
        <w:rPr>
          <w:rFonts w:ascii="Roboto" w:hAnsi="Roboto"/>
          <w:b/>
          <w:bCs/>
        </w:rPr>
      </w:pPr>
      <w:r w:rsidRPr="004E76D6">
        <w:rPr>
          <w:rFonts w:ascii="Roboto" w:hAnsi="Roboto"/>
          <w:b/>
          <w:bCs/>
        </w:rPr>
        <w:t>INTRODUCCIÓN Y JUSTIFICACIÓN</w:t>
      </w:r>
    </w:p>
    <w:p w14:paraId="0F512753" w14:textId="77777777" w:rsidR="00777397" w:rsidRPr="004E76D6" w:rsidRDefault="00C06CBB" w:rsidP="00C316A6">
      <w:pPr>
        <w:jc w:val="both"/>
        <w:rPr>
          <w:rFonts w:ascii="Roboto" w:hAnsi="Roboto"/>
        </w:rPr>
      </w:pPr>
      <w:r w:rsidRPr="004E76D6">
        <w:rPr>
          <w:rFonts w:ascii="Roboto" w:hAnsi="Roboto"/>
        </w:rPr>
        <w:t>La gestión de la experiencia del estudiante (Student eXperience, SX) se ha consolidado como un paradigma estratégico para las Instituciones de Educación Superior (IES) en un entorno global cada vez más competitivo. Evaluar las interacciones —académicas y no académicas— que los estudiantes viven a lo largo de su trayectoria institucional permite identificar cómo estos puntos de contacto inciden en la satisfacción, la retención y la lealtad a largo plazo.</w:t>
      </w:r>
    </w:p>
    <w:p w14:paraId="375E58AB" w14:textId="77777777" w:rsidR="00777397" w:rsidRPr="004E76D6" w:rsidRDefault="00C06CBB" w:rsidP="00C316A6">
      <w:pPr>
        <w:jc w:val="both"/>
        <w:rPr>
          <w:rFonts w:ascii="Roboto" w:hAnsi="Roboto"/>
        </w:rPr>
      </w:pPr>
      <w:r w:rsidRPr="004E76D6">
        <w:rPr>
          <w:rFonts w:ascii="Roboto" w:hAnsi="Roboto"/>
        </w:rPr>
        <w:t>En este marco, el Net Promoter Score (NPS) ha emergido como un indicador clave para medir de forma integral la percepción del alumnado. El NPS se basa en la pregunta: "¿Con qué probabilidad recomendarías esta institución a un amigo o familiar?" (escala 0-10), clasificando a los encuestados en promotores (9-10), neutros (7-8) y detractores (0-6). El índice final equivale a la diferencia porcentual entre promotores y detractores.</w:t>
      </w:r>
    </w:p>
    <w:p w14:paraId="0CA495E9" w14:textId="77777777" w:rsidR="00AC19E6" w:rsidRPr="004E76D6" w:rsidRDefault="00AC19E6" w:rsidP="00C316A6">
      <w:pPr>
        <w:jc w:val="both"/>
        <w:rPr>
          <w:rFonts w:ascii="Roboto" w:hAnsi="Roboto"/>
        </w:rPr>
      </w:pPr>
    </w:p>
    <w:p w14:paraId="397C76D5" w14:textId="77777777" w:rsidR="00777397" w:rsidRPr="004E76D6" w:rsidRDefault="00C06CBB" w:rsidP="00C316A6">
      <w:pPr>
        <w:jc w:val="both"/>
      </w:pPr>
      <w:r w:rsidRPr="004E76D6">
        <w:t>A pesar de su creciente uso en educación superior, existe escasez de estudios empíricos que expliquen qué dimensiones de la experiencia estudiantil predicen este indicador. Este trabajo contribuye a cubrir ese vacío.</w:t>
      </w:r>
    </w:p>
    <w:p w14:paraId="281FCD85" w14:textId="77777777" w:rsidR="00AC19E6" w:rsidRPr="004E76D6" w:rsidRDefault="00AC19E6" w:rsidP="00C316A6">
      <w:pPr>
        <w:jc w:val="both"/>
        <w:rPr>
          <w:b/>
          <w:bCs/>
          <w:color w:val="000000" w:themeColor="text1"/>
        </w:rPr>
      </w:pPr>
    </w:p>
    <w:p w14:paraId="2D1787EB" w14:textId="357E7540" w:rsidR="00777397" w:rsidRPr="00C316A6" w:rsidRDefault="001642F5" w:rsidP="00C316A6">
      <w:pPr>
        <w:jc w:val="both"/>
        <w:rPr>
          <w:rFonts w:ascii="Roboto" w:hAnsi="Roboto"/>
          <w:b/>
          <w:bCs/>
        </w:rPr>
      </w:pPr>
      <w:r w:rsidRPr="00C316A6">
        <w:rPr>
          <w:rFonts w:ascii="Roboto" w:hAnsi="Roboto"/>
          <w:b/>
          <w:bCs/>
        </w:rPr>
        <w:t>OBJETIVO</w:t>
      </w:r>
    </w:p>
    <w:p w14:paraId="7AC602BB" w14:textId="71ED7410" w:rsidR="00777397" w:rsidRPr="004E76D6" w:rsidRDefault="00C06CBB" w:rsidP="00C316A6">
      <w:pPr>
        <w:jc w:val="both"/>
        <w:rPr>
          <w:rFonts w:ascii="Roboto" w:hAnsi="Roboto"/>
        </w:rPr>
      </w:pPr>
      <w:r w:rsidRPr="004E76D6">
        <w:rPr>
          <w:rFonts w:ascii="Roboto" w:hAnsi="Roboto"/>
        </w:rPr>
        <w:t xml:space="preserve">Identificar y cuantificar las dimensiones de la experiencia estudiantil que predicen con mayor precisión la probabilidad de recomendación </w:t>
      </w:r>
      <w:r w:rsidR="00AE52E9" w:rsidRPr="004E76D6">
        <w:rPr>
          <w:rFonts w:ascii="Roboto" w:hAnsi="Roboto"/>
        </w:rPr>
        <w:t>institucional en</w:t>
      </w:r>
      <w:r w:rsidRPr="004E76D6">
        <w:rPr>
          <w:rFonts w:ascii="Roboto" w:hAnsi="Roboto"/>
        </w:rPr>
        <w:t xml:space="preserve"> una universidad privada mexicana. Específicamente: (a) estimar la capacidad explicativa de modelos lineales y no lineales, (b) identificar los predictores estadísticamente significativos en las dimensiones de calidad académica, vida estudiantil y formación integral, y (c) determinar la importancia relativa de cada variable mediante técnicas de interpretabilidad.</w:t>
      </w:r>
    </w:p>
    <w:p w14:paraId="28AAC7C7" w14:textId="77777777" w:rsidR="00D654DE" w:rsidRPr="004E76D6" w:rsidRDefault="00D654DE" w:rsidP="00C316A6">
      <w:pPr>
        <w:jc w:val="both"/>
        <w:rPr>
          <w:rFonts w:ascii="Roboto" w:hAnsi="Roboto"/>
        </w:rPr>
      </w:pPr>
    </w:p>
    <w:p w14:paraId="4AEDA718" w14:textId="77777777" w:rsidR="00D654DE" w:rsidRPr="004E76D6" w:rsidRDefault="00D654DE" w:rsidP="00C316A6">
      <w:pPr>
        <w:jc w:val="both"/>
        <w:rPr>
          <w:rFonts w:ascii="Roboto" w:hAnsi="Roboto"/>
        </w:rPr>
      </w:pPr>
    </w:p>
    <w:p w14:paraId="22F9EE99" w14:textId="424B491D" w:rsidR="00777397" w:rsidRPr="00C316A6" w:rsidRDefault="00AC19E6" w:rsidP="00C316A6">
      <w:pPr>
        <w:jc w:val="both"/>
        <w:rPr>
          <w:rFonts w:ascii="Roboto" w:hAnsi="Roboto"/>
          <w:b/>
          <w:bCs/>
        </w:rPr>
      </w:pPr>
      <w:r w:rsidRPr="00C316A6">
        <w:rPr>
          <w:rFonts w:ascii="Roboto" w:hAnsi="Roboto"/>
          <w:b/>
          <w:bCs/>
        </w:rPr>
        <w:t>METODOLOGÍA</w:t>
      </w:r>
    </w:p>
    <w:p w14:paraId="69433374" w14:textId="0A4D936F" w:rsidR="00777397" w:rsidRPr="004E76D6" w:rsidRDefault="00C06CBB" w:rsidP="00C316A6">
      <w:pPr>
        <w:jc w:val="both"/>
        <w:rPr>
          <w:rFonts w:ascii="Roboto" w:hAnsi="Roboto"/>
        </w:rPr>
      </w:pPr>
      <w:r w:rsidRPr="004E76D6">
        <w:rPr>
          <w:rFonts w:ascii="Roboto" w:hAnsi="Roboto"/>
        </w:rPr>
        <w:t>Muestra: 1,147 estudiantes de una universidad privada mexicana respondieron encuestas de percepción de calidad y experiencia institucional.</w:t>
      </w:r>
    </w:p>
    <w:p w14:paraId="5219DB1B" w14:textId="77777777" w:rsidR="00777397" w:rsidRDefault="00C06CBB" w:rsidP="00C316A6">
      <w:pPr>
        <w:jc w:val="both"/>
        <w:rPr>
          <w:rFonts w:ascii="Roboto" w:hAnsi="Roboto"/>
        </w:rPr>
      </w:pPr>
      <w:r w:rsidRPr="004E76D6">
        <w:rPr>
          <w:rFonts w:ascii="Roboto" w:hAnsi="Roboto"/>
        </w:rPr>
        <w:t>Variable dependiente: Probabilidad de recomendación (escala 0-10).</w:t>
      </w:r>
    </w:p>
    <w:p w14:paraId="645B757E" w14:textId="77777777" w:rsidR="00C316A6" w:rsidRPr="004E76D6" w:rsidRDefault="00C316A6" w:rsidP="00C316A6">
      <w:pPr>
        <w:jc w:val="both"/>
        <w:rPr>
          <w:rFonts w:ascii="Roboto" w:hAnsi="Roboto"/>
        </w:rPr>
      </w:pPr>
    </w:p>
    <w:p w14:paraId="44F77F36" w14:textId="77777777" w:rsidR="00777397" w:rsidRDefault="00C06CBB" w:rsidP="00C316A6">
      <w:pPr>
        <w:jc w:val="both"/>
        <w:rPr>
          <w:rFonts w:ascii="Roboto" w:hAnsi="Roboto"/>
        </w:rPr>
      </w:pPr>
      <w:r w:rsidRPr="004E76D6">
        <w:rPr>
          <w:rFonts w:ascii="Roboto" w:hAnsi="Roboto"/>
        </w:rPr>
        <w:t xml:space="preserve">Variables independientes: Organizadas en cuatro dimensiones: (a) calidad académica (satisfacción con el programa y el cuerpo docente), (b) vida </w:t>
      </w:r>
      <w:r w:rsidRPr="004E76D6">
        <w:rPr>
          <w:rFonts w:ascii="Roboto" w:hAnsi="Roboto"/>
        </w:rPr>
        <w:t>estudiantil (actividades extracurriculares y eventos), (c) formación integral (humanidades, valores y desarrollo personal) y (d) avance curricular (porcentaje de créditos completados). Se incluyó además el orgullo de pertenencia como indicador afectivo-identitario.</w:t>
      </w:r>
    </w:p>
    <w:p w14:paraId="497A4F3D" w14:textId="77777777" w:rsidR="00C316A6" w:rsidRPr="004E76D6" w:rsidRDefault="00C316A6" w:rsidP="00C316A6">
      <w:pPr>
        <w:jc w:val="both"/>
        <w:rPr>
          <w:rFonts w:ascii="Roboto" w:hAnsi="Roboto"/>
        </w:rPr>
      </w:pPr>
    </w:p>
    <w:p w14:paraId="65D823BD" w14:textId="77777777" w:rsidR="00777397" w:rsidRPr="004E76D6" w:rsidRDefault="00C06CBB" w:rsidP="00C316A6">
      <w:pPr>
        <w:jc w:val="both"/>
        <w:rPr>
          <w:rFonts w:ascii="Roboto" w:hAnsi="Roboto"/>
        </w:rPr>
      </w:pPr>
      <w:r w:rsidRPr="004E76D6">
        <w:rPr>
          <w:rFonts w:ascii="Roboto" w:hAnsi="Roboto"/>
        </w:rPr>
        <w:t>Modelos estimados: Regresión cuadrática (referencia), Random Forest, XGBoost y LightGBM, evaluados mediante validación cruzada de cinco pliegues (R², RMSE, MAE). Para el mejor modelo no lineal, se calcularon valores SHAP para determinar la importancia relativa de cada predictor.</w:t>
      </w:r>
    </w:p>
    <w:p w14:paraId="113E4492" w14:textId="77777777" w:rsidR="00AC19E6" w:rsidRPr="004E76D6" w:rsidRDefault="00AC19E6" w:rsidP="00C316A6">
      <w:pPr>
        <w:jc w:val="both"/>
        <w:rPr>
          <w:rFonts w:ascii="Roboto" w:hAnsi="Roboto"/>
        </w:rPr>
      </w:pPr>
    </w:p>
    <w:p w14:paraId="3FFE5F6F" w14:textId="6BDF4E19" w:rsidR="00777397" w:rsidRPr="00C316A6" w:rsidRDefault="001642F5" w:rsidP="00C316A6">
      <w:pPr>
        <w:jc w:val="both"/>
        <w:rPr>
          <w:rFonts w:ascii="Roboto" w:hAnsi="Roboto"/>
          <w:b/>
          <w:bCs/>
        </w:rPr>
      </w:pPr>
      <w:r w:rsidRPr="00C316A6">
        <w:rPr>
          <w:rFonts w:ascii="Roboto" w:hAnsi="Roboto"/>
          <w:b/>
          <w:bCs/>
        </w:rPr>
        <w:t>RESULTADOS PRINCIPALES</w:t>
      </w:r>
    </w:p>
    <w:p w14:paraId="1C9FF341" w14:textId="5C8D049A" w:rsidR="00777397" w:rsidRPr="004E76D6" w:rsidRDefault="00C06CBB" w:rsidP="00C316A6">
      <w:pPr>
        <w:jc w:val="both"/>
        <w:rPr>
          <w:rFonts w:ascii="Roboto" w:hAnsi="Roboto"/>
        </w:rPr>
      </w:pPr>
      <w:r w:rsidRPr="004E76D6">
        <w:rPr>
          <w:rFonts w:ascii="Roboto" w:hAnsi="Roboto"/>
        </w:rPr>
        <w:t xml:space="preserve">NPS institucional: El </w:t>
      </w:r>
      <w:r w:rsidR="00D654DE" w:rsidRPr="004E76D6">
        <w:rPr>
          <w:rFonts w:ascii="Roboto" w:hAnsi="Roboto"/>
        </w:rPr>
        <w:t>59</w:t>
      </w:r>
      <w:r w:rsidRPr="004E76D6">
        <w:rPr>
          <w:rFonts w:ascii="Roboto" w:hAnsi="Roboto"/>
        </w:rPr>
        <w:t xml:space="preserve">.7% de los estudiantes resultaron promotores, el </w:t>
      </w:r>
      <w:r w:rsidR="00D654DE" w:rsidRPr="004E76D6">
        <w:rPr>
          <w:rFonts w:ascii="Roboto" w:hAnsi="Roboto"/>
        </w:rPr>
        <w:t>28.6</w:t>
      </w:r>
      <w:r w:rsidRPr="004E76D6">
        <w:rPr>
          <w:rFonts w:ascii="Roboto" w:hAnsi="Roboto"/>
        </w:rPr>
        <w:t>% neutros y el 1</w:t>
      </w:r>
      <w:r w:rsidR="00D654DE" w:rsidRPr="004E76D6">
        <w:rPr>
          <w:rFonts w:ascii="Roboto" w:hAnsi="Roboto"/>
        </w:rPr>
        <w:t>1.8</w:t>
      </w:r>
      <w:r w:rsidRPr="004E76D6">
        <w:rPr>
          <w:rFonts w:ascii="Roboto" w:hAnsi="Roboto"/>
        </w:rPr>
        <w:t>% detractores, arrojando un NPS = +47.8, nivel particularmente elevado para los estándares latinoamericanos, lo que indica un alto nivel de lealtad percibida.</w:t>
      </w:r>
    </w:p>
    <w:p w14:paraId="3F43B47E" w14:textId="77777777" w:rsidR="00777397" w:rsidRPr="00AC19E6" w:rsidRDefault="00777397" w:rsidP="00C316A6">
      <w:pPr>
        <w:jc w:val="both"/>
      </w:pPr>
    </w:p>
    <w:p w14:paraId="2370223D" w14:textId="77777777" w:rsidR="00777397" w:rsidRPr="00C316A6" w:rsidRDefault="00C06CBB" w:rsidP="00C316A6">
      <w:pPr>
        <w:jc w:val="both"/>
        <w:rPr>
          <w:rFonts w:ascii="Roboto" w:hAnsi="Roboto"/>
          <w:color w:val="000000" w:themeColor="text1"/>
        </w:rPr>
      </w:pPr>
      <w:r w:rsidRPr="00C316A6">
        <w:rPr>
          <w:rFonts w:ascii="Roboto" w:hAnsi="Roboto"/>
          <w:b/>
          <w:bCs/>
          <w:color w:val="000000" w:themeColor="text1"/>
        </w:rPr>
        <w:t>Tabla 1</w:t>
      </w:r>
      <w:r w:rsidRPr="00C316A6">
        <w:rPr>
          <w:rFonts w:ascii="Roboto" w:hAnsi="Roboto"/>
          <w:color w:val="000000" w:themeColor="text1"/>
        </w:rPr>
        <w:t>. Indicadores de ajuste de los modelos predictivos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233"/>
        <w:gridCol w:w="743"/>
        <w:gridCol w:w="855"/>
        <w:gridCol w:w="771"/>
        <w:gridCol w:w="855"/>
      </w:tblGrid>
      <w:tr w:rsidR="00777397" w:rsidRPr="004E76D6" w14:paraId="17E2B3BA" w14:textId="77777777" w:rsidTr="001642F5">
        <w:trPr>
          <w:tblHeader/>
        </w:trPr>
        <w:tc>
          <w:tcPr>
            <w:tcW w:w="1504" w:type="pct"/>
            <w:tcBorders>
              <w:top w:val="single" w:sz="1" w:space="0" w:color="AAAAAA"/>
              <w:left w:val="single" w:sz="1" w:space="0" w:color="AAAAAA"/>
              <w:bottom w:val="single" w:sz="1" w:space="0" w:color="AAAAAA"/>
              <w:right w:val="single" w:sz="1" w:space="0" w:color="AAAAAA"/>
            </w:tcBorders>
            <w:shd w:val="clear" w:color="auto" w:fill="E97132" w:themeFill="accent2"/>
            <w:tcMar>
              <w:top w:w="80" w:type="dxa"/>
              <w:left w:w="120" w:type="dxa"/>
              <w:bottom w:w="80" w:type="dxa"/>
              <w:right w:w="120" w:type="dxa"/>
            </w:tcMar>
          </w:tcPr>
          <w:p w14:paraId="1FDE372F" w14:textId="77777777" w:rsidR="00777397" w:rsidRPr="004E76D6" w:rsidRDefault="00C06CBB" w:rsidP="00C316A6">
            <w:pPr>
              <w:jc w:val="both"/>
              <w:rPr>
                <w:rFonts w:ascii="Roboto" w:hAnsi="Roboto"/>
              </w:rPr>
            </w:pPr>
            <w:r w:rsidRPr="004E76D6">
              <w:rPr>
                <w:rFonts w:ascii="Roboto" w:hAnsi="Roboto"/>
                <w:color w:val="FFFFFF"/>
              </w:rPr>
              <w:t>Modelo</w:t>
            </w:r>
          </w:p>
        </w:tc>
        <w:tc>
          <w:tcPr>
            <w:tcW w:w="874" w:type="pct"/>
            <w:tcBorders>
              <w:top w:val="single" w:sz="1" w:space="0" w:color="AAAAAA"/>
              <w:left w:val="single" w:sz="1" w:space="0" w:color="AAAAAA"/>
              <w:bottom w:val="single" w:sz="1" w:space="0" w:color="AAAAAA"/>
              <w:right w:val="single" w:sz="1" w:space="0" w:color="AAAAAA"/>
            </w:tcBorders>
            <w:shd w:val="clear" w:color="auto" w:fill="E97132" w:themeFill="accent2"/>
            <w:tcMar>
              <w:top w:w="80" w:type="dxa"/>
              <w:left w:w="120" w:type="dxa"/>
              <w:bottom w:w="80" w:type="dxa"/>
              <w:right w:w="120" w:type="dxa"/>
            </w:tcMar>
          </w:tcPr>
          <w:p w14:paraId="2AF7C251" w14:textId="77777777" w:rsidR="00777397" w:rsidRPr="004E76D6" w:rsidRDefault="00C06CBB" w:rsidP="00C316A6">
            <w:pPr>
              <w:jc w:val="both"/>
              <w:rPr>
                <w:rFonts w:ascii="Roboto" w:hAnsi="Roboto"/>
              </w:rPr>
            </w:pPr>
            <w:r w:rsidRPr="004E76D6">
              <w:rPr>
                <w:rFonts w:ascii="Roboto" w:hAnsi="Roboto"/>
                <w:color w:val="FFFFFF"/>
              </w:rPr>
              <w:t>R² CV</w:t>
            </w:r>
          </w:p>
        </w:tc>
        <w:tc>
          <w:tcPr>
            <w:tcW w:w="874" w:type="pct"/>
            <w:tcBorders>
              <w:top w:val="single" w:sz="1" w:space="0" w:color="AAAAAA"/>
              <w:left w:val="single" w:sz="1" w:space="0" w:color="AAAAAA"/>
              <w:bottom w:val="single" w:sz="1" w:space="0" w:color="AAAAAA"/>
              <w:right w:val="single" w:sz="1" w:space="0" w:color="AAAAAA"/>
            </w:tcBorders>
            <w:shd w:val="clear" w:color="auto" w:fill="E97132" w:themeFill="accent2"/>
            <w:tcMar>
              <w:top w:w="80" w:type="dxa"/>
              <w:left w:w="120" w:type="dxa"/>
              <w:bottom w:w="80" w:type="dxa"/>
              <w:right w:w="120" w:type="dxa"/>
            </w:tcMar>
          </w:tcPr>
          <w:p w14:paraId="7DE678C3" w14:textId="77777777" w:rsidR="00777397" w:rsidRPr="004E76D6" w:rsidRDefault="00C06CBB" w:rsidP="00C316A6">
            <w:pPr>
              <w:jc w:val="both"/>
              <w:rPr>
                <w:rFonts w:ascii="Roboto" w:hAnsi="Roboto"/>
              </w:rPr>
            </w:pPr>
            <w:r w:rsidRPr="004E76D6">
              <w:rPr>
                <w:rFonts w:ascii="Roboto" w:hAnsi="Roboto"/>
                <w:color w:val="FFFFFF"/>
              </w:rPr>
              <w:t>R² Test</w:t>
            </w:r>
          </w:p>
        </w:tc>
        <w:tc>
          <w:tcPr>
            <w:tcW w:w="874" w:type="pct"/>
            <w:tcBorders>
              <w:top w:val="single" w:sz="1" w:space="0" w:color="AAAAAA"/>
              <w:left w:val="single" w:sz="1" w:space="0" w:color="AAAAAA"/>
              <w:bottom w:val="single" w:sz="1" w:space="0" w:color="AAAAAA"/>
              <w:right w:val="single" w:sz="1" w:space="0" w:color="AAAAAA"/>
            </w:tcBorders>
            <w:shd w:val="clear" w:color="auto" w:fill="E97132" w:themeFill="accent2"/>
            <w:tcMar>
              <w:top w:w="80" w:type="dxa"/>
              <w:left w:w="120" w:type="dxa"/>
              <w:bottom w:w="80" w:type="dxa"/>
              <w:right w:w="120" w:type="dxa"/>
            </w:tcMar>
          </w:tcPr>
          <w:p w14:paraId="0DB3BACB" w14:textId="77777777" w:rsidR="00777397" w:rsidRPr="004E76D6" w:rsidRDefault="00C06CBB" w:rsidP="00C316A6">
            <w:pPr>
              <w:jc w:val="both"/>
              <w:rPr>
                <w:rFonts w:ascii="Roboto" w:hAnsi="Roboto"/>
              </w:rPr>
            </w:pPr>
            <w:r w:rsidRPr="004E76D6">
              <w:rPr>
                <w:rFonts w:ascii="Roboto" w:hAnsi="Roboto"/>
                <w:color w:val="FFFFFF"/>
              </w:rPr>
              <w:t>RMSE</w:t>
            </w:r>
          </w:p>
        </w:tc>
        <w:tc>
          <w:tcPr>
            <w:tcW w:w="874" w:type="pct"/>
            <w:tcBorders>
              <w:top w:val="single" w:sz="1" w:space="0" w:color="AAAAAA"/>
              <w:left w:val="single" w:sz="1" w:space="0" w:color="AAAAAA"/>
              <w:bottom w:val="single" w:sz="1" w:space="0" w:color="AAAAAA"/>
              <w:right w:val="single" w:sz="1" w:space="0" w:color="AAAAAA"/>
            </w:tcBorders>
            <w:shd w:val="clear" w:color="auto" w:fill="E97132" w:themeFill="accent2"/>
            <w:tcMar>
              <w:top w:w="80" w:type="dxa"/>
              <w:left w:w="120" w:type="dxa"/>
              <w:bottom w:w="80" w:type="dxa"/>
              <w:right w:w="120" w:type="dxa"/>
            </w:tcMar>
          </w:tcPr>
          <w:p w14:paraId="4311AB3A" w14:textId="77777777" w:rsidR="00777397" w:rsidRPr="004E76D6" w:rsidRDefault="00C06CBB" w:rsidP="00C316A6">
            <w:pPr>
              <w:jc w:val="both"/>
              <w:rPr>
                <w:rFonts w:ascii="Roboto" w:hAnsi="Roboto"/>
              </w:rPr>
            </w:pPr>
            <w:r w:rsidRPr="004E76D6">
              <w:rPr>
                <w:rFonts w:ascii="Roboto" w:hAnsi="Roboto"/>
                <w:color w:val="FFFFFF"/>
              </w:rPr>
              <w:t>MAE</w:t>
            </w:r>
          </w:p>
        </w:tc>
      </w:tr>
      <w:tr w:rsidR="00777397" w:rsidRPr="004E76D6" w14:paraId="18AE443C" w14:textId="77777777" w:rsidTr="001642F5">
        <w:tc>
          <w:tcPr>
            <w:tcW w:w="150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6F15B05F" w14:textId="77777777" w:rsidR="00777397" w:rsidRPr="004E76D6" w:rsidRDefault="00C06CBB" w:rsidP="00C316A6">
            <w:pPr>
              <w:jc w:val="both"/>
              <w:rPr>
                <w:rFonts w:ascii="Roboto" w:hAnsi="Roboto"/>
              </w:rPr>
            </w:pPr>
            <w:r w:rsidRPr="004E76D6">
              <w:rPr>
                <w:rFonts w:ascii="Roboto" w:hAnsi="Roboto"/>
              </w:rPr>
              <w:t xml:space="preserve">Regresión Cuadrática </w:t>
            </w:r>
            <w:r w:rsidRPr="004E76D6">
              <w:rPr>
                <w:rFonts w:ascii="Segoe UI Symbol" w:hAnsi="Segoe UI Symbol" w:cs="Segoe UI Symbol"/>
              </w:rPr>
              <w:t>✓</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2E1C297E" w14:textId="43A0ADFD" w:rsidR="00777397" w:rsidRPr="004E76D6" w:rsidRDefault="00C06CBB" w:rsidP="00C316A6">
            <w:pPr>
              <w:jc w:val="both"/>
              <w:rPr>
                <w:rFonts w:ascii="Roboto" w:hAnsi="Roboto"/>
              </w:rPr>
            </w:pPr>
            <w:r w:rsidRPr="004E76D6">
              <w:rPr>
                <w:rFonts w:ascii="Roboto" w:hAnsi="Roboto"/>
              </w:rPr>
              <w:t>0.654</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09709FB8" w14:textId="063FACDD" w:rsidR="00777397" w:rsidRPr="004E76D6" w:rsidRDefault="00C06CBB" w:rsidP="00C316A6">
            <w:pPr>
              <w:jc w:val="both"/>
              <w:rPr>
                <w:rFonts w:ascii="Roboto" w:hAnsi="Roboto"/>
              </w:rPr>
            </w:pPr>
            <w:r w:rsidRPr="004E76D6">
              <w:rPr>
                <w:rFonts w:ascii="Roboto" w:hAnsi="Roboto"/>
              </w:rPr>
              <w:t>0.685</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40ABFA42" w14:textId="77777777" w:rsidR="00777397" w:rsidRPr="004E76D6" w:rsidRDefault="00C06CBB" w:rsidP="00C316A6">
            <w:pPr>
              <w:jc w:val="both"/>
              <w:rPr>
                <w:rFonts w:ascii="Roboto" w:hAnsi="Roboto"/>
              </w:rPr>
            </w:pPr>
            <w:r w:rsidRPr="004E76D6">
              <w:rPr>
                <w:rFonts w:ascii="Roboto" w:hAnsi="Roboto"/>
              </w:rPr>
              <w:t>0.987</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20AC9A75" w14:textId="53D7479E" w:rsidR="00777397" w:rsidRPr="004E76D6" w:rsidRDefault="00C06CBB" w:rsidP="00C316A6">
            <w:pPr>
              <w:jc w:val="both"/>
              <w:rPr>
                <w:rFonts w:ascii="Roboto" w:hAnsi="Roboto"/>
              </w:rPr>
            </w:pPr>
            <w:r w:rsidRPr="004E76D6">
              <w:rPr>
                <w:rFonts w:ascii="Roboto" w:hAnsi="Roboto"/>
              </w:rPr>
              <w:t>0.675</w:t>
            </w:r>
          </w:p>
        </w:tc>
      </w:tr>
      <w:tr w:rsidR="00777397" w:rsidRPr="004E76D6" w14:paraId="418A6DED" w14:textId="77777777" w:rsidTr="001642F5">
        <w:tc>
          <w:tcPr>
            <w:tcW w:w="150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707C8171" w14:textId="77777777" w:rsidR="00777397" w:rsidRPr="004E76D6" w:rsidRDefault="00C06CBB" w:rsidP="00C316A6">
            <w:pPr>
              <w:jc w:val="both"/>
              <w:rPr>
                <w:rFonts w:ascii="Roboto" w:hAnsi="Roboto"/>
              </w:rPr>
            </w:pPr>
            <w:r w:rsidRPr="004E76D6">
              <w:rPr>
                <w:rFonts w:ascii="Roboto" w:hAnsi="Roboto"/>
              </w:rPr>
              <w:t>Random Forest</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737ECF79" w14:textId="04E34E1F" w:rsidR="00777397" w:rsidRPr="004E76D6" w:rsidRDefault="00C06CBB" w:rsidP="00C316A6">
            <w:pPr>
              <w:jc w:val="both"/>
              <w:rPr>
                <w:rFonts w:ascii="Roboto" w:hAnsi="Roboto"/>
              </w:rPr>
            </w:pPr>
            <w:r w:rsidRPr="004E76D6">
              <w:rPr>
                <w:rFonts w:ascii="Roboto" w:hAnsi="Roboto"/>
              </w:rPr>
              <w:t>0.653</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62EA45DF" w14:textId="1F38A6F2" w:rsidR="00777397" w:rsidRPr="004E76D6" w:rsidRDefault="00C06CBB" w:rsidP="00C316A6">
            <w:pPr>
              <w:jc w:val="both"/>
              <w:rPr>
                <w:rFonts w:ascii="Roboto" w:hAnsi="Roboto"/>
              </w:rPr>
            </w:pPr>
            <w:r w:rsidRPr="004E76D6">
              <w:rPr>
                <w:rFonts w:ascii="Roboto" w:hAnsi="Roboto"/>
              </w:rPr>
              <w:t>0.669</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50877206" w14:textId="77777777" w:rsidR="00777397" w:rsidRPr="004E76D6" w:rsidRDefault="00C06CBB" w:rsidP="00C316A6">
            <w:pPr>
              <w:jc w:val="both"/>
              <w:rPr>
                <w:rFonts w:ascii="Roboto" w:hAnsi="Roboto"/>
              </w:rPr>
            </w:pPr>
            <w:r w:rsidRPr="004E76D6">
              <w:rPr>
                <w:rFonts w:ascii="Roboto" w:hAnsi="Roboto"/>
              </w:rPr>
              <w:t>1.012</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772E2D3D" w14:textId="5B6967C8" w:rsidR="00777397" w:rsidRPr="004E76D6" w:rsidRDefault="00C06CBB" w:rsidP="00C316A6">
            <w:pPr>
              <w:jc w:val="both"/>
              <w:rPr>
                <w:rFonts w:ascii="Roboto" w:hAnsi="Roboto"/>
              </w:rPr>
            </w:pPr>
            <w:r w:rsidRPr="004E76D6">
              <w:rPr>
                <w:rFonts w:ascii="Roboto" w:hAnsi="Roboto"/>
              </w:rPr>
              <w:t>0.710</w:t>
            </w:r>
          </w:p>
        </w:tc>
      </w:tr>
      <w:tr w:rsidR="00777397" w:rsidRPr="004E76D6" w14:paraId="1339796B" w14:textId="77777777" w:rsidTr="001642F5">
        <w:tc>
          <w:tcPr>
            <w:tcW w:w="150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76A8052C" w14:textId="77777777" w:rsidR="00777397" w:rsidRPr="004E76D6" w:rsidRDefault="00C06CBB" w:rsidP="00C316A6">
            <w:pPr>
              <w:jc w:val="both"/>
              <w:rPr>
                <w:rFonts w:ascii="Roboto" w:hAnsi="Roboto"/>
              </w:rPr>
            </w:pPr>
            <w:r w:rsidRPr="004E76D6">
              <w:rPr>
                <w:rFonts w:ascii="Roboto" w:hAnsi="Roboto"/>
              </w:rPr>
              <w:t>LightGBM</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26DB4E4A" w14:textId="75BF43A3" w:rsidR="00777397" w:rsidRPr="004E76D6" w:rsidRDefault="00C06CBB" w:rsidP="00C316A6">
            <w:pPr>
              <w:jc w:val="both"/>
              <w:rPr>
                <w:rFonts w:ascii="Roboto" w:hAnsi="Roboto"/>
              </w:rPr>
            </w:pPr>
            <w:r w:rsidRPr="004E76D6">
              <w:rPr>
                <w:rFonts w:ascii="Roboto" w:hAnsi="Roboto"/>
              </w:rPr>
              <w:t>0.628</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4657368A" w14:textId="4592B834" w:rsidR="00777397" w:rsidRPr="004E76D6" w:rsidRDefault="00C06CBB" w:rsidP="00C316A6">
            <w:pPr>
              <w:jc w:val="both"/>
              <w:rPr>
                <w:rFonts w:ascii="Roboto" w:hAnsi="Roboto"/>
              </w:rPr>
            </w:pPr>
            <w:r w:rsidRPr="004E76D6">
              <w:rPr>
                <w:rFonts w:ascii="Roboto" w:hAnsi="Roboto"/>
              </w:rPr>
              <w:t>0.648</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1AD414D1" w14:textId="77777777" w:rsidR="00777397" w:rsidRPr="004E76D6" w:rsidRDefault="00C06CBB" w:rsidP="00C316A6">
            <w:pPr>
              <w:jc w:val="both"/>
              <w:rPr>
                <w:rFonts w:ascii="Roboto" w:hAnsi="Roboto"/>
              </w:rPr>
            </w:pPr>
            <w:r w:rsidRPr="004E76D6">
              <w:rPr>
                <w:rFonts w:ascii="Roboto" w:hAnsi="Roboto"/>
              </w:rPr>
              <w:t>1.044</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552F50BE" w14:textId="28B183A0" w:rsidR="00777397" w:rsidRPr="004E76D6" w:rsidRDefault="00C06CBB" w:rsidP="00C316A6">
            <w:pPr>
              <w:jc w:val="both"/>
              <w:rPr>
                <w:rFonts w:ascii="Roboto" w:hAnsi="Roboto"/>
              </w:rPr>
            </w:pPr>
            <w:r w:rsidRPr="004E76D6">
              <w:rPr>
                <w:rFonts w:ascii="Roboto" w:hAnsi="Roboto"/>
              </w:rPr>
              <w:t>0.744</w:t>
            </w:r>
          </w:p>
        </w:tc>
      </w:tr>
      <w:tr w:rsidR="00777397" w:rsidRPr="004E76D6" w14:paraId="5CF82E51" w14:textId="77777777" w:rsidTr="001642F5">
        <w:tc>
          <w:tcPr>
            <w:tcW w:w="150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1EF3C308" w14:textId="77777777" w:rsidR="00777397" w:rsidRPr="004E76D6" w:rsidRDefault="00C06CBB" w:rsidP="00C316A6">
            <w:pPr>
              <w:jc w:val="both"/>
              <w:rPr>
                <w:rFonts w:ascii="Roboto" w:hAnsi="Roboto"/>
              </w:rPr>
            </w:pPr>
            <w:r w:rsidRPr="004E76D6">
              <w:rPr>
                <w:rFonts w:ascii="Roboto" w:hAnsi="Roboto"/>
              </w:rPr>
              <w:t>XGBoost</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088DD67D" w14:textId="3D1357B5" w:rsidR="00777397" w:rsidRPr="004E76D6" w:rsidRDefault="00C06CBB" w:rsidP="00C316A6">
            <w:pPr>
              <w:jc w:val="both"/>
              <w:rPr>
                <w:rFonts w:ascii="Roboto" w:hAnsi="Roboto"/>
              </w:rPr>
            </w:pPr>
            <w:r w:rsidRPr="004E76D6">
              <w:rPr>
                <w:rFonts w:ascii="Roboto" w:hAnsi="Roboto"/>
              </w:rPr>
              <w:t>0.626</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446A1EF3" w14:textId="77777777" w:rsidR="00777397" w:rsidRPr="004E76D6" w:rsidRDefault="00C06CBB" w:rsidP="00C316A6">
            <w:pPr>
              <w:jc w:val="both"/>
              <w:rPr>
                <w:rFonts w:ascii="Roboto" w:hAnsi="Roboto"/>
              </w:rPr>
            </w:pPr>
            <w:r w:rsidRPr="004E76D6">
              <w:rPr>
                <w:rFonts w:ascii="Roboto" w:hAnsi="Roboto"/>
              </w:rPr>
              <w:t>0.6288</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36322A31" w14:textId="77777777" w:rsidR="00777397" w:rsidRPr="004E76D6" w:rsidRDefault="00C06CBB" w:rsidP="00C316A6">
            <w:pPr>
              <w:jc w:val="both"/>
              <w:rPr>
                <w:rFonts w:ascii="Roboto" w:hAnsi="Roboto"/>
              </w:rPr>
            </w:pPr>
            <w:r w:rsidRPr="004E76D6">
              <w:rPr>
                <w:rFonts w:ascii="Roboto" w:hAnsi="Roboto"/>
              </w:rPr>
              <w:t>1.072</w:t>
            </w:r>
          </w:p>
        </w:tc>
        <w:tc>
          <w:tcPr>
            <w:tcW w:w="874" w:type="pct"/>
            <w:tcBorders>
              <w:top w:val="single" w:sz="1" w:space="0" w:color="AAAAAA"/>
              <w:left w:val="single" w:sz="1" w:space="0" w:color="AAAAAA"/>
              <w:bottom w:val="single" w:sz="1" w:space="0" w:color="AAAAAA"/>
              <w:right w:val="single" w:sz="1" w:space="0" w:color="AAAAAA"/>
            </w:tcBorders>
            <w:shd w:val="clear" w:color="auto" w:fill="FFFFFF" w:themeFill="background1"/>
            <w:tcMar>
              <w:top w:w="60" w:type="dxa"/>
              <w:left w:w="120" w:type="dxa"/>
              <w:bottom w:w="60" w:type="dxa"/>
              <w:right w:w="120" w:type="dxa"/>
            </w:tcMar>
          </w:tcPr>
          <w:p w14:paraId="3D897271" w14:textId="77777777" w:rsidR="00777397" w:rsidRPr="004E76D6" w:rsidRDefault="00C06CBB" w:rsidP="00C316A6">
            <w:pPr>
              <w:jc w:val="both"/>
              <w:rPr>
                <w:rFonts w:ascii="Roboto" w:hAnsi="Roboto"/>
              </w:rPr>
            </w:pPr>
            <w:r w:rsidRPr="004E76D6">
              <w:rPr>
                <w:rFonts w:ascii="Roboto" w:hAnsi="Roboto"/>
              </w:rPr>
              <w:t>0.7407</w:t>
            </w:r>
          </w:p>
        </w:tc>
      </w:tr>
    </w:tbl>
    <w:p w14:paraId="3815CE64" w14:textId="77777777" w:rsidR="00777397" w:rsidRPr="00C316A6" w:rsidRDefault="00C06CBB" w:rsidP="00C316A6">
      <w:pPr>
        <w:jc w:val="both"/>
        <w:rPr>
          <w:rFonts w:ascii="Roboto" w:hAnsi="Roboto"/>
        </w:rPr>
      </w:pPr>
      <w:r w:rsidRPr="00C316A6">
        <w:rPr>
          <w:rFonts w:ascii="Segoe UI Symbol" w:hAnsi="Segoe UI Symbol" w:cs="Segoe UI Symbol"/>
          <w:color w:val="555555"/>
        </w:rPr>
        <w:t>✓</w:t>
      </w:r>
      <w:r w:rsidRPr="00C316A6">
        <w:rPr>
          <w:rFonts w:ascii="Roboto" w:hAnsi="Roboto"/>
          <w:color w:val="555555"/>
        </w:rPr>
        <w:t xml:space="preserve"> Modelo de mejor desempeño global</w:t>
      </w:r>
    </w:p>
    <w:p w14:paraId="1FCB4E4B" w14:textId="77777777" w:rsidR="00AC19E6" w:rsidRDefault="00AC19E6" w:rsidP="00C316A6">
      <w:pPr>
        <w:jc w:val="both"/>
      </w:pPr>
    </w:p>
    <w:p w14:paraId="379B9A8F" w14:textId="09FFE27E" w:rsidR="00777397" w:rsidRDefault="00C06CBB" w:rsidP="00C316A6">
      <w:pPr>
        <w:jc w:val="both"/>
        <w:rPr>
          <w:rFonts w:ascii="Roboto" w:hAnsi="Roboto"/>
        </w:rPr>
      </w:pPr>
      <w:r w:rsidRPr="004E76D6">
        <w:rPr>
          <w:rFonts w:ascii="Roboto" w:hAnsi="Roboto"/>
        </w:rPr>
        <w:t xml:space="preserve">Predictores significativos (regresión cuadrática): El orgullo de pertenencia (β = +0.407, p &lt; .001) y </w:t>
      </w:r>
      <w:r w:rsidR="00D654DE" w:rsidRPr="004E76D6">
        <w:rPr>
          <w:rFonts w:ascii="Roboto" w:hAnsi="Roboto"/>
        </w:rPr>
        <w:t>la probabilidad de recomendar</w:t>
      </w:r>
      <w:r w:rsidRPr="004E76D6">
        <w:rPr>
          <w:rFonts w:ascii="Roboto" w:hAnsi="Roboto"/>
        </w:rPr>
        <w:t xml:space="preserve"> el programa académico (β = +0.362, p &lt; .001) resultaron los predictores de mayor peso. La probabilidad de recomendar eventos estudiantiles (β = +0.029, p = .074) y el porcentaje de avance curricular (β = −0.193, p = .080) mostraron una asociación marginal (p &lt; .10). Las variables de </w:t>
      </w:r>
      <w:r w:rsidR="00AE52E9" w:rsidRPr="004E76D6">
        <w:rPr>
          <w:rFonts w:ascii="Roboto" w:hAnsi="Roboto"/>
        </w:rPr>
        <w:t xml:space="preserve">relacionadas con experiencias de </w:t>
      </w:r>
      <w:r w:rsidRPr="004E76D6">
        <w:rPr>
          <w:rFonts w:ascii="Roboto" w:hAnsi="Roboto"/>
        </w:rPr>
        <w:t>formación integral, humanidades y acompañamiento docente no alcanzaron significancia estadística convencional.</w:t>
      </w:r>
    </w:p>
    <w:p w14:paraId="24FF1454" w14:textId="77777777" w:rsidR="00C316A6" w:rsidRPr="004E76D6" w:rsidRDefault="00C316A6" w:rsidP="00C316A6">
      <w:pPr>
        <w:jc w:val="both"/>
        <w:rPr>
          <w:rFonts w:ascii="Roboto" w:hAnsi="Roboto"/>
        </w:rPr>
      </w:pPr>
    </w:p>
    <w:p w14:paraId="67853DAF" w14:textId="484D0278" w:rsidR="00777397" w:rsidRPr="004E76D6" w:rsidRDefault="00C06CBB" w:rsidP="00C316A6">
      <w:pPr>
        <w:jc w:val="both"/>
        <w:rPr>
          <w:rFonts w:ascii="Roboto" w:hAnsi="Roboto"/>
        </w:rPr>
      </w:pPr>
      <w:r w:rsidRPr="004E76D6">
        <w:rPr>
          <w:rFonts w:ascii="Roboto" w:hAnsi="Roboto"/>
        </w:rPr>
        <w:lastRenderedPageBreak/>
        <w:t xml:space="preserve">El análisis de SHAP values del modelo Random Forest confirmó la preeminencia del orgullo de pertenencia y </w:t>
      </w:r>
      <w:r w:rsidR="00AE52E9" w:rsidRPr="004E76D6">
        <w:rPr>
          <w:rFonts w:ascii="Roboto" w:hAnsi="Roboto"/>
        </w:rPr>
        <w:t>la probabilidad de recomendar</w:t>
      </w:r>
      <w:r w:rsidRPr="004E76D6">
        <w:rPr>
          <w:rFonts w:ascii="Roboto" w:hAnsi="Roboto"/>
        </w:rPr>
        <w:t xml:space="preserve"> del programa, convergiendo con los hallazgos de la regresión y reforzando la robustez de ambos constructos como determinantes centrales de la recomendación institucional.</w:t>
      </w:r>
    </w:p>
    <w:p w14:paraId="286D9778" w14:textId="77777777" w:rsidR="00D654DE" w:rsidRPr="004E76D6" w:rsidRDefault="00D654DE" w:rsidP="00C316A6">
      <w:pPr>
        <w:jc w:val="both"/>
        <w:rPr>
          <w:rFonts w:ascii="Roboto" w:hAnsi="Roboto"/>
        </w:rPr>
      </w:pPr>
    </w:p>
    <w:p w14:paraId="6F1C90CA" w14:textId="5D8E085C" w:rsidR="00777397" w:rsidRPr="00C316A6" w:rsidRDefault="001642F5" w:rsidP="00C316A6">
      <w:pPr>
        <w:jc w:val="both"/>
        <w:rPr>
          <w:rFonts w:ascii="Roboto" w:hAnsi="Roboto"/>
          <w:b/>
          <w:bCs/>
        </w:rPr>
      </w:pPr>
      <w:r w:rsidRPr="00C316A6">
        <w:rPr>
          <w:rFonts w:ascii="Roboto" w:hAnsi="Roboto"/>
          <w:b/>
          <w:bCs/>
        </w:rPr>
        <w:t xml:space="preserve">CONCLUSIONES </w:t>
      </w:r>
    </w:p>
    <w:p w14:paraId="35EB772A" w14:textId="77339A55" w:rsidR="00777397" w:rsidRPr="004E76D6" w:rsidRDefault="00C06CBB" w:rsidP="00C316A6">
      <w:pPr>
        <w:jc w:val="both"/>
        <w:rPr>
          <w:rFonts w:ascii="Roboto" w:hAnsi="Roboto"/>
        </w:rPr>
      </w:pPr>
      <w:r w:rsidRPr="004E76D6">
        <w:rPr>
          <w:rFonts w:ascii="Roboto" w:hAnsi="Roboto"/>
        </w:rPr>
        <w:t xml:space="preserve">Los hallazgos revelan que la probabilidad de recomendación institucional se </w:t>
      </w:r>
      <w:r w:rsidR="00F85BA1">
        <w:rPr>
          <w:rFonts w:ascii="Roboto" w:hAnsi="Roboto"/>
        </w:rPr>
        <w:t>asocia</w:t>
      </w:r>
      <w:r w:rsidRPr="004E76D6">
        <w:rPr>
          <w:rFonts w:ascii="Roboto" w:hAnsi="Roboto"/>
        </w:rPr>
        <w:t xml:space="preserve">, </w:t>
      </w:r>
      <w:r w:rsidR="00F85BA1">
        <w:rPr>
          <w:rFonts w:ascii="Roboto" w:hAnsi="Roboto"/>
        </w:rPr>
        <w:t>principalmente</w:t>
      </w:r>
      <w:r w:rsidRPr="004E76D6">
        <w:rPr>
          <w:rFonts w:ascii="Roboto" w:hAnsi="Roboto"/>
        </w:rPr>
        <w:t xml:space="preserve">, </w:t>
      </w:r>
      <w:r w:rsidR="00F479ED">
        <w:rPr>
          <w:rFonts w:ascii="Roboto" w:hAnsi="Roboto"/>
        </w:rPr>
        <w:t>a</w:t>
      </w:r>
      <w:r w:rsidRPr="004E76D6">
        <w:rPr>
          <w:rFonts w:ascii="Roboto" w:hAnsi="Roboto"/>
        </w:rPr>
        <w:t xml:space="preserve"> una dimensión</w:t>
      </w:r>
      <w:r w:rsidR="00F479ED">
        <w:rPr>
          <w:rFonts w:ascii="Roboto" w:hAnsi="Roboto"/>
        </w:rPr>
        <w:t xml:space="preserve"> que es</w:t>
      </w:r>
      <w:r w:rsidRPr="004E76D6">
        <w:rPr>
          <w:rFonts w:ascii="Roboto" w:hAnsi="Roboto"/>
        </w:rPr>
        <w:t xml:space="preserve"> afectivo-identitaria: el orgullo de pertenecer a la institución resulta ser el predictor más robusto. Esto es consistente con la literatura sobre lealtad a la marca en educación superior, que señala que la identificación emocional con la institución </w:t>
      </w:r>
      <w:r w:rsidR="00B44F34">
        <w:rPr>
          <w:rFonts w:ascii="Roboto" w:hAnsi="Roboto"/>
        </w:rPr>
        <w:t xml:space="preserve">tiende a ser </w:t>
      </w:r>
      <w:r w:rsidRPr="004E76D6">
        <w:rPr>
          <w:rFonts w:ascii="Roboto" w:hAnsi="Roboto"/>
        </w:rPr>
        <w:t>más estable que la satisfacción con atributos específicos.</w:t>
      </w:r>
    </w:p>
    <w:p w14:paraId="0CFBA791" w14:textId="77777777" w:rsidR="00D654DE" w:rsidRPr="004E76D6" w:rsidRDefault="00D654DE" w:rsidP="00C316A6">
      <w:pPr>
        <w:jc w:val="both"/>
        <w:rPr>
          <w:rFonts w:ascii="Roboto" w:hAnsi="Roboto"/>
        </w:rPr>
      </w:pPr>
    </w:p>
    <w:p w14:paraId="254761BF" w14:textId="77777777" w:rsidR="00777397" w:rsidRPr="004E76D6" w:rsidRDefault="00C06CBB" w:rsidP="00C316A6">
      <w:pPr>
        <w:jc w:val="both"/>
        <w:rPr>
          <w:rFonts w:ascii="Roboto" w:hAnsi="Roboto"/>
        </w:rPr>
      </w:pPr>
      <w:r w:rsidRPr="004E76D6">
        <w:rPr>
          <w:rFonts w:ascii="Roboto" w:hAnsi="Roboto"/>
        </w:rPr>
        <w:t>La calidad percibida del programa académico sigue siendo un pilar fundamental, lo que respalda la necesidad de mantener procesos rigurosos de enseñanza-aprendizaje y pertinencia curricular. El impacto marginal de los eventos estudiantiles subraya la importancia del diseño y la promoción cuidadosa de una vida estudiantil activa.</w:t>
      </w:r>
    </w:p>
    <w:p w14:paraId="57AF0CEB" w14:textId="77777777" w:rsidR="00D654DE" w:rsidRPr="004E76D6" w:rsidRDefault="00D654DE" w:rsidP="00C316A6">
      <w:pPr>
        <w:jc w:val="both"/>
        <w:rPr>
          <w:rFonts w:ascii="Roboto" w:hAnsi="Roboto"/>
        </w:rPr>
      </w:pPr>
    </w:p>
    <w:p w14:paraId="3E7DADE9" w14:textId="49616A8F" w:rsidR="00777397" w:rsidRPr="004E76D6" w:rsidRDefault="00C06CBB" w:rsidP="00C316A6">
      <w:pPr>
        <w:jc w:val="both"/>
        <w:rPr>
          <w:rFonts w:ascii="Roboto" w:hAnsi="Roboto"/>
        </w:rPr>
      </w:pPr>
      <w:r w:rsidRPr="004E76D6">
        <w:rPr>
          <w:rFonts w:ascii="Roboto" w:hAnsi="Roboto"/>
        </w:rPr>
        <w:t>El coeficiente negativo del avance curricular apunta a un posible efecto de "desencanto gradual. Este patrón tiene implicaciones directas para la gestión de la retención y el seguimiento longitudinal de la experiencia estudiantil.</w:t>
      </w:r>
    </w:p>
    <w:p w14:paraId="2C9C33E9" w14:textId="77777777" w:rsidR="00AE52E9" w:rsidRPr="004E76D6" w:rsidRDefault="00AE52E9" w:rsidP="00C316A6">
      <w:pPr>
        <w:jc w:val="both"/>
        <w:rPr>
          <w:rFonts w:ascii="Roboto" w:hAnsi="Roboto"/>
        </w:rPr>
      </w:pPr>
    </w:p>
    <w:p w14:paraId="76858F18" w14:textId="77777777" w:rsidR="00777397" w:rsidRPr="004E76D6" w:rsidRDefault="00C06CBB" w:rsidP="00C316A6">
      <w:pPr>
        <w:jc w:val="both"/>
        <w:rPr>
          <w:rFonts w:ascii="Roboto" w:hAnsi="Roboto"/>
        </w:rPr>
      </w:pPr>
      <w:r w:rsidRPr="004E76D6">
        <w:rPr>
          <w:rFonts w:ascii="Roboto" w:hAnsi="Roboto"/>
        </w:rPr>
        <w:t>Metodológicamente, el desempeño superior de la regresión cuadrática frente a los modelos de ensamble sugiere que las relaciones no lineales entre experiencia y recomendación son mejor capturadas mediante términos polinomiales explícitos. Esto tiene implicaciones para futuros modelos de medición de la SX en IES latinoamericanas.</w:t>
      </w:r>
    </w:p>
    <w:p w14:paraId="6596E128" w14:textId="77777777" w:rsidR="00AC19E6" w:rsidRPr="004E76D6" w:rsidRDefault="00AC19E6" w:rsidP="00C316A6">
      <w:pPr>
        <w:jc w:val="both"/>
        <w:rPr>
          <w:rFonts w:ascii="Roboto" w:hAnsi="Roboto"/>
          <w:color w:val="1F4E79"/>
        </w:rPr>
      </w:pPr>
    </w:p>
    <w:p w14:paraId="40B65460" w14:textId="3087B955" w:rsidR="00777397" w:rsidRPr="00C316A6" w:rsidRDefault="001642F5" w:rsidP="00C316A6">
      <w:pPr>
        <w:jc w:val="both"/>
        <w:rPr>
          <w:rFonts w:ascii="Roboto" w:hAnsi="Roboto"/>
          <w:b/>
          <w:bCs/>
        </w:rPr>
      </w:pPr>
      <w:r w:rsidRPr="00C316A6">
        <w:rPr>
          <w:rFonts w:ascii="Roboto" w:hAnsi="Roboto"/>
          <w:b/>
          <w:bCs/>
        </w:rPr>
        <w:t>REFERENCIAS CLAVE</w:t>
      </w:r>
    </w:p>
    <w:p w14:paraId="2DCFC7E9" w14:textId="6848A75A" w:rsidR="00777397" w:rsidRPr="004E76D6" w:rsidRDefault="00C06CBB" w:rsidP="00C316A6">
      <w:pPr>
        <w:jc w:val="both"/>
        <w:rPr>
          <w:rFonts w:ascii="Roboto" w:hAnsi="Roboto"/>
          <w:lang w:val="en-US"/>
        </w:rPr>
      </w:pPr>
      <w:r w:rsidRPr="004E76D6">
        <w:rPr>
          <w:rFonts w:ascii="Roboto" w:hAnsi="Roboto"/>
        </w:rPr>
        <w:t xml:space="preserve">Elliott, K. M., &amp; Healy, M. A. (2001). </w:t>
      </w:r>
      <w:r w:rsidRPr="004E76D6">
        <w:rPr>
          <w:rFonts w:ascii="Roboto" w:hAnsi="Roboto"/>
          <w:lang w:val="en-US"/>
        </w:rPr>
        <w:t xml:space="preserve">Key factors influencing student satisfaction related to recruitment and retention. </w:t>
      </w:r>
      <w:r w:rsidRPr="004E76D6">
        <w:rPr>
          <w:rFonts w:ascii="Roboto" w:hAnsi="Roboto"/>
          <w:i/>
          <w:iCs/>
          <w:lang w:val="en-US"/>
        </w:rPr>
        <w:t>Journal of Marketing for Higher Education</w:t>
      </w:r>
      <w:r w:rsidRPr="004E76D6">
        <w:rPr>
          <w:rFonts w:ascii="Roboto" w:hAnsi="Roboto"/>
          <w:lang w:val="en-US"/>
        </w:rPr>
        <w:t>, 10(4), 1-11.</w:t>
      </w:r>
    </w:p>
    <w:p w14:paraId="74011458" w14:textId="2311128B" w:rsidR="004E76D6" w:rsidRPr="00DE4D73" w:rsidRDefault="004E76D6" w:rsidP="00C316A6">
      <w:pPr>
        <w:jc w:val="both"/>
        <w:rPr>
          <w:rFonts w:ascii="Roboto" w:hAnsi="Roboto"/>
          <w:lang w:val="en-US"/>
        </w:rPr>
      </w:pPr>
      <w:hyperlink r:id="rId8" w:history="1">
        <w:r w:rsidRPr="00DE4D73">
          <w:rPr>
            <w:rStyle w:val="Hipervnculo"/>
            <w:rFonts w:ascii="Roboto" w:hAnsi="Roboto"/>
            <w:lang w:val="en-US"/>
          </w:rPr>
          <w:t>https://doi.org/10.1300/J050v10n04_01</w:t>
        </w:r>
      </w:hyperlink>
    </w:p>
    <w:p w14:paraId="03095961" w14:textId="2EE70C52" w:rsidR="00AE52E9" w:rsidRPr="004E76D6" w:rsidRDefault="00C06CBB" w:rsidP="00C316A6">
      <w:pPr>
        <w:jc w:val="both"/>
        <w:rPr>
          <w:rFonts w:ascii="Roboto" w:eastAsia="Roboto" w:hAnsi="Roboto" w:cs="Roboto"/>
          <w:color w:val="000000"/>
          <w:lang w:val="en-US"/>
        </w:rPr>
      </w:pPr>
      <w:r w:rsidRPr="004E76D6">
        <w:rPr>
          <w:rFonts w:ascii="Roboto" w:hAnsi="Roboto"/>
          <w:lang w:val="fr-FR"/>
        </w:rPr>
        <w:t xml:space="preserve">Kara, A., Mintu-Wimsatt, A., &amp; Spillan, J. E. (2024). </w:t>
      </w:r>
      <w:r w:rsidRPr="004E76D6">
        <w:rPr>
          <w:rFonts w:ascii="Roboto" w:hAnsi="Roboto"/>
          <w:lang w:val="en-US"/>
        </w:rPr>
        <w:t xml:space="preserve">An application of the Net Promoter Score in higher education. </w:t>
      </w:r>
      <w:r w:rsidRPr="004E76D6">
        <w:rPr>
          <w:rFonts w:ascii="Roboto" w:hAnsi="Roboto"/>
          <w:i/>
          <w:iCs/>
          <w:lang w:val="en-US"/>
        </w:rPr>
        <w:t>Journal of Marketing for Higher Education</w:t>
      </w:r>
      <w:r w:rsidRPr="004E76D6">
        <w:rPr>
          <w:rFonts w:ascii="Roboto" w:hAnsi="Roboto"/>
          <w:lang w:val="en-US"/>
        </w:rPr>
        <w:t>, 34(2), 478-501.</w:t>
      </w:r>
      <w:r w:rsidR="00AE52E9" w:rsidRPr="00DE4D73">
        <w:rPr>
          <w:rFonts w:ascii="Roboto" w:hAnsi="Roboto"/>
          <w:lang w:val="en-US"/>
        </w:rPr>
        <w:t xml:space="preserve"> </w:t>
      </w:r>
      <w:hyperlink r:id="rId9" w:history="1">
        <w:r w:rsidR="00AE52E9" w:rsidRPr="004E76D6">
          <w:rPr>
            <w:rStyle w:val="Hipervnculo"/>
            <w:rFonts w:ascii="Roboto" w:eastAsia="Roboto" w:hAnsi="Roboto" w:cs="Roboto"/>
            <w:lang w:val="en-US"/>
          </w:rPr>
          <w:t>https://doi.org/10.1080/08841241.2021.2018088</w:t>
        </w:r>
      </w:hyperlink>
    </w:p>
    <w:p w14:paraId="652AAD0F" w14:textId="77777777" w:rsidR="00777397" w:rsidRPr="004E76D6" w:rsidRDefault="00C06CBB" w:rsidP="00C316A6">
      <w:pPr>
        <w:jc w:val="both"/>
        <w:rPr>
          <w:rFonts w:ascii="Roboto" w:hAnsi="Roboto"/>
          <w:lang w:val="en-US"/>
        </w:rPr>
      </w:pPr>
      <w:r w:rsidRPr="004E76D6">
        <w:rPr>
          <w:rFonts w:ascii="Roboto" w:hAnsi="Roboto"/>
          <w:lang w:val="en-US"/>
        </w:rPr>
        <w:t xml:space="preserve">Schijns, J. (2025). Perceived service quality and students' satisfaction and recommendation willingness in Higher Education. </w:t>
      </w:r>
      <w:r w:rsidRPr="004E76D6">
        <w:rPr>
          <w:rFonts w:ascii="Roboto" w:hAnsi="Roboto"/>
          <w:i/>
          <w:iCs/>
          <w:lang w:val="en-US"/>
        </w:rPr>
        <w:t>International Journal of Educational Studies</w:t>
      </w:r>
      <w:r w:rsidRPr="004E76D6">
        <w:rPr>
          <w:rFonts w:ascii="Roboto" w:hAnsi="Roboto"/>
          <w:lang w:val="en-US"/>
        </w:rPr>
        <w:t>, 8(4), 99-124.</w:t>
      </w:r>
    </w:p>
    <w:p w14:paraId="488480A4" w14:textId="77777777" w:rsidR="00AE52E9" w:rsidRPr="004E76D6" w:rsidRDefault="00AE52E9" w:rsidP="00C316A6">
      <w:pPr>
        <w:jc w:val="both"/>
        <w:rPr>
          <w:rFonts w:ascii="Roboto" w:hAnsi="Roboto"/>
          <w:lang w:val="en-US"/>
        </w:rPr>
      </w:pPr>
      <w:hyperlink r:id="rId10" w:history="1">
        <w:r w:rsidRPr="004E76D6">
          <w:rPr>
            <w:rStyle w:val="Hipervnculo"/>
            <w:rFonts w:ascii="Roboto" w:hAnsi="Roboto"/>
            <w:lang w:val="en-US"/>
          </w:rPr>
          <w:t>https://doi.org/10.53935/2641533x.v8i4.458</w:t>
        </w:r>
      </w:hyperlink>
    </w:p>
    <w:p w14:paraId="313E0AA4" w14:textId="44B3B83D" w:rsidR="00777397" w:rsidRPr="004E76D6" w:rsidRDefault="00C06CBB" w:rsidP="00C316A6">
      <w:pPr>
        <w:jc w:val="both"/>
        <w:rPr>
          <w:rFonts w:ascii="Roboto" w:hAnsi="Roboto"/>
          <w:lang w:val="en-US"/>
        </w:rPr>
      </w:pPr>
      <w:r w:rsidRPr="004E76D6">
        <w:rPr>
          <w:rFonts w:ascii="Roboto" w:hAnsi="Roboto"/>
        </w:rPr>
        <w:t xml:space="preserve">De-Juan-Vigaray, M. D., et al. </w:t>
      </w:r>
      <w:r w:rsidRPr="004E76D6">
        <w:rPr>
          <w:rFonts w:ascii="Roboto" w:hAnsi="Roboto"/>
          <w:lang w:val="en-US"/>
        </w:rPr>
        <w:t xml:space="preserve">(2024). Student satisfaction: Examining capacity development and environmental factors in higher education institutions. </w:t>
      </w:r>
      <w:r w:rsidRPr="004E76D6">
        <w:rPr>
          <w:rFonts w:ascii="Roboto" w:hAnsi="Roboto"/>
          <w:i/>
          <w:iCs/>
          <w:lang w:val="en-US"/>
        </w:rPr>
        <w:t>Heliyon</w:t>
      </w:r>
      <w:r w:rsidRPr="004E76D6">
        <w:rPr>
          <w:rFonts w:ascii="Roboto" w:hAnsi="Roboto"/>
          <w:lang w:val="en-US"/>
        </w:rPr>
        <w:t>, 10(17)</w:t>
      </w:r>
      <w:r w:rsidR="00AE52E9" w:rsidRPr="004E76D6">
        <w:rPr>
          <w:rFonts w:ascii="Roboto" w:hAnsi="Roboto"/>
          <w:lang w:val="en-US"/>
        </w:rPr>
        <w:t>.</w:t>
      </w:r>
    </w:p>
    <w:p w14:paraId="5C4CEC42" w14:textId="2458B33A" w:rsidR="00AE52E9" w:rsidRPr="004E76D6" w:rsidRDefault="00AE52E9" w:rsidP="00C316A6">
      <w:pPr>
        <w:jc w:val="both"/>
        <w:rPr>
          <w:rFonts w:ascii="Roboto" w:hAnsi="Roboto"/>
          <w:lang w:val="en-US"/>
        </w:rPr>
      </w:pPr>
      <w:hyperlink r:id="rId11" w:history="1">
        <w:r w:rsidRPr="004E76D6">
          <w:rPr>
            <w:rStyle w:val="Hipervnculo"/>
            <w:rFonts w:ascii="Roboto" w:eastAsia="Roboto" w:hAnsi="Roboto" w:cs="Roboto"/>
            <w:lang w:val="en-US"/>
          </w:rPr>
          <w:t>https://doi.org/10.1016/j.heliyon.2024.e36699</w:t>
        </w:r>
      </w:hyperlink>
    </w:p>
    <w:p w14:paraId="342B0886" w14:textId="77777777" w:rsidR="00777397" w:rsidRPr="004E76D6" w:rsidRDefault="00C06CBB" w:rsidP="00C316A6">
      <w:pPr>
        <w:jc w:val="both"/>
        <w:rPr>
          <w:rFonts w:ascii="Roboto" w:hAnsi="Roboto"/>
        </w:rPr>
      </w:pPr>
      <w:r w:rsidRPr="004E76D6">
        <w:rPr>
          <w:rFonts w:ascii="Roboto" w:hAnsi="Roboto"/>
          <w:lang w:val="en-US"/>
        </w:rPr>
        <w:t xml:space="preserve">Pucciarelli, F., &amp; Kaplan, A. (2016). Competition and strategy in higher education. </w:t>
      </w:r>
      <w:r w:rsidRPr="004E76D6">
        <w:rPr>
          <w:rFonts w:ascii="Roboto" w:hAnsi="Roboto"/>
          <w:i/>
          <w:iCs/>
        </w:rPr>
        <w:t>Business Horizons</w:t>
      </w:r>
      <w:r w:rsidRPr="004E76D6">
        <w:rPr>
          <w:rFonts w:ascii="Roboto" w:hAnsi="Roboto"/>
        </w:rPr>
        <w:t>, 59(3), 311-320.</w:t>
      </w:r>
    </w:p>
    <w:p w14:paraId="46CE6E72" w14:textId="786FEC12" w:rsidR="00AE52E9" w:rsidRPr="004E76D6" w:rsidRDefault="00AE52E9" w:rsidP="00C316A6">
      <w:pPr>
        <w:jc w:val="both"/>
        <w:rPr>
          <w:rFonts w:ascii="Roboto" w:hAnsi="Roboto"/>
        </w:rPr>
      </w:pPr>
      <w:hyperlink r:id="rId12" w:tgtFrame="_blank" w:history="1">
        <w:r w:rsidRPr="004E76D6">
          <w:rPr>
            <w:rStyle w:val="Hipervnculo"/>
            <w:rFonts w:ascii="Roboto" w:eastAsia="Roboto" w:hAnsi="Roboto" w:cs="Roboto"/>
          </w:rPr>
          <w:t>https://doi.org/10.1016/j.bushor.2016.01.003</w:t>
        </w:r>
      </w:hyperlink>
    </w:p>
    <w:p w14:paraId="1A2DF9CB" w14:textId="77777777" w:rsidR="00D654DE" w:rsidRPr="004E76D6" w:rsidRDefault="00D654DE" w:rsidP="00C316A6">
      <w:pPr>
        <w:jc w:val="both"/>
        <w:rPr>
          <w:rFonts w:ascii="Roboto" w:hAnsi="Roboto"/>
        </w:rPr>
      </w:pPr>
    </w:p>
    <w:p w14:paraId="26BCFB14" w14:textId="77777777" w:rsidR="00D654DE" w:rsidRPr="004E76D6" w:rsidRDefault="00D654DE" w:rsidP="00C316A6">
      <w:pPr>
        <w:jc w:val="both"/>
        <w:rPr>
          <w:rFonts w:ascii="Roboto" w:hAnsi="Roboto"/>
        </w:rPr>
      </w:pPr>
    </w:p>
    <w:p w14:paraId="7C5760E5" w14:textId="77777777" w:rsidR="00D654DE" w:rsidRPr="004E76D6" w:rsidRDefault="00D654DE" w:rsidP="00C316A6">
      <w:pPr>
        <w:jc w:val="both"/>
        <w:rPr>
          <w:rFonts w:ascii="Roboto" w:hAnsi="Roboto"/>
        </w:rPr>
      </w:pPr>
    </w:p>
    <w:p w14:paraId="426E1137" w14:textId="77777777" w:rsidR="00D654DE" w:rsidRPr="004E76D6" w:rsidRDefault="00D654DE" w:rsidP="00C316A6">
      <w:pPr>
        <w:spacing w:before="30" w:after="30"/>
        <w:jc w:val="both"/>
        <w:rPr>
          <w:rFonts w:ascii="Roboto" w:hAnsi="Roboto"/>
          <w:color w:val="000000" w:themeColor="text1"/>
        </w:rPr>
      </w:pPr>
    </w:p>
    <w:p w14:paraId="2ECD4BBA" w14:textId="77777777" w:rsidR="00D654DE" w:rsidRPr="004E76D6" w:rsidRDefault="00D654DE" w:rsidP="00C316A6">
      <w:pPr>
        <w:spacing w:before="30" w:after="30"/>
        <w:jc w:val="both"/>
        <w:rPr>
          <w:rFonts w:ascii="Roboto" w:hAnsi="Roboto"/>
          <w:color w:val="000000" w:themeColor="text1"/>
        </w:rPr>
      </w:pPr>
    </w:p>
    <w:p w14:paraId="4803D04B" w14:textId="77777777" w:rsidR="00D654DE" w:rsidRPr="004E76D6" w:rsidRDefault="00D654DE" w:rsidP="00C316A6">
      <w:pPr>
        <w:spacing w:before="30" w:after="30"/>
        <w:jc w:val="both"/>
        <w:rPr>
          <w:rFonts w:ascii="Roboto" w:hAnsi="Roboto"/>
          <w:color w:val="000000" w:themeColor="text1"/>
        </w:rPr>
      </w:pPr>
    </w:p>
    <w:p w14:paraId="0FFFBD3B" w14:textId="77777777" w:rsidR="00D654DE" w:rsidRPr="004E76D6" w:rsidRDefault="00D654DE" w:rsidP="00C316A6">
      <w:pPr>
        <w:spacing w:before="30" w:after="30"/>
        <w:jc w:val="both"/>
        <w:rPr>
          <w:rFonts w:ascii="Roboto" w:hAnsi="Roboto"/>
          <w:color w:val="000000" w:themeColor="text1"/>
        </w:rPr>
      </w:pPr>
    </w:p>
    <w:p w14:paraId="0637DECB" w14:textId="77777777" w:rsidR="00D654DE" w:rsidRPr="004E76D6" w:rsidRDefault="00D654DE" w:rsidP="00C316A6">
      <w:pPr>
        <w:spacing w:before="30" w:after="30"/>
        <w:jc w:val="both"/>
        <w:rPr>
          <w:rFonts w:ascii="Roboto" w:hAnsi="Roboto"/>
          <w:color w:val="000000" w:themeColor="text1"/>
        </w:rPr>
      </w:pPr>
    </w:p>
    <w:p w14:paraId="246D3E40" w14:textId="77777777" w:rsidR="00D654DE" w:rsidRPr="004E76D6" w:rsidRDefault="00D654DE" w:rsidP="00C316A6">
      <w:pPr>
        <w:spacing w:before="30" w:after="30"/>
        <w:jc w:val="both"/>
        <w:rPr>
          <w:rFonts w:ascii="Roboto" w:hAnsi="Roboto"/>
          <w:color w:val="000000" w:themeColor="text1"/>
        </w:rPr>
      </w:pPr>
    </w:p>
    <w:p w14:paraId="46334570" w14:textId="77777777" w:rsidR="00D654DE" w:rsidRPr="004E76D6" w:rsidRDefault="00D654DE" w:rsidP="00C316A6">
      <w:pPr>
        <w:spacing w:before="30" w:after="30"/>
        <w:jc w:val="both"/>
        <w:rPr>
          <w:rFonts w:ascii="Roboto" w:hAnsi="Roboto"/>
          <w:color w:val="000000" w:themeColor="text1"/>
        </w:rPr>
      </w:pPr>
    </w:p>
    <w:p w14:paraId="4D84FAD4" w14:textId="77777777" w:rsidR="00D654DE" w:rsidRPr="004E76D6" w:rsidRDefault="00D654DE" w:rsidP="00C316A6">
      <w:pPr>
        <w:spacing w:before="30" w:after="30"/>
        <w:jc w:val="both"/>
        <w:rPr>
          <w:rFonts w:ascii="Roboto" w:hAnsi="Roboto"/>
          <w:color w:val="000000" w:themeColor="text1"/>
        </w:rPr>
      </w:pPr>
    </w:p>
    <w:p w14:paraId="2938FA16" w14:textId="77777777" w:rsidR="00D654DE" w:rsidRPr="004E76D6" w:rsidRDefault="00D654DE" w:rsidP="00C316A6">
      <w:pPr>
        <w:spacing w:before="30" w:after="30"/>
        <w:jc w:val="both"/>
        <w:rPr>
          <w:rFonts w:ascii="Roboto" w:hAnsi="Roboto"/>
          <w:color w:val="000000" w:themeColor="text1"/>
        </w:rPr>
      </w:pPr>
    </w:p>
    <w:p w14:paraId="4801F8A2" w14:textId="77777777" w:rsidR="00D654DE" w:rsidRPr="004E76D6" w:rsidRDefault="00D654DE" w:rsidP="00C316A6">
      <w:pPr>
        <w:spacing w:before="30" w:after="30"/>
        <w:jc w:val="both"/>
        <w:rPr>
          <w:rFonts w:ascii="Roboto" w:hAnsi="Roboto"/>
          <w:color w:val="000000" w:themeColor="text1"/>
        </w:rPr>
      </w:pPr>
    </w:p>
    <w:p w14:paraId="7F56E7E3" w14:textId="77777777" w:rsidR="00D654DE" w:rsidRPr="004E76D6" w:rsidRDefault="00D654DE" w:rsidP="00C316A6">
      <w:pPr>
        <w:spacing w:before="30" w:after="30"/>
        <w:jc w:val="both"/>
        <w:rPr>
          <w:rFonts w:ascii="Roboto" w:hAnsi="Roboto"/>
          <w:color w:val="000000" w:themeColor="text1"/>
        </w:rPr>
      </w:pPr>
    </w:p>
    <w:p w14:paraId="6FBF25B7" w14:textId="77777777" w:rsidR="00D654DE" w:rsidRPr="004E76D6" w:rsidRDefault="00D654DE" w:rsidP="00C316A6">
      <w:pPr>
        <w:spacing w:before="30" w:after="30"/>
        <w:jc w:val="both"/>
        <w:rPr>
          <w:rFonts w:ascii="Roboto" w:hAnsi="Roboto"/>
          <w:color w:val="000000" w:themeColor="text1"/>
        </w:rPr>
      </w:pPr>
    </w:p>
    <w:p w14:paraId="6C215853" w14:textId="77777777" w:rsidR="00D654DE" w:rsidRPr="004E76D6" w:rsidRDefault="00D654DE" w:rsidP="001642F5">
      <w:pPr>
        <w:spacing w:before="30" w:after="30"/>
        <w:rPr>
          <w:rFonts w:ascii="Roboto" w:hAnsi="Roboto"/>
          <w:color w:val="000000" w:themeColor="text1"/>
        </w:rPr>
      </w:pPr>
    </w:p>
    <w:p w14:paraId="65E1DF98" w14:textId="77777777" w:rsidR="00D654DE" w:rsidRDefault="00D654DE" w:rsidP="001642F5">
      <w:pPr>
        <w:spacing w:before="30" w:after="30"/>
        <w:rPr>
          <w:rFonts w:ascii="Roboto" w:hAnsi="Roboto"/>
          <w:color w:val="000000" w:themeColor="text1"/>
        </w:rPr>
      </w:pPr>
    </w:p>
    <w:p w14:paraId="655F9CE6" w14:textId="77777777" w:rsidR="00D654DE" w:rsidRDefault="00D654DE" w:rsidP="001642F5">
      <w:pPr>
        <w:spacing w:before="30" w:after="30"/>
        <w:rPr>
          <w:rFonts w:ascii="Roboto" w:hAnsi="Roboto"/>
          <w:color w:val="000000" w:themeColor="text1"/>
        </w:rPr>
      </w:pPr>
    </w:p>
    <w:p w14:paraId="16E596F5" w14:textId="77777777" w:rsidR="00D654DE" w:rsidRDefault="00D654DE" w:rsidP="001642F5">
      <w:pPr>
        <w:spacing w:before="30" w:after="30"/>
        <w:rPr>
          <w:rFonts w:ascii="Roboto" w:hAnsi="Roboto"/>
          <w:color w:val="000000" w:themeColor="text1"/>
        </w:rPr>
      </w:pPr>
    </w:p>
    <w:p w14:paraId="364B22CC" w14:textId="77777777" w:rsidR="00D654DE" w:rsidRDefault="00D654DE" w:rsidP="001642F5">
      <w:pPr>
        <w:spacing w:before="30" w:after="30"/>
        <w:rPr>
          <w:rFonts w:ascii="Roboto" w:hAnsi="Roboto"/>
          <w:color w:val="000000" w:themeColor="text1"/>
        </w:rPr>
      </w:pPr>
    </w:p>
    <w:p w14:paraId="5F50622F" w14:textId="77777777" w:rsidR="00D654DE" w:rsidRDefault="00D654DE" w:rsidP="001642F5">
      <w:pPr>
        <w:spacing w:before="30" w:after="30"/>
        <w:rPr>
          <w:rFonts w:ascii="Roboto" w:hAnsi="Roboto"/>
          <w:color w:val="000000" w:themeColor="text1"/>
        </w:rPr>
      </w:pPr>
    </w:p>
    <w:p w14:paraId="34760920" w14:textId="77777777" w:rsidR="00D654DE" w:rsidRDefault="00D654DE" w:rsidP="001642F5">
      <w:pPr>
        <w:spacing w:before="30" w:after="30"/>
        <w:rPr>
          <w:rFonts w:ascii="Roboto" w:hAnsi="Roboto"/>
          <w:color w:val="000000" w:themeColor="text1"/>
        </w:rPr>
      </w:pPr>
    </w:p>
    <w:p w14:paraId="1A0FF7A6" w14:textId="77777777" w:rsidR="00D654DE" w:rsidRDefault="00D654DE" w:rsidP="001642F5">
      <w:pPr>
        <w:spacing w:before="30" w:after="30"/>
        <w:rPr>
          <w:rFonts w:ascii="Roboto" w:hAnsi="Roboto"/>
          <w:color w:val="000000" w:themeColor="text1"/>
        </w:rPr>
      </w:pPr>
    </w:p>
    <w:p w14:paraId="32E77F4E" w14:textId="77777777" w:rsidR="00C316A6" w:rsidRDefault="00C316A6" w:rsidP="001642F5">
      <w:pPr>
        <w:spacing w:before="30" w:after="30"/>
        <w:rPr>
          <w:rFonts w:ascii="Roboto" w:hAnsi="Roboto"/>
          <w:color w:val="000000" w:themeColor="text1"/>
        </w:rPr>
      </w:pPr>
    </w:p>
    <w:p w14:paraId="34C699A6" w14:textId="77777777" w:rsidR="00C316A6" w:rsidRDefault="00C316A6" w:rsidP="001642F5">
      <w:pPr>
        <w:spacing w:before="30" w:after="30"/>
        <w:rPr>
          <w:rFonts w:ascii="Roboto" w:hAnsi="Roboto"/>
          <w:color w:val="000000" w:themeColor="text1"/>
        </w:rPr>
      </w:pPr>
    </w:p>
    <w:p w14:paraId="43B9B8FB" w14:textId="77777777" w:rsidR="00C316A6" w:rsidRDefault="00C316A6" w:rsidP="001642F5">
      <w:pPr>
        <w:spacing w:before="30" w:after="30"/>
        <w:rPr>
          <w:rFonts w:ascii="Roboto" w:hAnsi="Roboto"/>
          <w:color w:val="000000" w:themeColor="text1"/>
        </w:rPr>
      </w:pPr>
    </w:p>
    <w:p w14:paraId="0B54AF41" w14:textId="77777777" w:rsidR="00C316A6" w:rsidRDefault="00C316A6" w:rsidP="001642F5">
      <w:pPr>
        <w:spacing w:before="30" w:after="30"/>
        <w:rPr>
          <w:rFonts w:ascii="Roboto" w:hAnsi="Roboto"/>
          <w:color w:val="000000" w:themeColor="text1"/>
        </w:rPr>
      </w:pPr>
    </w:p>
    <w:p w14:paraId="409CCFD3" w14:textId="77777777" w:rsidR="00C316A6" w:rsidRDefault="00C316A6" w:rsidP="001642F5">
      <w:pPr>
        <w:spacing w:before="30" w:after="30"/>
        <w:rPr>
          <w:rFonts w:ascii="Roboto" w:hAnsi="Roboto"/>
          <w:color w:val="000000" w:themeColor="text1"/>
        </w:rPr>
      </w:pPr>
    </w:p>
    <w:p w14:paraId="039EA2BF" w14:textId="77777777" w:rsidR="00C316A6" w:rsidRDefault="00C316A6" w:rsidP="001642F5">
      <w:pPr>
        <w:spacing w:before="30" w:after="30"/>
        <w:rPr>
          <w:rFonts w:ascii="Roboto" w:hAnsi="Roboto"/>
          <w:color w:val="000000" w:themeColor="text1"/>
        </w:rPr>
      </w:pPr>
    </w:p>
    <w:p w14:paraId="6BC68B83" w14:textId="77777777" w:rsidR="00C316A6" w:rsidRDefault="00C316A6" w:rsidP="001642F5">
      <w:pPr>
        <w:spacing w:before="30" w:after="30"/>
        <w:rPr>
          <w:rFonts w:ascii="Roboto" w:hAnsi="Roboto"/>
          <w:color w:val="000000" w:themeColor="text1"/>
        </w:rPr>
      </w:pPr>
    </w:p>
    <w:p w14:paraId="31D91242" w14:textId="77777777" w:rsidR="00C316A6" w:rsidRDefault="00C316A6" w:rsidP="001642F5">
      <w:pPr>
        <w:spacing w:before="30" w:after="30"/>
        <w:rPr>
          <w:rFonts w:ascii="Roboto" w:hAnsi="Roboto"/>
          <w:color w:val="000000" w:themeColor="text1"/>
        </w:rPr>
      </w:pPr>
    </w:p>
    <w:p w14:paraId="26330EBB" w14:textId="77777777" w:rsidR="00C316A6" w:rsidRDefault="00C316A6" w:rsidP="001642F5">
      <w:pPr>
        <w:spacing w:before="30" w:after="30"/>
        <w:rPr>
          <w:rFonts w:ascii="Roboto" w:hAnsi="Roboto"/>
          <w:color w:val="000000" w:themeColor="text1"/>
        </w:rPr>
      </w:pPr>
    </w:p>
    <w:p w14:paraId="26597A5A" w14:textId="77777777" w:rsidR="00C316A6" w:rsidRDefault="00C316A6" w:rsidP="001642F5">
      <w:pPr>
        <w:spacing w:before="30" w:after="30"/>
        <w:rPr>
          <w:rFonts w:ascii="Roboto" w:hAnsi="Roboto"/>
          <w:color w:val="000000" w:themeColor="text1"/>
        </w:rPr>
      </w:pPr>
    </w:p>
    <w:p w14:paraId="0B95FACB" w14:textId="77777777" w:rsidR="00C316A6" w:rsidRDefault="00C316A6" w:rsidP="001642F5">
      <w:pPr>
        <w:spacing w:before="30" w:after="30"/>
        <w:rPr>
          <w:rFonts w:ascii="Roboto" w:hAnsi="Roboto"/>
          <w:color w:val="000000" w:themeColor="text1"/>
        </w:rPr>
      </w:pPr>
    </w:p>
    <w:p w14:paraId="38EC2689" w14:textId="77777777" w:rsidR="00C316A6" w:rsidRDefault="00C316A6" w:rsidP="001642F5">
      <w:pPr>
        <w:spacing w:before="30" w:after="30"/>
        <w:rPr>
          <w:rFonts w:ascii="Roboto" w:hAnsi="Roboto"/>
          <w:color w:val="000000" w:themeColor="text1"/>
        </w:rPr>
      </w:pPr>
    </w:p>
    <w:p w14:paraId="4BFA5E2D" w14:textId="77777777" w:rsidR="00C316A6" w:rsidRDefault="00C316A6" w:rsidP="001642F5">
      <w:pPr>
        <w:spacing w:before="30" w:after="30"/>
        <w:rPr>
          <w:rFonts w:ascii="Roboto" w:hAnsi="Roboto"/>
          <w:color w:val="000000" w:themeColor="text1"/>
        </w:rPr>
      </w:pPr>
    </w:p>
    <w:p w14:paraId="7882E2B6" w14:textId="77777777" w:rsidR="00C316A6" w:rsidRDefault="00C316A6" w:rsidP="001642F5">
      <w:pPr>
        <w:spacing w:before="30" w:after="30"/>
        <w:rPr>
          <w:rFonts w:ascii="Roboto" w:hAnsi="Roboto"/>
          <w:color w:val="000000" w:themeColor="text1"/>
        </w:rPr>
      </w:pPr>
    </w:p>
    <w:p w14:paraId="52376A77" w14:textId="77777777" w:rsidR="00C316A6" w:rsidRDefault="00C316A6" w:rsidP="001642F5">
      <w:pPr>
        <w:spacing w:before="30" w:after="30"/>
        <w:rPr>
          <w:rFonts w:ascii="Roboto" w:hAnsi="Roboto"/>
          <w:color w:val="000000" w:themeColor="text1"/>
        </w:rPr>
      </w:pPr>
    </w:p>
    <w:p w14:paraId="0FE4F1DC" w14:textId="77777777" w:rsidR="00C316A6" w:rsidRDefault="00C316A6" w:rsidP="001642F5">
      <w:pPr>
        <w:spacing w:before="30" w:after="30"/>
        <w:rPr>
          <w:rFonts w:ascii="Roboto" w:hAnsi="Roboto"/>
          <w:color w:val="000000" w:themeColor="text1"/>
        </w:rPr>
      </w:pPr>
    </w:p>
    <w:p w14:paraId="14C8AFF1" w14:textId="77777777" w:rsidR="00C316A6" w:rsidRDefault="00C316A6" w:rsidP="001642F5">
      <w:pPr>
        <w:spacing w:before="30" w:after="30"/>
        <w:rPr>
          <w:rFonts w:ascii="Roboto" w:hAnsi="Roboto"/>
          <w:color w:val="000000" w:themeColor="text1"/>
        </w:rPr>
      </w:pPr>
    </w:p>
    <w:p w14:paraId="471B4C23" w14:textId="77777777" w:rsidR="00C316A6" w:rsidRDefault="00C316A6" w:rsidP="001642F5">
      <w:pPr>
        <w:spacing w:before="30" w:after="30"/>
        <w:rPr>
          <w:rFonts w:ascii="Roboto" w:hAnsi="Roboto"/>
          <w:color w:val="000000" w:themeColor="text1"/>
        </w:rPr>
      </w:pPr>
    </w:p>
    <w:p w14:paraId="4F794123" w14:textId="77777777" w:rsidR="00C316A6" w:rsidRDefault="00C316A6" w:rsidP="001642F5">
      <w:pPr>
        <w:spacing w:before="30" w:after="30"/>
        <w:rPr>
          <w:rFonts w:ascii="Roboto" w:hAnsi="Roboto"/>
          <w:color w:val="000000" w:themeColor="text1"/>
        </w:rPr>
      </w:pPr>
    </w:p>
    <w:p w14:paraId="0BAC4C4B" w14:textId="77777777" w:rsidR="00C316A6" w:rsidRDefault="00C316A6" w:rsidP="001642F5">
      <w:pPr>
        <w:spacing w:before="30" w:after="30"/>
        <w:rPr>
          <w:rFonts w:ascii="Roboto" w:hAnsi="Roboto"/>
          <w:color w:val="000000" w:themeColor="text1"/>
        </w:rPr>
      </w:pPr>
    </w:p>
    <w:p w14:paraId="151D4D04" w14:textId="77777777" w:rsidR="00C316A6" w:rsidRDefault="00C316A6" w:rsidP="001642F5">
      <w:pPr>
        <w:spacing w:before="30" w:after="30"/>
        <w:rPr>
          <w:rFonts w:ascii="Roboto" w:hAnsi="Roboto"/>
          <w:color w:val="000000" w:themeColor="text1"/>
        </w:rPr>
      </w:pPr>
    </w:p>
    <w:p w14:paraId="1412EB83" w14:textId="77777777" w:rsidR="00C316A6" w:rsidRDefault="00C316A6" w:rsidP="001642F5">
      <w:pPr>
        <w:spacing w:before="30" w:after="30"/>
        <w:rPr>
          <w:rFonts w:ascii="Roboto" w:hAnsi="Roboto"/>
          <w:color w:val="000000" w:themeColor="text1"/>
        </w:rPr>
      </w:pPr>
    </w:p>
    <w:p w14:paraId="521BFDF8" w14:textId="77777777" w:rsidR="00C316A6" w:rsidRDefault="00C316A6" w:rsidP="001642F5">
      <w:pPr>
        <w:spacing w:before="30" w:after="30"/>
        <w:rPr>
          <w:rFonts w:ascii="Roboto" w:hAnsi="Roboto"/>
          <w:color w:val="000000" w:themeColor="text1"/>
        </w:rPr>
      </w:pPr>
    </w:p>
    <w:p w14:paraId="1A061539" w14:textId="3426CCD0" w:rsidR="00D654DE" w:rsidRDefault="004E76D6" w:rsidP="00D654DE">
      <w:pPr>
        <w:spacing w:before="240"/>
        <w:jc w:val="center"/>
        <w:rPr>
          <w:rFonts w:ascii="Roboto" w:eastAsia="Roboto" w:hAnsi="Roboto" w:cs="Roboto"/>
          <w:b/>
          <w:bCs/>
          <w:color w:val="FF0000"/>
        </w:rPr>
      </w:pPr>
      <w:r>
        <w:rPr>
          <w:rFonts w:ascii="Roboto" w:eastAsia="Roboto" w:hAnsi="Roboto" w:cs="Roboto"/>
          <w:b/>
          <w:bCs/>
          <w:color w:val="FF0000"/>
        </w:rPr>
        <w:lastRenderedPageBreak/>
        <w:t>D</w:t>
      </w:r>
      <w:r w:rsidR="00D654DE">
        <w:rPr>
          <w:rFonts w:ascii="Roboto" w:eastAsia="Roboto" w:hAnsi="Roboto" w:cs="Roboto"/>
          <w:b/>
          <w:bCs/>
          <w:color w:val="FF0000"/>
        </w:rPr>
        <w:t>eclaración de originalidad y autorización de publicación</w:t>
      </w:r>
    </w:p>
    <w:p w14:paraId="7668F7E8" w14:textId="77777777" w:rsidR="00D654DE" w:rsidRDefault="00D654DE" w:rsidP="00D654DE">
      <w:pPr>
        <w:spacing w:before="240"/>
        <w:jc w:val="center"/>
        <w:rPr>
          <w:rFonts w:ascii="Roboto" w:eastAsia="Roboto" w:hAnsi="Roboto" w:cs="Roboto"/>
          <w:b/>
          <w:bCs/>
        </w:rPr>
      </w:pPr>
      <w:r>
        <w:rPr>
          <w:rFonts w:ascii="Roboto" w:eastAsia="Roboto" w:hAnsi="Roboto" w:cs="Roboto"/>
          <w:b/>
          <w:bCs/>
        </w:rPr>
        <w:t>III Encuentro de Investigadores de la Red Internacional de Universidades Regnum Christi (RIU)</w:t>
      </w:r>
    </w:p>
    <w:p w14:paraId="33FB7512" w14:textId="77777777" w:rsidR="00D654DE" w:rsidRDefault="00D654DE" w:rsidP="00D654DE">
      <w:pPr>
        <w:spacing w:before="240" w:after="240"/>
        <w:jc w:val="both"/>
        <w:rPr>
          <w:rFonts w:ascii="Roboto" w:eastAsia="Roboto" w:hAnsi="Roboto" w:cs="Roboto"/>
        </w:rPr>
      </w:pPr>
      <w:r>
        <w:rPr>
          <w:rFonts w:ascii="Roboto" w:eastAsia="Roboto" w:hAnsi="Roboto" w:cs="Roboto"/>
        </w:rPr>
        <w:t xml:space="preserve">Al enviar el presente resumen para su inclusión en las </w:t>
      </w:r>
      <w:r>
        <w:rPr>
          <w:rFonts w:ascii="Roboto" w:eastAsia="Roboto" w:hAnsi="Roboto" w:cs="Roboto"/>
          <w:b/>
          <w:bCs/>
        </w:rPr>
        <w:t>Memorias del III Encuentro de Investigadores de la Red Internacional de Universidades Regnum Christi (RIU)</w:t>
      </w:r>
      <w:r>
        <w:rPr>
          <w:rFonts w:ascii="Roboto" w:eastAsia="Roboto" w:hAnsi="Roboto" w:cs="Roboto"/>
        </w:rPr>
        <w:t>, los autores declaran y aceptan lo siguiente:</w:t>
      </w:r>
    </w:p>
    <w:p w14:paraId="50C6FBB2" w14:textId="77777777" w:rsidR="00D654DE" w:rsidRDefault="00D654DE" w:rsidP="00D654DE">
      <w:pPr>
        <w:spacing w:before="240" w:after="240"/>
        <w:jc w:val="both"/>
        <w:rPr>
          <w:rFonts w:ascii="Roboto" w:eastAsia="Roboto" w:hAnsi="Roboto" w:cs="Roboto"/>
          <w:b/>
          <w:bCs/>
        </w:rPr>
      </w:pPr>
      <w:r>
        <w:rPr>
          <w:rFonts w:ascii="Roboto" w:eastAsia="Roboto" w:hAnsi="Roboto" w:cs="Roboto"/>
          <w:b/>
          <w:bCs/>
        </w:rPr>
        <w:t>1. Declaración de originalidad</w:t>
      </w:r>
    </w:p>
    <w:p w14:paraId="7CB2B26D" w14:textId="77777777" w:rsidR="00D654DE" w:rsidRDefault="00D654DE" w:rsidP="00D654DE">
      <w:pPr>
        <w:spacing w:before="240" w:after="240"/>
        <w:jc w:val="both"/>
        <w:rPr>
          <w:rFonts w:ascii="Roboto" w:eastAsia="Roboto" w:hAnsi="Roboto" w:cs="Roboto"/>
        </w:rPr>
      </w:pPr>
      <w:r>
        <w:rPr>
          <w:rFonts w:ascii="Roboto" w:eastAsia="Roboto" w:hAnsi="Roboto" w:cs="Roboto"/>
        </w:rPr>
        <w:t xml:space="preserve">Los autores declaran que el trabajo presentado es </w:t>
      </w:r>
      <w:r>
        <w:rPr>
          <w:rFonts w:ascii="Roboto" w:eastAsia="Roboto" w:hAnsi="Roboto" w:cs="Roboto"/>
          <w:b/>
          <w:bCs/>
        </w:rPr>
        <w:t>original</w:t>
      </w:r>
      <w:r>
        <w:rPr>
          <w:rFonts w:ascii="Roboto" w:eastAsia="Roboto" w:hAnsi="Roboto" w:cs="Roboto"/>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6E740CD6" w14:textId="77777777" w:rsidR="00D654DE" w:rsidRDefault="00D654DE" w:rsidP="00D654DE">
      <w:pPr>
        <w:spacing w:before="240" w:after="240"/>
        <w:jc w:val="both"/>
        <w:rPr>
          <w:rFonts w:ascii="Roboto" w:eastAsia="Roboto" w:hAnsi="Roboto" w:cs="Roboto"/>
          <w:b/>
          <w:bCs/>
        </w:rPr>
      </w:pPr>
      <w:r>
        <w:rPr>
          <w:rFonts w:ascii="Roboto" w:eastAsia="Roboto" w:hAnsi="Roboto" w:cs="Roboto"/>
          <w:b/>
          <w:bCs/>
        </w:rPr>
        <w:t>2. Titularidad de los derechos</w:t>
      </w:r>
    </w:p>
    <w:p w14:paraId="751D56B7" w14:textId="77777777" w:rsidR="00D654DE" w:rsidRDefault="00D654DE" w:rsidP="00D654DE">
      <w:pPr>
        <w:spacing w:before="240" w:after="240"/>
        <w:jc w:val="both"/>
        <w:rPr>
          <w:rFonts w:ascii="Roboto" w:eastAsia="Roboto" w:hAnsi="Roboto" w:cs="Roboto"/>
        </w:rPr>
      </w:pPr>
      <w:r>
        <w:rPr>
          <w:rFonts w:ascii="Roboto" w:eastAsia="Roboto" w:hAnsi="Roboto" w:cs="Roboto"/>
        </w:rPr>
        <w:t xml:space="preserve">Los autores </w:t>
      </w:r>
      <w:r>
        <w:rPr>
          <w:rFonts w:ascii="Roboto" w:eastAsia="Roboto" w:hAnsi="Roboto" w:cs="Roboto"/>
          <w:b/>
          <w:bCs/>
        </w:rPr>
        <w:t>conservan la titularidad de los derechos de autor y de propiedad intelectual</w:t>
      </w:r>
      <w:r>
        <w:rPr>
          <w:rFonts w:ascii="Roboto" w:eastAsia="Roboto" w:hAnsi="Roboto" w:cs="Roboto"/>
        </w:rPr>
        <w:t xml:space="preserve"> sobre el contenido del resumen y sobre la investigación descrita en el mismo. La aceptación de esta declaración </w:t>
      </w:r>
      <w:r>
        <w:rPr>
          <w:rFonts w:ascii="Roboto" w:eastAsia="Roboto" w:hAnsi="Roboto" w:cs="Roboto"/>
          <w:b/>
          <w:bCs/>
        </w:rPr>
        <w:t>no implica transferencia de derechos patrimoniales</w:t>
      </w:r>
      <w:r>
        <w:rPr>
          <w:rFonts w:ascii="Roboto" w:eastAsia="Roboto" w:hAnsi="Roboto" w:cs="Roboto"/>
        </w:rPr>
        <w:t xml:space="preserve"> al organizador del congreso ni al sello editorial responsable de la publicación.</w:t>
      </w:r>
    </w:p>
    <w:p w14:paraId="019496C2" w14:textId="77777777" w:rsidR="00D654DE" w:rsidRDefault="00D654DE" w:rsidP="00D654DE">
      <w:pPr>
        <w:spacing w:before="240" w:after="240"/>
        <w:jc w:val="both"/>
        <w:rPr>
          <w:rFonts w:ascii="Roboto" w:eastAsia="Roboto" w:hAnsi="Roboto" w:cs="Roboto"/>
          <w:b/>
          <w:bCs/>
        </w:rPr>
      </w:pPr>
      <w:r>
        <w:rPr>
          <w:rFonts w:ascii="Roboto" w:eastAsia="Roboto" w:hAnsi="Roboto" w:cs="Roboto"/>
          <w:b/>
          <w:bCs/>
        </w:rPr>
        <w:t>3. Licencia de publicación</w:t>
      </w:r>
    </w:p>
    <w:p w14:paraId="3C682FB9" w14:textId="77777777" w:rsidR="00D654DE" w:rsidRDefault="00D654DE" w:rsidP="00D654DE">
      <w:pPr>
        <w:spacing w:before="240" w:after="240"/>
        <w:jc w:val="both"/>
        <w:rPr>
          <w:rFonts w:ascii="Roboto" w:eastAsia="Roboto" w:hAnsi="Roboto" w:cs="Roboto"/>
        </w:rPr>
      </w:pPr>
      <w:r>
        <w:rPr>
          <w:rFonts w:ascii="Roboto" w:eastAsia="Roboto" w:hAnsi="Roboto" w:cs="Roboto"/>
        </w:rPr>
        <w:t xml:space="preserve">Los autores conceden al </w:t>
      </w:r>
      <w:r>
        <w:rPr>
          <w:rFonts w:ascii="Roboto" w:eastAsia="Roboto" w:hAnsi="Roboto" w:cs="Roboto"/>
          <w:b/>
          <w:bCs/>
        </w:rPr>
        <w:t>Sello Editorial de la Universidad Anáhuac Mayab</w:t>
      </w:r>
      <w:r>
        <w:rPr>
          <w:rFonts w:ascii="Roboto" w:eastAsia="Roboto" w:hAnsi="Roboto" w:cs="Roboto"/>
        </w:rPr>
        <w:t xml:space="preserve">, en su carácter de responsable de la edición de las memorias del evento, una </w:t>
      </w:r>
      <w:r>
        <w:rPr>
          <w:rFonts w:ascii="Roboto" w:eastAsia="Roboto" w:hAnsi="Roboto" w:cs="Roboto"/>
          <w:b/>
          <w:bCs/>
        </w:rPr>
        <w:t>licencia no exclusiva, gratuita y por tiempo indefinido</w:t>
      </w:r>
      <w:r>
        <w:rPr>
          <w:rFonts w:ascii="Roboto" w:eastAsia="Roboto" w:hAnsi="Roboto" w:cs="Roboto"/>
        </w:rPr>
        <w:t xml:space="preserve"> para:</w:t>
      </w:r>
    </w:p>
    <w:p w14:paraId="03FB9C3C" w14:textId="77777777" w:rsidR="00D654DE" w:rsidRDefault="00D654DE" w:rsidP="00D654DE">
      <w:pPr>
        <w:numPr>
          <w:ilvl w:val="0"/>
          <w:numId w:val="2"/>
        </w:numPr>
        <w:jc w:val="both"/>
        <w:rPr>
          <w:rFonts w:ascii="Roboto" w:eastAsia="Roboto" w:hAnsi="Roboto" w:cs="Roboto"/>
        </w:rPr>
      </w:pPr>
      <w:r>
        <w:rPr>
          <w:rFonts w:ascii="Roboto" w:eastAsia="Roboto" w:hAnsi="Roboto" w:cs="Roboto"/>
        </w:rPr>
        <w:t xml:space="preserve">Publicar el resumen como parte de las </w:t>
      </w:r>
      <w:r>
        <w:rPr>
          <w:rFonts w:ascii="Roboto" w:eastAsia="Roboto" w:hAnsi="Roboto" w:cs="Roboto"/>
          <w:b/>
          <w:bCs/>
        </w:rPr>
        <w:t>Memorias del III Encuentro de Investigadores de la RIU</w:t>
      </w:r>
      <w:r>
        <w:rPr>
          <w:rFonts w:ascii="Roboto" w:eastAsia="Roboto" w:hAnsi="Roboto" w:cs="Roboto"/>
        </w:rPr>
        <w:t>.</w:t>
      </w:r>
    </w:p>
    <w:p w14:paraId="66A5686F" w14:textId="77777777" w:rsidR="00D654DE" w:rsidRDefault="00D654DE" w:rsidP="00D654DE">
      <w:pPr>
        <w:numPr>
          <w:ilvl w:val="0"/>
          <w:numId w:val="2"/>
        </w:numPr>
        <w:jc w:val="both"/>
        <w:rPr>
          <w:rFonts w:ascii="Roboto" w:eastAsia="Roboto" w:hAnsi="Roboto" w:cs="Roboto"/>
        </w:rPr>
      </w:pPr>
      <w:r>
        <w:rPr>
          <w:rFonts w:ascii="Roboto" w:eastAsia="Roboto" w:hAnsi="Roboto" w:cs="Roboto"/>
        </w:rPr>
        <w:t xml:space="preserve">Realizar las adaptaciones editoriales necesarias para su </w:t>
      </w:r>
      <w:r>
        <w:rPr>
          <w:rFonts w:ascii="Roboto" w:eastAsia="Roboto" w:hAnsi="Roboto" w:cs="Roboto"/>
          <w:b/>
          <w:bCs/>
        </w:rPr>
        <w:t>corrección de estilo, maquetación y edición</w:t>
      </w:r>
      <w:r>
        <w:rPr>
          <w:rFonts w:ascii="Roboto" w:eastAsia="Roboto" w:hAnsi="Roboto" w:cs="Roboto"/>
        </w:rPr>
        <w:t xml:space="preserve"> dentro del volumen de memorias.</w:t>
      </w:r>
    </w:p>
    <w:p w14:paraId="72A464D4" w14:textId="77777777" w:rsidR="00D654DE" w:rsidRDefault="00D654DE" w:rsidP="00D654DE">
      <w:pPr>
        <w:numPr>
          <w:ilvl w:val="0"/>
          <w:numId w:val="2"/>
        </w:numPr>
        <w:jc w:val="both"/>
        <w:rPr>
          <w:rFonts w:ascii="Roboto" w:eastAsia="Roboto" w:hAnsi="Roboto" w:cs="Roboto"/>
        </w:rPr>
      </w:pPr>
      <w:r>
        <w:rPr>
          <w:rFonts w:ascii="Roboto" w:eastAsia="Roboto" w:hAnsi="Roboto" w:cs="Roboto"/>
        </w:rPr>
        <w:t xml:space="preserve">Reproducir, distribuir y comunicar públicamente el contenido en </w:t>
      </w:r>
      <w:r>
        <w:rPr>
          <w:rFonts w:ascii="Roboto" w:eastAsia="Roboto" w:hAnsi="Roboto" w:cs="Roboto"/>
          <w:b/>
          <w:bCs/>
        </w:rPr>
        <w:t>formatos impresos y digitales</w:t>
      </w:r>
      <w:r>
        <w:rPr>
          <w:rFonts w:ascii="Roboto" w:eastAsia="Roboto" w:hAnsi="Roboto" w:cs="Roboto"/>
        </w:rPr>
        <w:t>.</w:t>
      </w:r>
    </w:p>
    <w:p w14:paraId="27BD188C" w14:textId="77777777" w:rsidR="00D654DE" w:rsidRDefault="00D654DE" w:rsidP="00D654DE">
      <w:pPr>
        <w:numPr>
          <w:ilvl w:val="0"/>
          <w:numId w:val="2"/>
        </w:numPr>
        <w:spacing w:after="240"/>
        <w:jc w:val="both"/>
        <w:rPr>
          <w:rFonts w:ascii="Roboto" w:eastAsia="Roboto" w:hAnsi="Roboto" w:cs="Roboto"/>
        </w:rPr>
      </w:pPr>
      <w:r>
        <w:rPr>
          <w:rFonts w:ascii="Roboto" w:eastAsia="Roboto" w:hAnsi="Roboto" w:cs="Roboto"/>
        </w:rPr>
        <w:t xml:space="preserve">Difundir la obra a través de </w:t>
      </w:r>
      <w:r>
        <w:rPr>
          <w:rFonts w:ascii="Roboto" w:eastAsia="Roboto" w:hAnsi="Roboto" w:cs="Roboto"/>
          <w:b/>
          <w:bCs/>
        </w:rPr>
        <w:t>repositorios institucionales, bibliotecas digitales, plataformas académicas, bases de datos, sitios web institucionales y otros medios de difusión científica</w:t>
      </w:r>
      <w:r>
        <w:rPr>
          <w:rFonts w:ascii="Roboto" w:eastAsia="Roboto" w:hAnsi="Roboto" w:cs="Roboto"/>
        </w:rPr>
        <w:t xml:space="preserve"> vinculados al </w:t>
      </w:r>
      <w:r>
        <w:rPr>
          <w:rFonts w:ascii="Roboto" w:eastAsia="Roboto" w:hAnsi="Roboto" w:cs="Roboto"/>
        </w:rPr>
        <w:t>congreso, a la Universidad Anáhuac Mayab o a la Red Internacional de Universidades Regnum Christi.</w:t>
      </w:r>
    </w:p>
    <w:p w14:paraId="1C636C55" w14:textId="77777777" w:rsidR="00D654DE" w:rsidRDefault="00D654DE" w:rsidP="00D654DE">
      <w:pPr>
        <w:spacing w:before="240" w:after="240"/>
        <w:jc w:val="both"/>
        <w:rPr>
          <w:rFonts w:ascii="Roboto" w:eastAsia="Roboto" w:hAnsi="Roboto" w:cs="Roboto"/>
          <w:b/>
          <w:bCs/>
        </w:rPr>
      </w:pPr>
      <w:r>
        <w:rPr>
          <w:rFonts w:ascii="Roboto" w:eastAsia="Roboto" w:hAnsi="Roboto" w:cs="Roboto"/>
          <w:b/>
          <w:bCs/>
        </w:rPr>
        <w:t>4. Alcance de la autorización</w:t>
      </w:r>
    </w:p>
    <w:p w14:paraId="2D3FB892" w14:textId="77777777" w:rsidR="00D654DE" w:rsidRDefault="00D654DE" w:rsidP="00D654DE">
      <w:pPr>
        <w:spacing w:before="240" w:after="240"/>
        <w:jc w:val="both"/>
        <w:rPr>
          <w:rFonts w:ascii="Roboto" w:eastAsia="Roboto" w:hAnsi="Roboto" w:cs="Roboto"/>
        </w:rPr>
      </w:pPr>
      <w:r>
        <w:rPr>
          <w:rFonts w:ascii="Roboto" w:eastAsia="Roboto" w:hAnsi="Roboto" w:cs="Roboto"/>
        </w:rPr>
        <w:t xml:space="preserve">La presente autorización se limita exclusivamente a la </w:t>
      </w:r>
      <w:r>
        <w:rPr>
          <w:rFonts w:ascii="Roboto" w:eastAsia="Roboto" w:hAnsi="Roboto" w:cs="Roboto"/>
          <w:b/>
          <w:bCs/>
        </w:rPr>
        <w:t>publicación del resumen dentro de las memorias del congreso</w:t>
      </w:r>
      <w:r>
        <w:rPr>
          <w:rFonts w:ascii="Roboto" w:eastAsia="Roboto" w:hAnsi="Roboto" w:cs="Roboto"/>
        </w:rPr>
        <w:t xml:space="preserve"> y no restringe el derecho de los autores a:</w:t>
      </w:r>
    </w:p>
    <w:p w14:paraId="00987BA8" w14:textId="77777777" w:rsidR="00D654DE" w:rsidRDefault="00D654DE" w:rsidP="00D654DE">
      <w:pPr>
        <w:numPr>
          <w:ilvl w:val="0"/>
          <w:numId w:val="3"/>
        </w:numPr>
        <w:jc w:val="both"/>
        <w:rPr>
          <w:rFonts w:ascii="Roboto" w:eastAsia="Roboto" w:hAnsi="Roboto" w:cs="Roboto"/>
        </w:rPr>
      </w:pPr>
      <w:r>
        <w:rPr>
          <w:rFonts w:ascii="Roboto" w:eastAsia="Roboto" w:hAnsi="Roboto" w:cs="Roboto"/>
        </w:rPr>
        <w:t xml:space="preserve">Publicar versiones ampliadas del trabajo en </w:t>
      </w:r>
      <w:r>
        <w:rPr>
          <w:rFonts w:ascii="Roboto" w:eastAsia="Roboto" w:hAnsi="Roboto" w:cs="Roboto"/>
          <w:b/>
          <w:bCs/>
        </w:rPr>
        <w:t>revistas científicas, libros u otros medios académicos</w:t>
      </w:r>
      <w:r>
        <w:rPr>
          <w:rFonts w:ascii="Roboto" w:eastAsia="Roboto" w:hAnsi="Roboto" w:cs="Roboto"/>
        </w:rPr>
        <w:t>.</w:t>
      </w:r>
    </w:p>
    <w:p w14:paraId="74CC7B80" w14:textId="77777777" w:rsidR="00D654DE" w:rsidRDefault="00D654DE" w:rsidP="00D654DE">
      <w:pPr>
        <w:numPr>
          <w:ilvl w:val="0"/>
          <w:numId w:val="3"/>
        </w:numPr>
        <w:jc w:val="both"/>
        <w:rPr>
          <w:rFonts w:ascii="Roboto" w:eastAsia="Roboto" w:hAnsi="Roboto" w:cs="Roboto"/>
        </w:rPr>
      </w:pPr>
      <w:r>
        <w:rPr>
          <w:rFonts w:ascii="Roboto" w:eastAsia="Roboto" w:hAnsi="Roboto" w:cs="Roboto"/>
        </w:rPr>
        <w:t xml:space="preserve">Utilizar el contenido en </w:t>
      </w:r>
      <w:r>
        <w:rPr>
          <w:rFonts w:ascii="Roboto" w:eastAsia="Roboto" w:hAnsi="Roboto" w:cs="Roboto"/>
          <w:b/>
          <w:bCs/>
        </w:rPr>
        <w:t>tesis, proyectos de investigación, reportes técnicos u otras publicaciones académicas</w:t>
      </w:r>
      <w:r>
        <w:rPr>
          <w:rFonts w:ascii="Roboto" w:eastAsia="Roboto" w:hAnsi="Roboto" w:cs="Roboto"/>
        </w:rPr>
        <w:t>.</w:t>
      </w:r>
    </w:p>
    <w:p w14:paraId="63AAC26E" w14:textId="77777777" w:rsidR="00D654DE" w:rsidRDefault="00D654DE" w:rsidP="00D654DE">
      <w:pPr>
        <w:numPr>
          <w:ilvl w:val="0"/>
          <w:numId w:val="3"/>
        </w:numPr>
        <w:spacing w:after="240"/>
        <w:jc w:val="both"/>
        <w:rPr>
          <w:rFonts w:ascii="Roboto" w:eastAsia="Roboto" w:hAnsi="Roboto" w:cs="Roboto"/>
        </w:rPr>
      </w:pPr>
      <w:r>
        <w:rPr>
          <w:rFonts w:ascii="Roboto" w:eastAsia="Roboto" w:hAnsi="Roboto" w:cs="Roboto"/>
        </w:rPr>
        <w:t>Difundir su investigación en otros espacios científicos o de divulgación.</w:t>
      </w:r>
    </w:p>
    <w:p w14:paraId="28F1CEC1" w14:textId="77777777" w:rsidR="00D654DE" w:rsidRDefault="00D654DE" w:rsidP="00D654DE">
      <w:pPr>
        <w:spacing w:before="240" w:after="240"/>
        <w:jc w:val="both"/>
        <w:rPr>
          <w:rFonts w:ascii="Roboto" w:eastAsia="Roboto" w:hAnsi="Roboto" w:cs="Roboto"/>
          <w:b/>
          <w:bCs/>
        </w:rPr>
      </w:pPr>
      <w:r>
        <w:rPr>
          <w:rFonts w:ascii="Roboto" w:eastAsia="Roboto" w:hAnsi="Roboto" w:cs="Roboto"/>
          <w:b/>
          <w:bCs/>
        </w:rPr>
        <w:t>5. Responsabilidad del contenido</w:t>
      </w:r>
    </w:p>
    <w:p w14:paraId="5F957EF4" w14:textId="77777777" w:rsidR="00D654DE" w:rsidRDefault="00D654DE" w:rsidP="00D654DE">
      <w:pPr>
        <w:spacing w:before="240" w:after="240"/>
        <w:jc w:val="both"/>
        <w:rPr>
          <w:rFonts w:ascii="Roboto" w:eastAsia="Roboto" w:hAnsi="Roboto" w:cs="Roboto"/>
        </w:rPr>
      </w:pPr>
      <w:r>
        <w:rPr>
          <w:rFonts w:ascii="Roboto" w:eastAsia="Roboto" w:hAnsi="Roboto" w:cs="Roboto"/>
        </w:rPr>
        <w:t xml:space="preserve">Los autores asumen plena responsabilidad por el contenido del resumen, incluyendo la </w:t>
      </w:r>
      <w:r>
        <w:rPr>
          <w:rFonts w:ascii="Roboto" w:eastAsia="Roboto" w:hAnsi="Roboto" w:cs="Roboto"/>
          <w:b/>
          <w:bCs/>
        </w:rPr>
        <w:t>veracidad de la información presentada, el cumplimiento de normas éticas de investigación y el respeto a derechos de terceros</w:t>
      </w:r>
      <w:r>
        <w:rPr>
          <w:rFonts w:ascii="Roboto" w:eastAsia="Roboto" w:hAnsi="Roboto" w:cs="Roboto"/>
        </w:rPr>
        <w:t>.</w:t>
      </w:r>
    </w:p>
    <w:p w14:paraId="0534435E" w14:textId="77777777" w:rsidR="00D654DE" w:rsidRDefault="00D654DE" w:rsidP="00D654DE">
      <w:pPr>
        <w:spacing w:before="240" w:after="240"/>
        <w:jc w:val="both"/>
        <w:rPr>
          <w:rFonts w:ascii="Roboto" w:eastAsia="Roboto" w:hAnsi="Roboto" w:cs="Roboto"/>
          <w:b/>
          <w:bCs/>
        </w:rPr>
      </w:pPr>
      <w:r>
        <w:rPr>
          <w:rFonts w:ascii="Roboto" w:eastAsia="Roboto" w:hAnsi="Roboto" w:cs="Roboto"/>
          <w:b/>
          <w:bCs/>
        </w:rPr>
        <w:t>6. Aceptación de la declaración</w:t>
      </w:r>
    </w:p>
    <w:p w14:paraId="41090FC4" w14:textId="77777777" w:rsidR="00D654DE" w:rsidRDefault="00D654DE" w:rsidP="00D654DE">
      <w:pPr>
        <w:spacing w:before="240" w:after="240"/>
        <w:jc w:val="both"/>
        <w:rPr>
          <w:rFonts w:ascii="Roboto" w:eastAsia="Roboto" w:hAnsi="Roboto" w:cs="Roboto"/>
        </w:rPr>
      </w:pPr>
      <w:r>
        <w:rPr>
          <w:rFonts w:ascii="Roboto" w:eastAsia="Roboto" w:hAnsi="Roboto" w:cs="Roboto"/>
        </w:rPr>
        <w:t xml:space="preserve">El envío del resumen mediante el sistema o formato oficial del congreso </w:t>
      </w:r>
      <w:r>
        <w:rPr>
          <w:rFonts w:ascii="Roboto" w:eastAsia="Roboto" w:hAnsi="Roboto" w:cs="Roboto"/>
          <w:b/>
          <w:bCs/>
        </w:rPr>
        <w:t>constituye evidencia de que todos los autores conocen y aceptan los términos de la presente declaración y autorización de publicación</w:t>
      </w:r>
      <w:r>
        <w:rPr>
          <w:rFonts w:ascii="Roboto" w:eastAsia="Roboto" w:hAnsi="Roboto" w:cs="Roboto"/>
        </w:rPr>
        <w:t>.</w:t>
      </w:r>
    </w:p>
    <w:p w14:paraId="13AEA8E6" w14:textId="7CFE813E" w:rsidR="00D654DE" w:rsidRDefault="00D654DE" w:rsidP="00D654DE">
      <w:pPr>
        <w:spacing w:before="240" w:after="240"/>
        <w:jc w:val="both"/>
        <w:rPr>
          <w:rFonts w:ascii="Roboto" w:eastAsia="Roboto" w:hAnsi="Roboto" w:cs="Roboto"/>
        </w:rPr>
      </w:pPr>
      <w:r>
        <w:rPr>
          <w:rFonts w:ascii="Roboto" w:eastAsia="Roboto" w:hAnsi="Roboto" w:cs="Roboto"/>
        </w:rPr>
        <w:t>(  X  )  Declaro que he leído y acepto los términos de esta declaración y autorización de publicación.</w:t>
      </w:r>
    </w:p>
    <w:p w14:paraId="2E92391A" w14:textId="2D4A6D02" w:rsidR="00D654DE" w:rsidRPr="000774A4" w:rsidRDefault="00D654DE" w:rsidP="000774A4">
      <w:pPr>
        <w:spacing w:before="240" w:after="240"/>
        <w:jc w:val="both"/>
        <w:rPr>
          <w:rFonts w:ascii="Roboto" w:eastAsia="Roboto" w:hAnsi="Roboto" w:cs="Roboto"/>
        </w:rPr>
      </w:pPr>
      <w:r>
        <w:rPr>
          <w:rFonts w:ascii="Roboto" w:eastAsia="Roboto" w:hAnsi="Roboto" w:cs="Roboto"/>
          <w:b/>
          <w:bCs/>
        </w:rPr>
        <w:t xml:space="preserve">Autor responsable: </w:t>
      </w:r>
      <w:r w:rsidRPr="000774A4">
        <w:rPr>
          <w:rFonts w:ascii="Roboto" w:eastAsia="Roboto" w:hAnsi="Roboto" w:cs="Roboto"/>
        </w:rPr>
        <w:t>Dr. Daniel Vázquez Cotera</w:t>
      </w:r>
      <w:r>
        <w:rPr>
          <w:rFonts w:ascii="Roboto" w:eastAsia="Roboto" w:hAnsi="Roboto" w:cs="Roboto"/>
        </w:rPr>
        <w:t xml:space="preserve"> </w:t>
      </w:r>
      <w:r>
        <w:rPr>
          <w:rFonts w:ascii="Roboto" w:eastAsia="Roboto" w:hAnsi="Roboto" w:cs="Roboto"/>
          <w:b/>
          <w:bCs/>
        </w:rPr>
        <w:t xml:space="preserve">Institución: </w:t>
      </w:r>
      <w:r w:rsidRPr="000774A4">
        <w:rPr>
          <w:rFonts w:ascii="Roboto" w:eastAsia="Roboto" w:hAnsi="Roboto" w:cs="Roboto"/>
        </w:rPr>
        <w:t>Universidad Anáhuac, Veracruz</w:t>
      </w:r>
      <w:r w:rsidRPr="000774A4">
        <w:rPr>
          <w:rFonts w:ascii="Roboto" w:eastAsia="Roboto" w:hAnsi="Roboto" w:cs="Roboto"/>
        </w:rPr>
        <w:br/>
      </w:r>
      <w:r>
        <w:rPr>
          <w:rFonts w:ascii="Roboto" w:eastAsia="Roboto" w:hAnsi="Roboto" w:cs="Roboto"/>
          <w:b/>
          <w:bCs/>
        </w:rPr>
        <w:t>Título del trabajo con autores:</w:t>
      </w:r>
      <w:r w:rsidR="000774A4" w:rsidRPr="000774A4">
        <w:t xml:space="preserve"> </w:t>
      </w:r>
      <w:r w:rsidR="000774A4" w:rsidRPr="000774A4">
        <w:rPr>
          <w:rFonts w:ascii="Roboto" w:eastAsia="Roboto" w:hAnsi="Roboto" w:cs="Roboto"/>
        </w:rPr>
        <w:t>Decodificando el NPS de una universidad privada de México. Vázquez-Cotera D. y Zúñiga-Lobato J.I.</w:t>
      </w:r>
    </w:p>
    <w:p w14:paraId="79CBC9B5" w14:textId="77777777" w:rsidR="00D654DE" w:rsidRPr="00D654DE" w:rsidRDefault="00D654DE" w:rsidP="001642F5">
      <w:pPr>
        <w:spacing w:before="30" w:after="30"/>
        <w:rPr>
          <w:rFonts w:ascii="Roboto" w:hAnsi="Roboto"/>
          <w:color w:val="000000" w:themeColor="text1"/>
        </w:rPr>
      </w:pPr>
    </w:p>
    <w:sectPr w:rsidR="00D654DE" w:rsidRPr="00D654DE" w:rsidSect="006A5D2A">
      <w:type w:val="continuous"/>
      <w:pgSz w:w="11906" w:h="16838"/>
      <w:pgMar w:top="1134" w:right="1134" w:bottom="1134" w:left="1134" w:header="708" w:footer="708"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67F31"/>
    <w:multiLevelType w:val="multilevel"/>
    <w:tmpl w:val="90C429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23648CE"/>
    <w:multiLevelType w:val="hybridMultilevel"/>
    <w:tmpl w:val="CF825A9E"/>
    <w:lvl w:ilvl="0" w:tplc="E1D0ACAA">
      <w:start w:val="1"/>
      <w:numFmt w:val="bullet"/>
      <w:lvlText w:val="●"/>
      <w:lvlJc w:val="left"/>
      <w:pPr>
        <w:ind w:left="720" w:hanging="360"/>
      </w:pPr>
    </w:lvl>
    <w:lvl w:ilvl="1" w:tplc="6706B4A4">
      <w:start w:val="1"/>
      <w:numFmt w:val="bullet"/>
      <w:lvlText w:val="○"/>
      <w:lvlJc w:val="left"/>
      <w:pPr>
        <w:ind w:left="1440" w:hanging="360"/>
      </w:pPr>
    </w:lvl>
    <w:lvl w:ilvl="2" w:tplc="845C2616">
      <w:start w:val="1"/>
      <w:numFmt w:val="bullet"/>
      <w:lvlText w:val="■"/>
      <w:lvlJc w:val="left"/>
      <w:pPr>
        <w:ind w:left="2160" w:hanging="360"/>
      </w:pPr>
    </w:lvl>
    <w:lvl w:ilvl="3" w:tplc="8E0621C0">
      <w:start w:val="1"/>
      <w:numFmt w:val="bullet"/>
      <w:lvlText w:val="●"/>
      <w:lvlJc w:val="left"/>
      <w:pPr>
        <w:ind w:left="2880" w:hanging="360"/>
      </w:pPr>
    </w:lvl>
    <w:lvl w:ilvl="4" w:tplc="03A06D24">
      <w:start w:val="1"/>
      <w:numFmt w:val="bullet"/>
      <w:lvlText w:val="○"/>
      <w:lvlJc w:val="left"/>
      <w:pPr>
        <w:ind w:left="3600" w:hanging="360"/>
      </w:pPr>
    </w:lvl>
    <w:lvl w:ilvl="5" w:tplc="9CB0AC06">
      <w:start w:val="1"/>
      <w:numFmt w:val="bullet"/>
      <w:lvlText w:val="■"/>
      <w:lvlJc w:val="left"/>
      <w:pPr>
        <w:ind w:left="4320" w:hanging="360"/>
      </w:pPr>
    </w:lvl>
    <w:lvl w:ilvl="6" w:tplc="F2BCBD98">
      <w:start w:val="1"/>
      <w:numFmt w:val="bullet"/>
      <w:lvlText w:val="●"/>
      <w:lvlJc w:val="left"/>
      <w:pPr>
        <w:ind w:left="5040" w:hanging="360"/>
      </w:pPr>
    </w:lvl>
    <w:lvl w:ilvl="7" w:tplc="E8E08F92">
      <w:start w:val="1"/>
      <w:numFmt w:val="bullet"/>
      <w:lvlText w:val="●"/>
      <w:lvlJc w:val="left"/>
      <w:pPr>
        <w:ind w:left="5760" w:hanging="360"/>
      </w:pPr>
    </w:lvl>
    <w:lvl w:ilvl="8" w:tplc="551A5374">
      <w:start w:val="1"/>
      <w:numFmt w:val="bullet"/>
      <w:lvlText w:val="●"/>
      <w:lvlJc w:val="left"/>
      <w:pPr>
        <w:ind w:left="6480" w:hanging="360"/>
      </w:pPr>
    </w:lvl>
  </w:abstractNum>
  <w:abstractNum w:abstractNumId="2" w15:restartNumberingAfterBreak="0">
    <w:nsid w:val="3FA44195"/>
    <w:multiLevelType w:val="multilevel"/>
    <w:tmpl w:val="564E7C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55073819">
    <w:abstractNumId w:val="1"/>
    <w:lvlOverride w:ilvl="0">
      <w:startOverride w:val="1"/>
    </w:lvlOverride>
  </w:num>
  <w:num w:numId="2" w16cid:durableId="1858737856">
    <w:abstractNumId w:val="0"/>
  </w:num>
  <w:num w:numId="3" w16cid:durableId="6821305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isplayBackgroundShap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397"/>
    <w:rsid w:val="00003D60"/>
    <w:rsid w:val="000774A4"/>
    <w:rsid w:val="001642F5"/>
    <w:rsid w:val="001735B5"/>
    <w:rsid w:val="002B7230"/>
    <w:rsid w:val="004E76D6"/>
    <w:rsid w:val="006A5D2A"/>
    <w:rsid w:val="006B1683"/>
    <w:rsid w:val="00777397"/>
    <w:rsid w:val="007D63FD"/>
    <w:rsid w:val="00813FD0"/>
    <w:rsid w:val="00861F13"/>
    <w:rsid w:val="00942C64"/>
    <w:rsid w:val="00AC19E6"/>
    <w:rsid w:val="00AE52E9"/>
    <w:rsid w:val="00B44F34"/>
    <w:rsid w:val="00C06CBB"/>
    <w:rsid w:val="00C316A6"/>
    <w:rsid w:val="00D351FE"/>
    <w:rsid w:val="00D654DE"/>
    <w:rsid w:val="00DE4D73"/>
    <w:rsid w:val="00EC01A1"/>
    <w:rsid w:val="00ED3FF4"/>
    <w:rsid w:val="00F479ED"/>
    <w:rsid w:val="00F85BA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56BFA"/>
  <w15:docId w15:val="{178E476B-1072-4352-83C2-94F4FDF8AF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uiPriority w:val="9"/>
    <w:qFormat/>
    <w:pPr>
      <w:outlineLvl w:val="0"/>
    </w:pPr>
    <w:rPr>
      <w:color w:val="2E74B5"/>
      <w:sz w:val="32"/>
      <w:szCs w:val="32"/>
    </w:rPr>
  </w:style>
  <w:style w:type="paragraph" w:styleId="Ttulo2">
    <w:name w:val="heading 2"/>
    <w:uiPriority w:val="9"/>
    <w:unhideWhenUsed/>
    <w:qFormat/>
    <w:pPr>
      <w:outlineLvl w:val="1"/>
    </w:pPr>
    <w:rPr>
      <w:color w:val="2E74B5"/>
      <w:sz w:val="26"/>
      <w:szCs w:val="26"/>
    </w:rPr>
  </w:style>
  <w:style w:type="paragraph" w:styleId="Ttulo3">
    <w:name w:val="heading 3"/>
    <w:uiPriority w:val="9"/>
    <w:semiHidden/>
    <w:unhideWhenUsed/>
    <w:qFormat/>
    <w:pPr>
      <w:outlineLvl w:val="2"/>
    </w:pPr>
    <w:rPr>
      <w:color w:val="1F4D78"/>
      <w:sz w:val="24"/>
      <w:szCs w:val="24"/>
    </w:rPr>
  </w:style>
  <w:style w:type="paragraph" w:styleId="Ttulo4">
    <w:name w:val="heading 4"/>
    <w:uiPriority w:val="9"/>
    <w:semiHidden/>
    <w:unhideWhenUsed/>
    <w:qFormat/>
    <w:pPr>
      <w:outlineLvl w:val="3"/>
    </w:pPr>
    <w:rPr>
      <w:i/>
      <w:iCs/>
      <w:color w:val="2E74B5"/>
    </w:rPr>
  </w:style>
  <w:style w:type="paragraph" w:styleId="Ttulo5">
    <w:name w:val="heading 5"/>
    <w:uiPriority w:val="9"/>
    <w:semiHidden/>
    <w:unhideWhenUsed/>
    <w:qFormat/>
    <w:pPr>
      <w:outlineLvl w:val="4"/>
    </w:pPr>
    <w:rPr>
      <w:color w:val="2E74B5"/>
    </w:rPr>
  </w:style>
  <w:style w:type="paragraph" w:styleId="Ttulo6">
    <w:name w:val="heading 6"/>
    <w:uiPriority w:val="9"/>
    <w:semiHidden/>
    <w:unhideWhenUsed/>
    <w:qFormat/>
    <w:pPr>
      <w:outlineLvl w:val="5"/>
    </w:pPr>
    <w:rPr>
      <w:color w:val="1F4D7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uiPriority w:val="10"/>
    <w:qFormat/>
    <w:rPr>
      <w:sz w:val="56"/>
      <w:szCs w:val="56"/>
    </w:rPr>
  </w:style>
  <w:style w:type="paragraph" w:customStyle="1" w:styleId="Fuerte1">
    <w:name w:val="Fuerte1"/>
    <w:qFormat/>
    <w:rPr>
      <w:b/>
      <w:bCs/>
    </w:rPr>
  </w:style>
  <w:style w:type="paragraph" w:styleId="Prrafodelista">
    <w:name w:val="List Paragraph"/>
    <w:qFormat/>
  </w:style>
  <w:style w:type="character" w:styleId="Hipervnculo">
    <w:name w:val="Hyperlink"/>
    <w:uiPriority w:val="99"/>
    <w:unhideWhenUsed/>
    <w:rPr>
      <w:color w:val="0563C1"/>
      <w:u w:val="single"/>
    </w:rPr>
  </w:style>
  <w:style w:type="character" w:styleId="Refdenotaalpie">
    <w:name w:val="footnote reference"/>
    <w:uiPriority w:val="99"/>
    <w:semiHidden/>
    <w:unhideWhenUsed/>
    <w:rPr>
      <w:vertAlign w:val="superscript"/>
    </w:rPr>
  </w:style>
  <w:style w:type="paragraph" w:styleId="Textonotapie">
    <w:name w:val="footnote text"/>
    <w:link w:val="TextonotapieCar"/>
    <w:uiPriority w:val="99"/>
    <w:semiHidden/>
    <w:unhideWhenUsed/>
  </w:style>
  <w:style w:type="character" w:customStyle="1" w:styleId="TextonotapieCar">
    <w:name w:val="Texto nota pie Car"/>
    <w:link w:val="Textonotapie"/>
    <w:uiPriority w:val="99"/>
    <w:semiHidden/>
    <w:unhideWhenUsed/>
    <w:rPr>
      <w:sz w:val="20"/>
      <w:szCs w:val="20"/>
    </w:rPr>
  </w:style>
  <w:style w:type="character" w:styleId="Refdenotaalfinal">
    <w:name w:val="endnote reference"/>
    <w:uiPriority w:val="99"/>
    <w:semiHidden/>
    <w:unhideWhenUsed/>
    <w:rPr>
      <w:vertAlign w:val="superscript"/>
    </w:rPr>
  </w:style>
  <w:style w:type="paragraph" w:styleId="Textonotaalfinal">
    <w:name w:val="endnote text"/>
    <w:link w:val="TextonotaalfinalCar"/>
    <w:uiPriority w:val="99"/>
    <w:semiHidden/>
    <w:unhideWhenUsed/>
  </w:style>
  <w:style w:type="character" w:customStyle="1" w:styleId="TextonotaalfinalCar">
    <w:name w:val="Texto nota al final Car"/>
    <w:link w:val="Textonotaalfinal"/>
    <w:uiPriority w:val="99"/>
    <w:semiHidden/>
    <w:unhideWhenUsed/>
    <w:rPr>
      <w:sz w:val="20"/>
      <w:szCs w:val="20"/>
    </w:rPr>
  </w:style>
  <w:style w:type="character" w:styleId="Mencinsinresolver">
    <w:name w:val="Unresolved Mention"/>
    <w:basedOn w:val="Fuentedeprrafopredeter"/>
    <w:uiPriority w:val="99"/>
    <w:semiHidden/>
    <w:unhideWhenUsed/>
    <w:rsid w:val="004E76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doi.org/10.1300/J050v10n04_01"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orcid.org/0000-0002-2585-3910" TargetMode="External"/><Relationship Id="rId12" Type="http://schemas.openxmlformats.org/officeDocument/2006/relationships/hyperlink" Target="https://doi.org/10.1016/j.bushor.2016.01.00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doi.org/10.1016/j.heliyon.2024.e36699" TargetMode="External"/><Relationship Id="rId5" Type="http://schemas.openxmlformats.org/officeDocument/2006/relationships/hyperlink" Target="https://orcid.org/0009-0007-1680-7369" TargetMode="External"/><Relationship Id="rId10" Type="http://schemas.openxmlformats.org/officeDocument/2006/relationships/hyperlink" Target="https://doi.org/10.53935/2641533x.v8i4.458" TargetMode="External"/><Relationship Id="rId4" Type="http://schemas.openxmlformats.org/officeDocument/2006/relationships/webSettings" Target="webSettings.xml"/><Relationship Id="rId9" Type="http://schemas.openxmlformats.org/officeDocument/2006/relationships/hyperlink" Target="https://doi.org/10.1080/08841241.2021.2018088"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30</TotalTime>
  <Pages>3</Pages>
  <Words>1451</Words>
  <Characters>8984</Characters>
  <Application>Microsoft Office Word</Application>
  <DocSecurity>0</DocSecurity>
  <Lines>359</Lines>
  <Paragraphs>104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Daniel Vázquez Cotera</cp:lastModifiedBy>
  <cp:revision>13</cp:revision>
  <dcterms:created xsi:type="dcterms:W3CDTF">2026-03-12T16:34:00Z</dcterms:created>
  <dcterms:modified xsi:type="dcterms:W3CDTF">2026-03-13T15:58:00Z</dcterms:modified>
</cp:coreProperties>
</file>