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1C8069" w14:textId="46A31D68" w:rsidR="00034A68" w:rsidRDefault="00BB628B">
      <w:pPr>
        <w:pBdr>
          <w:top w:val="nil"/>
          <w:left w:val="nil"/>
          <w:bottom w:val="nil"/>
          <w:right w:val="nil"/>
          <w:between w:val="nil"/>
        </w:pBdr>
        <w:spacing w:before="120" w:after="120"/>
        <w:jc w:val="center"/>
        <w:rPr>
          <w:rFonts w:ascii="Roboto" w:eastAsia="Roboto" w:hAnsi="Roboto" w:cs="Roboto"/>
          <w:b/>
          <w:color w:val="000000"/>
        </w:rPr>
      </w:pPr>
      <w:r>
        <w:rPr>
          <w:rFonts w:ascii="Roboto" w:eastAsia="Roboto" w:hAnsi="Roboto" w:cs="Roboto"/>
          <w:b/>
          <w:color w:val="000000"/>
        </w:rPr>
        <w:t>EUTANASIA: ¿DERECHO A MORIR? REVISIÓN CRÍTICA DESDE UN PUNTO DE VISTA ANTROPOLÓGICO</w:t>
      </w:r>
    </w:p>
    <w:p w14:paraId="4E77068C" w14:textId="1A2E7F22" w:rsidR="00034A68" w:rsidRDefault="00BB628B">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Castañón Álvarez MªJosé</w:t>
      </w:r>
    </w:p>
    <w:p w14:paraId="65DD153F" w14:textId="730412C6" w:rsidR="00BB628B" w:rsidRDefault="00BB628B">
      <w:pPr>
        <w:pBdr>
          <w:top w:val="nil"/>
          <w:left w:val="nil"/>
          <w:bottom w:val="nil"/>
          <w:right w:val="nil"/>
          <w:between w:val="nil"/>
        </w:pBdr>
        <w:spacing w:before="120" w:after="120"/>
        <w:jc w:val="center"/>
        <w:rPr>
          <w:rFonts w:ascii="Roboto" w:eastAsia="Roboto" w:hAnsi="Roboto" w:cs="Roboto"/>
          <w:b/>
          <w:color w:val="000000"/>
          <w:sz w:val="20"/>
          <w:szCs w:val="20"/>
        </w:rPr>
      </w:pPr>
      <w:hyperlink r:id="rId7" w:history="1">
        <w:r w:rsidRPr="00426B9F">
          <w:rPr>
            <w:rStyle w:val="Hipervnculo"/>
            <w:rFonts w:ascii="Roboto" w:eastAsia="Roboto" w:hAnsi="Roboto" w:cs="Roboto"/>
            <w:b/>
            <w:sz w:val="20"/>
            <w:szCs w:val="20"/>
          </w:rPr>
          <w:t>https://orcid.org/0000-0001-5179-3352</w:t>
        </w:r>
      </w:hyperlink>
    </w:p>
    <w:p w14:paraId="5868B2DE" w14:textId="23892A48" w:rsidR="00BB628B" w:rsidRDefault="00BB628B">
      <w:pPr>
        <w:pBdr>
          <w:top w:val="nil"/>
          <w:left w:val="nil"/>
          <w:bottom w:val="nil"/>
          <w:right w:val="nil"/>
          <w:between w:val="nil"/>
        </w:pBdr>
        <w:spacing w:before="120" w:after="120"/>
        <w:jc w:val="center"/>
        <w:rPr>
          <w:rFonts w:ascii="Roboto" w:eastAsia="Roboto" w:hAnsi="Roboto" w:cs="Roboto"/>
          <w:b/>
          <w:color w:val="000000"/>
          <w:sz w:val="20"/>
          <w:szCs w:val="20"/>
        </w:rPr>
      </w:pPr>
      <w:hyperlink r:id="rId8" w:history="1">
        <w:r w:rsidRPr="00426B9F">
          <w:rPr>
            <w:rStyle w:val="Hipervnculo"/>
            <w:rFonts w:ascii="Roboto" w:eastAsia="Roboto" w:hAnsi="Roboto" w:cs="Roboto"/>
            <w:b/>
            <w:sz w:val="20"/>
            <w:szCs w:val="20"/>
          </w:rPr>
          <w:t>mj.castanon.prof@ufv.es</w:t>
        </w:r>
      </w:hyperlink>
    </w:p>
    <w:p w14:paraId="0EFD8D4B" w14:textId="77777777" w:rsidR="00BB628B" w:rsidRDefault="00BB628B">
      <w:pPr>
        <w:pBdr>
          <w:top w:val="nil"/>
          <w:left w:val="nil"/>
          <w:bottom w:val="nil"/>
          <w:right w:val="nil"/>
          <w:between w:val="nil"/>
        </w:pBdr>
        <w:spacing w:before="120" w:after="120"/>
        <w:jc w:val="center"/>
        <w:rPr>
          <w:rFonts w:ascii="Roboto" w:eastAsia="Roboto" w:hAnsi="Roboto" w:cs="Roboto"/>
          <w:b/>
          <w:color w:val="000000"/>
          <w:sz w:val="20"/>
          <w:szCs w:val="20"/>
        </w:rPr>
      </w:pPr>
    </w:p>
    <w:p w14:paraId="595CC85E" w14:textId="77777777" w:rsidR="00034A68" w:rsidRDefault="00034A68">
      <w:pPr>
        <w:spacing w:before="60"/>
        <w:jc w:val="center"/>
        <w:rPr>
          <w:rFonts w:ascii="Noto Sans" w:hAnsi="Noto Sans" w:cs="Noto Sans"/>
          <w:color w:val="FFFFFF"/>
          <w:lang w:val="es-ES"/>
        </w:rPr>
      </w:pPr>
    </w:p>
    <w:p w14:paraId="21785792" w14:textId="034EED25" w:rsidR="00BB628B" w:rsidRDefault="00BB628B">
      <w:pPr>
        <w:spacing w:before="60"/>
        <w:jc w:val="center"/>
        <w:rPr>
          <w:rFonts w:ascii="Roboto" w:eastAsia="Roboto" w:hAnsi="Roboto" w:cs="Roboto"/>
          <w:sz w:val="18"/>
          <w:szCs w:val="18"/>
        </w:rPr>
        <w:sectPr w:rsidR="00BB628B">
          <w:headerReference w:type="default" r:id="rId9"/>
          <w:pgSz w:w="11906" w:h="16838"/>
          <w:pgMar w:top="851" w:right="851" w:bottom="828" w:left="851" w:header="357" w:footer="720" w:gutter="0"/>
          <w:pgNumType w:start="1"/>
          <w:cols w:space="720"/>
        </w:sectPr>
      </w:pPr>
    </w:p>
    <w:p w14:paraId="262D7AC2" w14:textId="68FF86E3" w:rsidR="00A54A5A" w:rsidRDefault="009C4438">
      <w:pPr>
        <w:jc w:val="both"/>
        <w:rPr>
          <w:rFonts w:ascii="Roboto" w:eastAsia="Roboto" w:hAnsi="Roboto" w:cs="Roboto"/>
        </w:rPr>
      </w:pPr>
      <w:r>
        <w:rPr>
          <w:rFonts w:ascii="Roboto" w:eastAsia="Roboto" w:hAnsi="Roboto" w:cs="Roboto"/>
        </w:rPr>
        <w:t>Con esta investigación se pretende</w:t>
      </w:r>
      <w:r w:rsidRPr="009C4438">
        <w:rPr>
          <w:rFonts w:ascii="Roboto" w:eastAsia="Roboto" w:hAnsi="Roboto" w:cs="Roboto"/>
        </w:rPr>
        <w:t xml:space="preserve"> </w:t>
      </w:r>
      <w:r>
        <w:rPr>
          <w:rFonts w:ascii="Roboto" w:eastAsia="Roboto" w:hAnsi="Roboto" w:cs="Roboto"/>
        </w:rPr>
        <w:t>hacer</w:t>
      </w:r>
      <w:r w:rsidRPr="009C4438">
        <w:rPr>
          <w:rFonts w:ascii="Roboto" w:eastAsia="Roboto" w:hAnsi="Roboto" w:cs="Roboto"/>
        </w:rPr>
        <w:t xml:space="preserve"> una revisión crítica, desde un punto de vista antropológico, de la</w:t>
      </w:r>
      <w:r>
        <w:rPr>
          <w:rFonts w:ascii="Roboto" w:eastAsia="Roboto" w:hAnsi="Roboto" w:cs="Roboto"/>
        </w:rPr>
        <w:t xml:space="preserve"> eutanasia o derecho a la muerte.</w:t>
      </w:r>
      <w:r w:rsidR="00A54A5A">
        <w:rPr>
          <w:rFonts w:ascii="Roboto" w:eastAsia="Roboto" w:hAnsi="Roboto" w:cs="Roboto"/>
        </w:rPr>
        <w:t xml:space="preserve"> </w:t>
      </w:r>
      <w:r w:rsidR="00A54A5A" w:rsidRPr="009C4438">
        <w:rPr>
          <w:rFonts w:ascii="Roboto" w:eastAsia="Roboto" w:hAnsi="Roboto" w:cs="Roboto"/>
        </w:rPr>
        <w:t>El término eutanasia tiene varias acepciones y se utiliza de manera muy diversa; procede del griego “</w:t>
      </w:r>
      <w:proofErr w:type="spellStart"/>
      <w:r w:rsidR="00A54A5A" w:rsidRPr="009C4438">
        <w:rPr>
          <w:rFonts w:ascii="Roboto" w:eastAsia="Roboto" w:hAnsi="Roboto" w:cs="Roboto"/>
          <w:i/>
          <w:iCs/>
        </w:rPr>
        <w:t>eu</w:t>
      </w:r>
      <w:proofErr w:type="spellEnd"/>
      <w:r w:rsidR="00A54A5A" w:rsidRPr="009C4438">
        <w:rPr>
          <w:rFonts w:ascii="Roboto" w:eastAsia="Roboto" w:hAnsi="Roboto" w:cs="Roboto"/>
        </w:rPr>
        <w:t>”, bueno y “</w:t>
      </w:r>
      <w:proofErr w:type="spellStart"/>
      <w:r w:rsidR="00A54A5A" w:rsidRPr="009C4438">
        <w:rPr>
          <w:rFonts w:ascii="Roboto" w:eastAsia="Roboto" w:hAnsi="Roboto" w:cs="Roboto"/>
          <w:i/>
          <w:iCs/>
        </w:rPr>
        <w:t>thanatos</w:t>
      </w:r>
      <w:proofErr w:type="spellEnd"/>
      <w:r w:rsidR="00A54A5A" w:rsidRPr="009C4438">
        <w:rPr>
          <w:rFonts w:ascii="Roboto" w:eastAsia="Roboto" w:hAnsi="Roboto" w:cs="Roboto"/>
        </w:rPr>
        <w:t>” muerte: buena muerte. La utilización del término ha evolucionado</w:t>
      </w:r>
      <w:r w:rsidR="0043204A">
        <w:rPr>
          <w:rFonts w:ascii="Roboto" w:eastAsia="Roboto" w:hAnsi="Roboto" w:cs="Roboto"/>
        </w:rPr>
        <w:t>. A</w:t>
      </w:r>
      <w:r w:rsidR="00A54A5A" w:rsidRPr="009C4438">
        <w:rPr>
          <w:rFonts w:ascii="Roboto" w:eastAsia="Roboto" w:hAnsi="Roboto" w:cs="Roboto"/>
        </w:rPr>
        <w:t xml:space="preserve">ctualmente hace referencia al acto de acabar con la vida de una persona con una enfermedad grave e incurable o con un padecimiento grave, crónico e </w:t>
      </w:r>
      <w:proofErr w:type="spellStart"/>
      <w:r w:rsidR="00A54A5A" w:rsidRPr="009C4438">
        <w:rPr>
          <w:rFonts w:ascii="Roboto" w:eastAsia="Roboto" w:hAnsi="Roboto" w:cs="Roboto"/>
        </w:rPr>
        <w:t>imposibilitante</w:t>
      </w:r>
      <w:proofErr w:type="spellEnd"/>
      <w:r w:rsidR="00A54A5A" w:rsidRPr="009C4438">
        <w:rPr>
          <w:rFonts w:ascii="Roboto" w:eastAsia="Roboto" w:hAnsi="Roboto" w:cs="Roboto"/>
        </w:rPr>
        <w:t xml:space="preserve">, a petición suya, con el fin de minimizar el sufrimiento. Como consecuencia de esta definición se puede llegar a entender que el autor de la muerte actúa por móviles de piedad y de solidaridad con quien sufre la enfermedad.   </w:t>
      </w:r>
    </w:p>
    <w:p w14:paraId="75BD9E2E" w14:textId="204E7E57" w:rsidR="00A54A5A" w:rsidRDefault="00A54A5A">
      <w:pPr>
        <w:jc w:val="both"/>
        <w:rPr>
          <w:rFonts w:ascii="Roboto" w:eastAsia="Roboto" w:hAnsi="Roboto" w:cs="Roboto"/>
        </w:rPr>
      </w:pPr>
      <w:r w:rsidRPr="009C4438">
        <w:rPr>
          <w:rFonts w:ascii="Roboto" w:eastAsia="Roboto" w:hAnsi="Roboto" w:cs="Roboto"/>
        </w:rPr>
        <w:t xml:space="preserve">La regulación de la eutanasia ha sido y será siempre objeto de enorme controversia jurídica, ética, social y política. </w:t>
      </w:r>
      <w:r w:rsidR="009C4438">
        <w:rPr>
          <w:rFonts w:ascii="Roboto" w:eastAsia="Roboto" w:hAnsi="Roboto" w:cs="Roboto"/>
        </w:rPr>
        <w:t>En España</w:t>
      </w:r>
      <w:r w:rsidR="009C4438" w:rsidRPr="009C4438">
        <w:rPr>
          <w:rFonts w:ascii="Roboto" w:eastAsia="Roboto" w:hAnsi="Roboto" w:cs="Roboto"/>
        </w:rPr>
        <w:t xml:space="preserve"> </w:t>
      </w:r>
      <w:r w:rsidR="009C4438">
        <w:rPr>
          <w:rFonts w:ascii="Roboto" w:eastAsia="Roboto" w:hAnsi="Roboto" w:cs="Roboto"/>
        </w:rPr>
        <w:t>h</w:t>
      </w:r>
      <w:r w:rsidR="009C4438" w:rsidRPr="009C4438">
        <w:rPr>
          <w:rFonts w:ascii="Roboto" w:eastAsia="Roboto" w:hAnsi="Roboto" w:cs="Roboto"/>
        </w:rPr>
        <w:t>asta la entrada en vigor de la LO 3/2021,</w:t>
      </w:r>
      <w:r w:rsidR="009C4438">
        <w:rPr>
          <w:rFonts w:ascii="Roboto" w:eastAsia="Roboto" w:hAnsi="Roboto" w:cs="Roboto"/>
        </w:rPr>
        <w:t xml:space="preserve"> de 24 de marzo, de Regulación de la Eutanasia,</w:t>
      </w:r>
      <w:r w:rsidR="009C4438" w:rsidRPr="009C4438">
        <w:rPr>
          <w:rFonts w:ascii="Roboto" w:eastAsia="Roboto" w:hAnsi="Roboto" w:cs="Roboto"/>
        </w:rPr>
        <w:t xml:space="preserve"> el legislador penal castigaba como delito la eutanasia activa y directa</w:t>
      </w:r>
      <w:r w:rsidR="0043204A">
        <w:rPr>
          <w:rFonts w:ascii="Roboto" w:eastAsia="Roboto" w:hAnsi="Roboto" w:cs="Roboto"/>
        </w:rPr>
        <w:t xml:space="preserve">. Se </w:t>
      </w:r>
      <w:r>
        <w:rPr>
          <w:rFonts w:ascii="Roboto" w:eastAsia="Roboto" w:hAnsi="Roboto" w:cs="Roboto"/>
        </w:rPr>
        <w:t>proteg</w:t>
      </w:r>
      <w:r w:rsidR="0043204A">
        <w:rPr>
          <w:rFonts w:ascii="Roboto" w:eastAsia="Roboto" w:hAnsi="Roboto" w:cs="Roboto"/>
        </w:rPr>
        <w:t>ía</w:t>
      </w:r>
      <w:r>
        <w:rPr>
          <w:rFonts w:ascii="Roboto" w:eastAsia="Roboto" w:hAnsi="Roboto" w:cs="Roboto"/>
        </w:rPr>
        <w:t xml:space="preserve"> el derecho fundamental inherente y absoluto a la vida (artículo 15 de la Constitución Española), presupuesto ontológico del resto de derechos y libertades que carecerían de sentido alguno sin la protección de la vida. </w:t>
      </w:r>
      <w:r w:rsidR="009C4438">
        <w:rPr>
          <w:rFonts w:ascii="Roboto" w:eastAsia="Roboto" w:hAnsi="Roboto" w:cs="Roboto"/>
        </w:rPr>
        <w:t xml:space="preserve"> </w:t>
      </w:r>
      <w:r>
        <w:rPr>
          <w:rFonts w:ascii="Roboto" w:eastAsia="Roboto" w:hAnsi="Roboto" w:cs="Roboto"/>
        </w:rPr>
        <w:t>La nueva Ley</w:t>
      </w:r>
      <w:r w:rsidR="009C4438">
        <w:rPr>
          <w:rFonts w:ascii="Roboto" w:eastAsia="Roboto" w:hAnsi="Roboto" w:cs="Roboto"/>
        </w:rPr>
        <w:t xml:space="preserve"> </w:t>
      </w:r>
      <w:proofErr w:type="spellStart"/>
      <w:r w:rsidR="009C4438">
        <w:rPr>
          <w:rFonts w:ascii="Roboto" w:eastAsia="Roboto" w:hAnsi="Roboto" w:cs="Roboto"/>
        </w:rPr>
        <w:t>destipifica</w:t>
      </w:r>
      <w:proofErr w:type="spellEnd"/>
      <w:r w:rsidR="009C4438">
        <w:rPr>
          <w:rFonts w:ascii="Roboto" w:eastAsia="Roboto" w:hAnsi="Roboto" w:cs="Roboto"/>
        </w:rPr>
        <w:t xml:space="preserve"> en determinados supuestos el delito</w:t>
      </w:r>
      <w:r>
        <w:rPr>
          <w:rFonts w:ascii="Roboto" w:eastAsia="Roboto" w:hAnsi="Roboto" w:cs="Roboto"/>
        </w:rPr>
        <w:t xml:space="preserve"> e introduce un nuevo derecho individual (artículo 5): el derecho de toda persona a </w:t>
      </w:r>
      <w:r w:rsidR="0043204A">
        <w:rPr>
          <w:rFonts w:ascii="Roboto" w:eastAsia="Roboto" w:hAnsi="Roboto" w:cs="Roboto"/>
        </w:rPr>
        <w:t>morir; el</w:t>
      </w:r>
      <w:r w:rsidR="009C4438" w:rsidRPr="009C4438">
        <w:rPr>
          <w:rFonts w:ascii="Roboto" w:eastAsia="Roboto" w:hAnsi="Roboto" w:cs="Roboto"/>
        </w:rPr>
        <w:t xml:space="preserve"> derecho a eliminar vidas sin sentido, por el bien, supuestamente, del que lo recibe. </w:t>
      </w:r>
      <w:r>
        <w:rPr>
          <w:rFonts w:ascii="Roboto" w:eastAsia="Roboto" w:hAnsi="Roboto" w:cs="Roboto"/>
        </w:rPr>
        <w:t xml:space="preserve">Ahora bien, </w:t>
      </w:r>
      <w:r w:rsidR="009C4438" w:rsidRPr="009C4438">
        <w:rPr>
          <w:rFonts w:ascii="Roboto" w:eastAsia="Roboto" w:hAnsi="Roboto" w:cs="Roboto"/>
        </w:rPr>
        <w:t>reconocer a toda persona el derecho a morir, a decidir, libre y conscientemente, sobre su propia vida es una apuesta peligrosa</w:t>
      </w:r>
      <w:r w:rsidR="0043204A">
        <w:rPr>
          <w:rFonts w:ascii="Roboto" w:eastAsia="Roboto" w:hAnsi="Roboto" w:cs="Roboto"/>
        </w:rPr>
        <w:t>. C</w:t>
      </w:r>
      <w:r w:rsidR="009C4438" w:rsidRPr="009C4438">
        <w:rPr>
          <w:rFonts w:ascii="Roboto" w:eastAsia="Roboto" w:hAnsi="Roboto" w:cs="Roboto"/>
        </w:rPr>
        <w:t xml:space="preserve">onstitucionalmente, el derecho a la vida es un derecho indisponible plenamente por parte de su titular: nadie está legitimado para autorizar a otro que acabe con su vida; de hecho, el </w:t>
      </w:r>
      <w:r w:rsidR="009C4438" w:rsidRPr="009C4438">
        <w:rPr>
          <w:rFonts w:ascii="Roboto" w:eastAsia="Roboto" w:hAnsi="Roboto" w:cs="Roboto"/>
        </w:rPr>
        <w:t>Código Penal</w:t>
      </w:r>
      <w:r>
        <w:rPr>
          <w:rFonts w:ascii="Roboto" w:eastAsia="Roboto" w:hAnsi="Roboto" w:cs="Roboto"/>
        </w:rPr>
        <w:t xml:space="preserve"> español</w:t>
      </w:r>
      <w:r w:rsidR="009C4438" w:rsidRPr="009C4438">
        <w:rPr>
          <w:rFonts w:ascii="Roboto" w:eastAsia="Roboto" w:hAnsi="Roboto" w:cs="Roboto"/>
        </w:rPr>
        <w:t xml:space="preserve"> sigue castigando como delito la ayuda al suicidio (art. 143.1, 2, 3). </w:t>
      </w:r>
    </w:p>
    <w:p w14:paraId="1676F645" w14:textId="7C41D734" w:rsidR="00800D8E" w:rsidRDefault="009C4438">
      <w:pPr>
        <w:jc w:val="both"/>
        <w:rPr>
          <w:rFonts w:ascii="Roboto" w:eastAsia="Roboto" w:hAnsi="Roboto" w:cs="Roboto"/>
        </w:rPr>
      </w:pPr>
      <w:r w:rsidRPr="009C4438">
        <w:rPr>
          <w:rFonts w:ascii="Roboto" w:eastAsia="Roboto" w:hAnsi="Roboto" w:cs="Roboto"/>
        </w:rPr>
        <w:t xml:space="preserve">Entre los requisitos que exige el legislador para poder ejercitar este nuevo derecho, está la necesidad de que el sujeto se encuentre sufriendo: a) Una enfermedad grave e incurable b) Padecimiento grave, crónico e </w:t>
      </w:r>
      <w:proofErr w:type="spellStart"/>
      <w:r w:rsidRPr="009C4438">
        <w:rPr>
          <w:rFonts w:ascii="Roboto" w:eastAsia="Roboto" w:hAnsi="Roboto" w:cs="Roboto"/>
        </w:rPr>
        <w:t>imposibilitante</w:t>
      </w:r>
      <w:proofErr w:type="spellEnd"/>
      <w:r w:rsidRPr="009C4438">
        <w:rPr>
          <w:rFonts w:ascii="Roboto" w:eastAsia="Roboto" w:hAnsi="Roboto" w:cs="Roboto"/>
        </w:rPr>
        <w:t xml:space="preserve"> (Esta situación es denominada por la nueva Ley “CONTEXTO EUTANÁSICO”). Llama la atención la laxitud de la ley al extender su aplicación no sólo y únicamente a los enfermos terminales, sino también a personas con padecimientos graves, crónicos e </w:t>
      </w:r>
      <w:proofErr w:type="spellStart"/>
      <w:r w:rsidRPr="009C4438">
        <w:rPr>
          <w:rFonts w:ascii="Roboto" w:eastAsia="Roboto" w:hAnsi="Roboto" w:cs="Roboto"/>
        </w:rPr>
        <w:t>imposibilitantes</w:t>
      </w:r>
      <w:proofErr w:type="spellEnd"/>
      <w:r w:rsidRPr="009C4438">
        <w:rPr>
          <w:rFonts w:ascii="Roboto" w:eastAsia="Roboto" w:hAnsi="Roboto" w:cs="Roboto"/>
        </w:rPr>
        <w:t xml:space="preserve">, sin que sea necesaria una situación de proximidad con la muerte. Esto conlleva a la temida pendiente resbaladiza que implicaría con el tiempo ir ampliando los casos a personas con sufrimientos psíquicos, a menores con consentimiento de los padres, etc.  Otro de los requisitos llamativos que exige la Ley </w:t>
      </w:r>
      <w:r w:rsidR="0043204A">
        <w:rPr>
          <w:rFonts w:ascii="Roboto" w:eastAsia="Roboto" w:hAnsi="Roboto" w:cs="Roboto"/>
        </w:rPr>
        <w:t>e</w:t>
      </w:r>
      <w:r w:rsidRPr="009C4438">
        <w:rPr>
          <w:rFonts w:ascii="Roboto" w:eastAsia="Roboto" w:hAnsi="Roboto" w:cs="Roboto"/>
        </w:rPr>
        <w:t>s el “consentimiento informado”, o lo que es lo mismo: “conformidad libre, consciente, voluntaria manifestada en pleno uso de sus facultades después de recibir la información adecuada”. Entraña gran dificultad autentificar la verdadera voluntad del paciente</w:t>
      </w:r>
      <w:r w:rsidR="0043204A">
        <w:rPr>
          <w:rFonts w:ascii="Roboto" w:eastAsia="Roboto" w:hAnsi="Roboto" w:cs="Roboto"/>
        </w:rPr>
        <w:t>. Supone un verdadero</w:t>
      </w:r>
      <w:r w:rsidRPr="009C4438">
        <w:rPr>
          <w:rFonts w:ascii="Roboto" w:eastAsia="Roboto" w:hAnsi="Roboto" w:cs="Roboto"/>
        </w:rPr>
        <w:t xml:space="preserve"> riesgo dar primacía a esta voluntad, ya que el sufrimiento físico-psíquico que conlleva la enfermedad hace que, en determinados casos, el paciente cuente con una autonomía reducida</w:t>
      </w:r>
      <w:r w:rsidR="0043204A">
        <w:rPr>
          <w:rFonts w:ascii="Roboto" w:eastAsia="Roboto" w:hAnsi="Roboto" w:cs="Roboto"/>
        </w:rPr>
        <w:t>. E</w:t>
      </w:r>
      <w:r w:rsidRPr="009C4438">
        <w:rPr>
          <w:rFonts w:ascii="Roboto" w:eastAsia="Roboto" w:hAnsi="Roboto" w:cs="Roboto"/>
        </w:rPr>
        <w:t xml:space="preserve">l deseo en estos momentos de vivir o morir </w:t>
      </w:r>
      <w:r w:rsidR="0043204A">
        <w:rPr>
          <w:rFonts w:ascii="Roboto" w:eastAsia="Roboto" w:hAnsi="Roboto" w:cs="Roboto"/>
        </w:rPr>
        <w:t>es algo</w:t>
      </w:r>
      <w:r w:rsidRPr="009C4438">
        <w:rPr>
          <w:rFonts w:ascii="Roboto" w:eastAsia="Roboto" w:hAnsi="Roboto" w:cs="Roboto"/>
        </w:rPr>
        <w:t xml:space="preserve"> fluctuante. En cualquier caso, y aunque fuera una verdadera y objetiva voluntad, ésta no puede ser considerada en ningún caso, título justificativo y legitimador de un derecho.   El legislador pretende respetar siempre la voluntad de toda persona que quiera solicitar el derecho a la eutanasia por enfrentarse a una situación vital que a su juicio vulnere su dignidad e integridad; consiente que el bien jurídico “vida” decaiga en favor de otros bienes </w:t>
      </w:r>
      <w:r w:rsidRPr="009C4438">
        <w:rPr>
          <w:rFonts w:ascii="Roboto" w:eastAsia="Roboto" w:hAnsi="Roboto" w:cs="Roboto"/>
        </w:rPr>
        <w:lastRenderedPageBreak/>
        <w:t xml:space="preserve">y derechos: dignidad, libertad, honor, etc. El Estado debe estar obligado a velar por la continuidad de la vida de toda persona, aunque no sea deseada por su titular. El derecho a la vida comprende ciertas obligaciones del Estado, para con las personas. Por último, y en cuanto al sujeto ejecutante de este nuevo derecho individual, la ley no establece nada al respecto, pudiendo ser por tanto cualquier persona; no obstante, frecuentemente la eutanasia es practicada por profesionales sanitarios, lo que supone convertir al médico en administrador de la muerte, modificando de esta manera su propia función. (Si bien es cierto, que el artículo 16 de la Ley reconoce el derecho a la objeción de conciencia, no lo es que garantice su libre ejercicio).  </w:t>
      </w:r>
    </w:p>
    <w:p w14:paraId="00F52DA4" w14:textId="5003F6B2" w:rsidR="00034A68" w:rsidRDefault="00800D8E">
      <w:pPr>
        <w:jc w:val="both"/>
        <w:rPr>
          <w:rFonts w:ascii="Roboto" w:eastAsia="Roboto" w:hAnsi="Roboto" w:cs="Roboto"/>
        </w:rPr>
      </w:pPr>
      <w:r>
        <w:rPr>
          <w:rFonts w:ascii="Roboto" w:eastAsia="Roboto" w:hAnsi="Roboto" w:cs="Roboto"/>
        </w:rPr>
        <w:t>De todo ello se puede concluir que se trata de un tema excesivamente complejo y que legalizar la eutanasia es una apuesta</w:t>
      </w:r>
      <w:r w:rsidR="009C4438" w:rsidRPr="009C4438">
        <w:rPr>
          <w:rFonts w:ascii="Roboto" w:eastAsia="Roboto" w:hAnsi="Roboto" w:cs="Roboto"/>
        </w:rPr>
        <w:t xml:space="preserve"> peligrosa que lleva inevitablemente a ciertos abusos</w:t>
      </w:r>
      <w:r>
        <w:rPr>
          <w:rFonts w:ascii="Roboto" w:eastAsia="Roboto" w:hAnsi="Roboto" w:cs="Roboto"/>
        </w:rPr>
        <w:t>.</w:t>
      </w:r>
      <w:r w:rsidRPr="00800D8E">
        <w:rPr>
          <w:color w:val="000000"/>
          <w:sz w:val="27"/>
          <w:szCs w:val="27"/>
        </w:rPr>
        <w:t xml:space="preserve"> </w:t>
      </w:r>
      <w:r w:rsidR="009C4438" w:rsidRPr="009C4438">
        <w:rPr>
          <w:rFonts w:ascii="Roboto" w:eastAsia="Roboto" w:hAnsi="Roboto" w:cs="Roboto"/>
        </w:rPr>
        <w:t>La despenalización o legalización de la eutanasia se fundamenta en la consideración de que la vida de las personas en determinadas situaciones es indigna, lo que implica un juicio vinculante sobre la calidad de vida de las personas.</w:t>
      </w:r>
      <w:r>
        <w:rPr>
          <w:rFonts w:ascii="Roboto" w:eastAsia="Roboto" w:hAnsi="Roboto" w:cs="Roboto"/>
        </w:rPr>
        <w:t xml:space="preserve"> </w:t>
      </w:r>
      <w:r w:rsidR="009C4438" w:rsidRPr="009C4438">
        <w:rPr>
          <w:rFonts w:ascii="Roboto" w:eastAsia="Roboto" w:hAnsi="Roboto" w:cs="Roboto"/>
        </w:rPr>
        <w:t>El</w:t>
      </w:r>
      <w:r>
        <w:rPr>
          <w:rFonts w:ascii="Roboto" w:eastAsia="Roboto" w:hAnsi="Roboto" w:cs="Roboto"/>
        </w:rPr>
        <w:t xml:space="preserve"> derecho a la vida es un derecho fundamental</w:t>
      </w:r>
      <w:r w:rsidR="009C4438" w:rsidRPr="009C4438">
        <w:rPr>
          <w:rFonts w:ascii="Roboto" w:eastAsia="Roboto" w:hAnsi="Roboto" w:cs="Roboto"/>
        </w:rPr>
        <w:t xml:space="preserve">, valor supremo del ordenamiento jurídico, sin que ello conlleve el derecho de la persona a disponer de su propia vida.  Consecuentemente, no puede hablarse de un derecho a morir ni un deber de ejecutar una muerte a petición. El Estado tiene el deber proteger la vida de las personas, incluso en contra de su voluntad (véase el ejemplo de las huelgas de hambre en centros penitenciarios). </w:t>
      </w:r>
      <w:r>
        <w:rPr>
          <w:rFonts w:ascii="Roboto" w:eastAsia="Roboto" w:hAnsi="Roboto" w:cs="Roboto"/>
        </w:rPr>
        <w:t xml:space="preserve">En España, predomina en </w:t>
      </w:r>
      <w:r w:rsidR="009C4438" w:rsidRPr="009C4438">
        <w:rPr>
          <w:rFonts w:ascii="Roboto" w:eastAsia="Roboto" w:hAnsi="Roboto" w:cs="Roboto"/>
        </w:rPr>
        <w:t>la nueva Ley</w:t>
      </w:r>
      <w:r>
        <w:rPr>
          <w:rFonts w:ascii="Roboto" w:eastAsia="Roboto" w:hAnsi="Roboto" w:cs="Roboto"/>
        </w:rPr>
        <w:t xml:space="preserve"> una</w:t>
      </w:r>
      <w:r w:rsidR="009C4438" w:rsidRPr="009C4438">
        <w:rPr>
          <w:rFonts w:ascii="Roboto" w:eastAsia="Roboto" w:hAnsi="Roboto" w:cs="Roboto"/>
        </w:rPr>
        <w:t xml:space="preserve"> concepción antropológica del hombre como pura libertad, prescindiendo de la verdad del ser y convirtiéndose la voluntad o deseo personal en fuente de Derecho.</w:t>
      </w:r>
      <w:r>
        <w:rPr>
          <w:rFonts w:ascii="Roboto" w:eastAsia="Roboto" w:hAnsi="Roboto" w:cs="Roboto"/>
        </w:rPr>
        <w:t xml:space="preserve"> </w:t>
      </w:r>
      <w:r w:rsidR="009C4438" w:rsidRPr="009C4438">
        <w:rPr>
          <w:rFonts w:ascii="Roboto" w:eastAsia="Roboto" w:hAnsi="Roboto" w:cs="Roboto"/>
        </w:rPr>
        <w:t xml:space="preserve">Todo ello supone una divergencia entre lo que es realmente la persona y su dignidad y lo que está regulando el legislador con la nueva Ley.  </w:t>
      </w:r>
    </w:p>
    <w:p w14:paraId="1F842921" w14:textId="77777777" w:rsidR="00384B99" w:rsidRDefault="00384B99">
      <w:pPr>
        <w:jc w:val="both"/>
        <w:rPr>
          <w:rFonts w:ascii="Roboto" w:eastAsia="Roboto" w:hAnsi="Roboto" w:cs="Roboto"/>
        </w:rPr>
      </w:pPr>
    </w:p>
    <w:p w14:paraId="771488A4" w14:textId="64735DE2" w:rsidR="00384B99" w:rsidRDefault="00384B99">
      <w:pPr>
        <w:jc w:val="both"/>
        <w:rPr>
          <w:rFonts w:ascii="Roboto" w:eastAsia="Roboto" w:hAnsi="Roboto" w:cs="Roboto"/>
        </w:rPr>
      </w:pPr>
      <w:r>
        <w:rPr>
          <w:rFonts w:ascii="Roboto" w:eastAsia="Roboto" w:hAnsi="Roboto" w:cs="Roboto"/>
        </w:rPr>
        <w:t>REFERENCIAS</w:t>
      </w:r>
    </w:p>
    <w:p w14:paraId="5ACC49FA" w14:textId="6595D921" w:rsidR="00384B99" w:rsidRPr="00360249" w:rsidRDefault="001D533E">
      <w:pPr>
        <w:jc w:val="both"/>
        <w:rPr>
          <w:rFonts w:ascii="Roboto" w:eastAsia="Roboto" w:hAnsi="Roboto" w:cs="Roboto"/>
        </w:rPr>
      </w:pPr>
      <w:proofErr w:type="spellStart"/>
      <w:r w:rsidRPr="00360249">
        <w:rPr>
          <w:rFonts w:ascii="Roboto" w:hAnsi="Roboto"/>
        </w:rPr>
        <w:t>Amenabar</w:t>
      </w:r>
      <w:proofErr w:type="spellEnd"/>
      <w:r w:rsidRPr="00360249">
        <w:rPr>
          <w:rFonts w:ascii="Roboto" w:hAnsi="Roboto"/>
        </w:rPr>
        <w:t xml:space="preserve"> Beitia, J.M. (2019). La eutanasia como antídoto al suicidio, en Revista de Bioética y Derecho: publicación del Máster en </w:t>
      </w:r>
      <w:r w:rsidRPr="00360249">
        <w:rPr>
          <w:rFonts w:ascii="Roboto" w:hAnsi="Roboto"/>
        </w:rPr>
        <w:t>bioética y derecho, 46</w:t>
      </w:r>
      <w:r>
        <w:rPr>
          <w:rFonts w:ascii="Roboto" w:hAnsi="Roboto"/>
        </w:rPr>
        <w:t xml:space="preserve">. </w:t>
      </w:r>
      <w:r w:rsidR="00384B99" w:rsidRPr="00384B99">
        <w:rPr>
          <w:rFonts w:ascii="Roboto" w:eastAsia="Roboto" w:hAnsi="Roboto" w:cs="Roboto"/>
        </w:rPr>
        <w:t>Marcos del Cano, A.M., De la Torre Díaz, J.</w:t>
      </w:r>
      <w:r w:rsidR="00384B99">
        <w:rPr>
          <w:rFonts w:ascii="Roboto" w:eastAsia="Roboto" w:hAnsi="Roboto" w:cs="Roboto"/>
        </w:rPr>
        <w:t xml:space="preserve"> (2019)</w:t>
      </w:r>
      <w:r>
        <w:rPr>
          <w:rFonts w:ascii="Roboto" w:eastAsia="Roboto" w:hAnsi="Roboto" w:cs="Roboto"/>
        </w:rPr>
        <w:t>.</w:t>
      </w:r>
      <w:r w:rsidR="00384B99">
        <w:rPr>
          <w:rFonts w:ascii="Roboto" w:eastAsia="Roboto" w:hAnsi="Roboto" w:cs="Roboto"/>
        </w:rPr>
        <w:t xml:space="preserve"> </w:t>
      </w:r>
      <w:r w:rsidR="00384B99" w:rsidRPr="00384B99">
        <w:rPr>
          <w:rFonts w:ascii="Roboto" w:eastAsia="Roboto" w:hAnsi="Roboto" w:cs="Roboto"/>
        </w:rPr>
        <w:t>Y de nuevo la eutanasia.</w:t>
      </w:r>
      <w:r>
        <w:rPr>
          <w:rFonts w:ascii="Roboto" w:eastAsia="Roboto" w:hAnsi="Roboto" w:cs="Roboto"/>
        </w:rPr>
        <w:t xml:space="preserve"> </w:t>
      </w:r>
      <w:r w:rsidR="00384B99" w:rsidRPr="00384B99">
        <w:rPr>
          <w:rFonts w:ascii="Roboto" w:eastAsia="Roboto" w:hAnsi="Roboto" w:cs="Roboto"/>
        </w:rPr>
        <w:t>Una mirada nacional e internacional, Dykinson, Madrid</w:t>
      </w:r>
      <w:r w:rsidR="00384B99">
        <w:rPr>
          <w:rFonts w:ascii="Roboto" w:eastAsia="Roboto" w:hAnsi="Roboto" w:cs="Roboto"/>
        </w:rPr>
        <w:t>.</w:t>
      </w:r>
      <w:r w:rsidR="00360249">
        <w:rPr>
          <w:rFonts w:ascii="Roboto" w:eastAsia="Roboto" w:hAnsi="Roboto" w:cs="Roboto"/>
        </w:rPr>
        <w:t xml:space="preserve"> España.</w:t>
      </w:r>
      <w:r w:rsidR="00384B99" w:rsidRPr="00384B99">
        <w:rPr>
          <w:rFonts w:ascii="Roboto" w:eastAsia="Roboto" w:hAnsi="Roboto" w:cs="Roboto"/>
        </w:rPr>
        <w:t xml:space="preserve"> Méndez </w:t>
      </w:r>
      <w:proofErr w:type="spellStart"/>
      <w:r w:rsidR="00384B99" w:rsidRPr="00360249">
        <w:rPr>
          <w:rFonts w:ascii="Roboto" w:eastAsia="Roboto" w:hAnsi="Roboto" w:cs="Roboto"/>
        </w:rPr>
        <w:t>Baigés</w:t>
      </w:r>
      <w:proofErr w:type="spellEnd"/>
      <w:r w:rsidR="00384B99" w:rsidRPr="00360249">
        <w:rPr>
          <w:rFonts w:ascii="Roboto" w:eastAsia="Roboto" w:hAnsi="Roboto" w:cs="Roboto"/>
        </w:rPr>
        <w:t>, V., Sobre morir: eutanasia, derechos, razones (2002). Trotta, Madrid.</w:t>
      </w:r>
      <w:bookmarkStart w:id="0" w:name="_Hlk77626680"/>
      <w:r w:rsidR="00360249" w:rsidRPr="00360249">
        <w:rPr>
          <w:rFonts w:ascii="Roboto" w:eastAsia="Roboto" w:hAnsi="Roboto" w:cs="Roboto"/>
        </w:rPr>
        <w:t xml:space="preserve"> España.</w:t>
      </w:r>
      <w:r w:rsidR="00384B99" w:rsidRPr="00360249">
        <w:t xml:space="preserve"> </w:t>
      </w:r>
      <w:proofErr w:type="spellStart"/>
      <w:r w:rsidR="00384B99" w:rsidRPr="00360249">
        <w:rPr>
          <w:rFonts w:ascii="Roboto" w:hAnsi="Roboto"/>
        </w:rPr>
        <w:t>Amenabar</w:t>
      </w:r>
      <w:proofErr w:type="spellEnd"/>
      <w:r w:rsidR="00384B99" w:rsidRPr="00360249">
        <w:rPr>
          <w:rFonts w:ascii="Roboto" w:hAnsi="Roboto"/>
        </w:rPr>
        <w:t xml:space="preserve"> Beitia, J.M. (2019). La eutanasia como antídoto al suicidio, en Revista de Bioética y Derecho: publicación del Máster en bioética y derecho, 46</w:t>
      </w:r>
      <w:bookmarkEnd w:id="0"/>
      <w:r w:rsidR="00384B99" w:rsidRPr="00360249">
        <w:rPr>
          <w:rFonts w:ascii="Roboto" w:hAnsi="Roboto"/>
        </w:rPr>
        <w:t>.</w:t>
      </w:r>
      <w:bookmarkStart w:id="1" w:name="_Hlk124258161"/>
      <w:bookmarkStart w:id="2" w:name="_Hlk124279350"/>
      <w:r w:rsidR="00384B99" w:rsidRPr="00360249">
        <w:t xml:space="preserve"> </w:t>
      </w:r>
      <w:r w:rsidR="00384B99" w:rsidRPr="00360249">
        <w:rPr>
          <w:rFonts w:ascii="Roboto" w:hAnsi="Roboto"/>
        </w:rPr>
        <w:t>Navarro Valls,</w:t>
      </w:r>
      <w:r w:rsidR="00360249" w:rsidRPr="00360249">
        <w:rPr>
          <w:rFonts w:ascii="Roboto" w:hAnsi="Roboto"/>
        </w:rPr>
        <w:t xml:space="preserve"> R., </w:t>
      </w:r>
      <w:r w:rsidR="00384B99" w:rsidRPr="00360249">
        <w:rPr>
          <w:rFonts w:ascii="Roboto" w:hAnsi="Roboto"/>
        </w:rPr>
        <w:t>Martínez Torrón</w:t>
      </w:r>
      <w:r w:rsidR="00360249" w:rsidRPr="00360249">
        <w:rPr>
          <w:rFonts w:ascii="Roboto" w:hAnsi="Roboto"/>
        </w:rPr>
        <w:t>, J.</w:t>
      </w:r>
      <w:r w:rsidR="00384B99" w:rsidRPr="00360249">
        <w:rPr>
          <w:rFonts w:ascii="Roboto" w:hAnsi="Roboto"/>
        </w:rPr>
        <w:t xml:space="preserve"> y</w:t>
      </w:r>
      <w:r w:rsidR="00360249" w:rsidRPr="00360249">
        <w:rPr>
          <w:rFonts w:ascii="Roboto" w:hAnsi="Roboto"/>
        </w:rPr>
        <w:t xml:space="preserve"> </w:t>
      </w:r>
      <w:r w:rsidR="00384B99" w:rsidRPr="00360249">
        <w:rPr>
          <w:rFonts w:ascii="Roboto" w:hAnsi="Roboto"/>
        </w:rPr>
        <w:t xml:space="preserve">Valero Estarellas, </w:t>
      </w:r>
      <w:bookmarkStart w:id="3" w:name="_Hlk124257958"/>
      <w:r w:rsidR="00360249" w:rsidRPr="00360249">
        <w:rPr>
          <w:rFonts w:ascii="Roboto" w:hAnsi="Roboto"/>
        </w:rPr>
        <w:t xml:space="preserve">M.J. (2022). </w:t>
      </w:r>
      <w:r w:rsidR="00384B99" w:rsidRPr="00360249">
        <w:rPr>
          <w:rFonts w:ascii="Roboto" w:hAnsi="Roboto"/>
        </w:rPr>
        <w:t>Informe sobre la regulación de la objeción de conciencia a la eutanasia en la Ley Orgánica 3/2021</w:t>
      </w:r>
      <w:bookmarkEnd w:id="1"/>
      <w:bookmarkEnd w:id="3"/>
      <w:r w:rsidR="00384B99" w:rsidRPr="00360249">
        <w:rPr>
          <w:rFonts w:ascii="Roboto" w:hAnsi="Roboto"/>
        </w:rPr>
        <w:t xml:space="preserve">, </w:t>
      </w:r>
      <w:proofErr w:type="spellStart"/>
      <w:r w:rsidR="00384B99" w:rsidRPr="00360249">
        <w:rPr>
          <w:rFonts w:ascii="Roboto" w:hAnsi="Roboto"/>
        </w:rPr>
        <w:t>Lirce</w:t>
      </w:r>
      <w:proofErr w:type="spellEnd"/>
      <w:r w:rsidR="00384B99" w:rsidRPr="00360249">
        <w:rPr>
          <w:rFonts w:ascii="Roboto" w:hAnsi="Roboto"/>
        </w:rPr>
        <w:t xml:space="preserve">, </w:t>
      </w:r>
      <w:bookmarkEnd w:id="2"/>
      <w:r w:rsidR="00360249" w:rsidRPr="00360249">
        <w:rPr>
          <w:rFonts w:ascii="Roboto" w:hAnsi="Roboto"/>
        </w:rPr>
        <w:t>Madrid. España.</w:t>
      </w:r>
    </w:p>
    <w:sectPr w:rsidR="00384B99" w:rsidRPr="00360249">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10061" w14:textId="77777777" w:rsidR="00E3099C" w:rsidRDefault="00E3099C">
      <w:r>
        <w:separator/>
      </w:r>
    </w:p>
  </w:endnote>
  <w:endnote w:type="continuationSeparator" w:id="0">
    <w:p w14:paraId="70B99223" w14:textId="77777777" w:rsidR="00E3099C" w:rsidRDefault="00E309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BD15BF57-E243-45D0-82EE-D2A1D8ACD2D1}"/>
  </w:font>
  <w:font w:name="Georgia">
    <w:panose1 w:val="02040502050405020303"/>
    <w:charset w:val="00"/>
    <w:family w:val="roman"/>
    <w:pitch w:val="variable"/>
    <w:sig w:usb0="00000287" w:usb1="00000000" w:usb2="00000000" w:usb3="00000000" w:csb0="0000009F" w:csb1="00000000"/>
    <w:embedRegular r:id="rId2" w:fontKey="{C0B727B7-AD2E-4EE3-B191-64EF88A54E00}"/>
    <w:embedItalic r:id="rId3" w:fontKey="{86423C38-1317-4E47-A25C-119B590653D1}"/>
  </w:font>
  <w:font w:name="Roboto">
    <w:charset w:val="00"/>
    <w:family w:val="auto"/>
    <w:pitch w:val="variable"/>
    <w:sig w:usb0="E0000AFF" w:usb1="5000217F" w:usb2="00000021" w:usb3="00000000" w:csb0="0000019F" w:csb1="00000000"/>
    <w:embedRegular r:id="rId4" w:fontKey="{CD0EA563-C7C1-4301-B611-150BB9A2F742}"/>
    <w:embedBold r:id="rId5" w:fontKey="{33857262-68EA-4F9C-9A81-4CBE39ABBD6D}"/>
    <w:embedItalic r:id="rId6" w:fontKey="{9D068A49-6E23-491C-854A-2BB379985345}"/>
  </w:font>
  <w:font w:name="Noto Sans">
    <w:charset w:val="00"/>
    <w:family w:val="swiss"/>
    <w:pitch w:val="variable"/>
    <w:sig w:usb0="E00082FF" w:usb1="400078FF" w:usb2="00000021" w:usb3="00000000" w:csb0="0000019F" w:csb1="00000000"/>
    <w:embedRegular r:id="rId7" w:fontKey="{51CE1C11-7042-4B95-AA33-5041346552A1}"/>
  </w:font>
  <w:font w:name="Calibri Light">
    <w:panose1 w:val="020F0302020204030204"/>
    <w:charset w:val="00"/>
    <w:family w:val="swiss"/>
    <w:pitch w:val="variable"/>
    <w:sig w:usb0="E4002EFF" w:usb1="C200247B" w:usb2="00000009" w:usb3="00000000" w:csb0="000001FF" w:csb1="00000000"/>
    <w:embedRegular r:id="rId8" w:fontKey="{5DA67B7E-AF5B-470C-B1B0-555B0CDA5DE7}"/>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0751B" w14:textId="77777777" w:rsidR="00E3099C" w:rsidRDefault="00E3099C">
      <w:r>
        <w:separator/>
      </w:r>
    </w:p>
  </w:footnote>
  <w:footnote w:type="continuationSeparator" w:id="0">
    <w:p w14:paraId="56340AB1" w14:textId="77777777" w:rsidR="00E3099C" w:rsidRDefault="00E309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2711F1" w14:textId="77777777" w:rsidR="00034A68" w:rsidRDefault="00034A68">
    <w:pPr>
      <w:widowControl w:val="0"/>
      <w:pBdr>
        <w:top w:val="nil"/>
        <w:left w:val="nil"/>
        <w:bottom w:val="nil"/>
        <w:right w:val="nil"/>
        <w:between w:val="nil"/>
      </w:pBdr>
      <w:spacing w:line="276" w:lineRule="auto"/>
      <w:rPr>
        <w:rFonts w:ascii="Roboto" w:eastAsia="Roboto" w:hAnsi="Roboto" w:cs="Roboto"/>
      </w:rPr>
    </w:pPr>
  </w:p>
  <w:tbl>
    <w:tblPr>
      <w:tblStyle w:val="1"/>
      <w:tblW w:w="6306" w:type="dxa"/>
      <w:jc w:val="center"/>
      <w:tblInd w:w="0" w:type="dxa"/>
      <w:tblLayout w:type="fixed"/>
      <w:tblLook w:val="0400" w:firstRow="0" w:lastRow="0" w:firstColumn="0" w:lastColumn="0" w:noHBand="0" w:noVBand="1"/>
    </w:tblPr>
    <w:tblGrid>
      <w:gridCol w:w="6306"/>
    </w:tblGrid>
    <w:tr w:rsidR="00034A68" w14:paraId="027C7611" w14:textId="77777777">
      <w:trPr>
        <w:trHeight w:val="345"/>
        <w:jc w:val="center"/>
      </w:trPr>
      <w:tc>
        <w:tcPr>
          <w:tcW w:w="6306" w:type="dxa"/>
          <w:vAlign w:val="center"/>
        </w:tcPr>
        <w:p w14:paraId="69E7F3AF" w14:textId="77777777" w:rsidR="00034A68" w:rsidRDefault="00034A68">
          <w:pPr>
            <w:jc w:val="center"/>
            <w:rPr>
              <w:i/>
              <w:sz w:val="18"/>
              <w:szCs w:val="18"/>
            </w:rPr>
          </w:pPr>
        </w:p>
      </w:tc>
    </w:tr>
  </w:tbl>
  <w:p w14:paraId="7BCA1675" w14:textId="77777777" w:rsidR="00034A68" w:rsidRDefault="00034A68">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4A68"/>
    <w:rsid w:val="00034A68"/>
    <w:rsid w:val="000B1AB4"/>
    <w:rsid w:val="001D533E"/>
    <w:rsid w:val="00360249"/>
    <w:rsid w:val="00383D5C"/>
    <w:rsid w:val="00384B99"/>
    <w:rsid w:val="0043204A"/>
    <w:rsid w:val="0050242A"/>
    <w:rsid w:val="00694B1A"/>
    <w:rsid w:val="006D756E"/>
    <w:rsid w:val="00800D8E"/>
    <w:rsid w:val="00953559"/>
    <w:rsid w:val="00997051"/>
    <w:rsid w:val="009C4438"/>
    <w:rsid w:val="00A54A5A"/>
    <w:rsid w:val="00BB628B"/>
    <w:rsid w:val="00E3099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B57F0"/>
  <w15:docId w15:val="{65EAA4E2-B327-4E8F-B0C1-9F7071A3D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Normal1"/>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4">
    <w:name w:val="4"/>
    <w:basedOn w:val="TableNormal1"/>
    <w:tblPr>
      <w:tblStyleRowBandSize w:val="1"/>
      <w:tblStyleColBandSize w:val="1"/>
      <w:tblCellMar>
        <w:top w:w="0" w:type="dxa"/>
        <w:left w:w="115" w:type="dxa"/>
        <w:bottom w:w="0" w:type="dxa"/>
        <w:right w:w="115" w:type="dxa"/>
      </w:tblCellMar>
    </w:tblPr>
  </w:style>
  <w:style w:type="table" w:customStyle="1" w:styleId="3">
    <w:name w:val="3"/>
    <w:basedOn w:val="TableNormal1"/>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2">
    <w:name w:val="2"/>
    <w:basedOn w:val="TableNormal1"/>
    <w:tblPr>
      <w:tblStyleRowBandSize w:val="1"/>
      <w:tblStyleColBandSize w:val="1"/>
      <w:tblCellMar>
        <w:top w:w="0" w:type="dxa"/>
        <w:left w:w="115" w:type="dxa"/>
        <w:bottom w:w="0" w:type="dxa"/>
        <w:right w:w="115" w:type="dxa"/>
      </w:tblCellMar>
    </w:tblPr>
  </w:style>
  <w:style w:type="table" w:customStyle="1" w:styleId="1">
    <w:name w:val="1"/>
    <w:basedOn w:val="TableNormal1"/>
    <w:tblPr>
      <w:tblStyleRowBandSize w:val="1"/>
      <w:tblStyleColBandSize w:val="1"/>
      <w:tblCellMar>
        <w:top w:w="0" w:type="dxa"/>
        <w:left w:w="115" w:type="dxa"/>
        <w:bottom w:w="0" w:type="dxa"/>
        <w:right w:w="115" w:type="dxa"/>
      </w:tblCellMar>
    </w:tblPr>
  </w:style>
  <w:style w:type="character" w:styleId="Refdenotaalpie">
    <w:name w:val="footnote reference"/>
    <w:basedOn w:val="Fuentedeprrafopredeter"/>
    <w:uiPriority w:val="99"/>
    <w:semiHidden/>
    <w:unhideWhenUsed/>
    <w:rsid w:val="00384B9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mj.castanon.prof@ufv.es" TargetMode="External"/><Relationship Id="rId3" Type="http://schemas.openxmlformats.org/officeDocument/2006/relationships/settings" Target="settings.xml"/><Relationship Id="rId7" Type="http://schemas.openxmlformats.org/officeDocument/2006/relationships/hyperlink" Target="https://orcid.org/0000-0001-5179-3352"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1019</Words>
  <Characters>5609</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Mariana Berenice González Leija</dc:creator>
  <cp:keywords/>
  <dc:description/>
  <cp:lastModifiedBy>Maria Jose Castañon</cp:lastModifiedBy>
  <cp:revision>2</cp:revision>
  <dcterms:created xsi:type="dcterms:W3CDTF">2026-03-04T15:48:00Z</dcterms:created>
  <dcterms:modified xsi:type="dcterms:W3CDTF">2026-03-04T15:48:00Z</dcterms:modified>
</cp:coreProperties>
</file>