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31AF30" w14:textId="019F9443" w:rsidR="003123CA" w:rsidRDefault="00E30550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</w:rPr>
      </w:pPr>
      <w:bookmarkStart w:id="0" w:name="_Hlk223470989"/>
      <w:bookmarkEnd w:id="0"/>
      <w:r>
        <w:rPr>
          <w:rFonts w:ascii="Roboto" w:eastAsia="Roboto" w:hAnsi="Roboto" w:cs="Roboto"/>
          <w:b/>
          <w:color w:val="000000"/>
        </w:rPr>
        <w:t xml:space="preserve">Apropiación y </w:t>
      </w:r>
      <w:proofErr w:type="spellStart"/>
      <w:r>
        <w:rPr>
          <w:rFonts w:ascii="Roboto" w:eastAsia="Roboto" w:hAnsi="Roboto" w:cs="Roboto"/>
          <w:b/>
          <w:color w:val="000000"/>
        </w:rPr>
        <w:t>re-significación</w:t>
      </w:r>
      <w:proofErr w:type="spellEnd"/>
      <w:r>
        <w:rPr>
          <w:rFonts w:ascii="Roboto" w:eastAsia="Roboto" w:hAnsi="Roboto" w:cs="Roboto"/>
          <w:b/>
          <w:color w:val="000000"/>
        </w:rPr>
        <w:t xml:space="preserve"> del espacio público como construcción de identidad</w:t>
      </w:r>
      <w:r w:rsidR="003123CA">
        <w:rPr>
          <w:rFonts w:ascii="Roboto" w:eastAsia="Roboto" w:hAnsi="Roboto" w:cs="Roboto"/>
          <w:b/>
          <w:color w:val="000000"/>
        </w:rPr>
        <w:t xml:space="preserve">: </w:t>
      </w:r>
    </w:p>
    <w:p w14:paraId="0D93BA6C" w14:textId="74A0CE18" w:rsidR="00032957" w:rsidRDefault="00E13378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</w:rPr>
      </w:pPr>
      <w:r>
        <w:rPr>
          <w:rFonts w:ascii="Roboto" w:eastAsia="Roboto" w:hAnsi="Roboto" w:cs="Roboto"/>
          <w:b/>
          <w:color w:val="000000"/>
        </w:rPr>
        <w:t xml:space="preserve">el </w:t>
      </w:r>
      <w:r w:rsidR="00E30550">
        <w:rPr>
          <w:rFonts w:ascii="Roboto" w:eastAsia="Roboto" w:hAnsi="Roboto" w:cs="Roboto"/>
          <w:b/>
          <w:color w:val="000000"/>
        </w:rPr>
        <w:t>Barrio Anáhuac</w:t>
      </w:r>
    </w:p>
    <w:p w14:paraId="77637DC6" w14:textId="153B6CF6" w:rsidR="00032957" w:rsidRDefault="003123CA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López Domínguez S</w:t>
      </w:r>
      <w:r w:rsidR="003B0F53">
        <w:rPr>
          <w:rFonts w:ascii="Roboto" w:eastAsia="Roboto" w:hAnsi="Roboto" w:cs="Roboto"/>
          <w:b/>
          <w:color w:val="000000"/>
          <w:sz w:val="20"/>
          <w:szCs w:val="20"/>
        </w:rPr>
        <w:t>. M.</w:t>
      </w:r>
      <w:r w:rsidR="005C49A9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*</w:t>
      </w:r>
    </w:p>
    <w:p w14:paraId="3EDD17A4" w14:textId="57251DD1" w:rsidR="00032957" w:rsidRDefault="005C49A9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="00E30550">
        <w:rPr>
          <w:rFonts w:ascii="Roboto" w:eastAsia="Roboto" w:hAnsi="Roboto" w:cs="Roboto"/>
          <w:color w:val="000000"/>
          <w:sz w:val="18"/>
          <w:szCs w:val="18"/>
        </w:rPr>
        <w:t>Universidad Anáhuac Puebla</w:t>
      </w:r>
      <w:r w:rsidR="00BA40BC">
        <w:rPr>
          <w:rFonts w:ascii="Roboto" w:eastAsia="Roboto" w:hAnsi="Roboto" w:cs="Roboto"/>
          <w:color w:val="000000"/>
          <w:sz w:val="18"/>
          <w:szCs w:val="18"/>
        </w:rPr>
        <w:t xml:space="preserve"> / Estancia Posdoctoral BUAP</w:t>
      </w:r>
      <w:r>
        <w:rPr>
          <w:rFonts w:ascii="Roboto" w:eastAsia="Roboto" w:hAnsi="Roboto" w:cs="Roboto"/>
          <w:color w:val="000000"/>
          <w:sz w:val="18"/>
          <w:szCs w:val="18"/>
        </w:rPr>
        <w:t>, ORCID</w:t>
      </w:r>
      <w:r w:rsidR="00C81E9F">
        <w:rPr>
          <w:rFonts w:ascii="Roboto" w:eastAsia="Roboto" w:hAnsi="Roboto" w:cs="Roboto"/>
          <w:color w:val="000000"/>
          <w:sz w:val="18"/>
          <w:szCs w:val="18"/>
        </w:rPr>
        <w:t xml:space="preserve"> </w:t>
      </w:r>
      <w:r w:rsidR="00C81E9F" w:rsidRPr="00C81E9F">
        <w:rPr>
          <w:rFonts w:ascii="Roboto" w:eastAsia="Roboto" w:hAnsi="Roboto" w:cs="Roboto"/>
          <w:color w:val="000000"/>
          <w:sz w:val="18"/>
          <w:szCs w:val="18"/>
        </w:rPr>
        <w:t>0000-0002-2953-9726</w:t>
      </w:r>
    </w:p>
    <w:p w14:paraId="469D69B6" w14:textId="3236F0EA" w:rsidR="00032957" w:rsidRDefault="005C49A9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>*Autor de correspondencia (e-mail:</w:t>
      </w:r>
      <w:r>
        <w:rPr>
          <w:rFonts w:ascii="Roboto" w:eastAsia="Roboto" w:hAnsi="Roboto" w:cs="Roboto"/>
          <w:sz w:val="18"/>
          <w:szCs w:val="18"/>
          <w:highlight w:val="white"/>
        </w:rPr>
        <w:t xml:space="preserve"> </w:t>
      </w:r>
      <w:r w:rsidR="00C81E9F">
        <w:rPr>
          <w:rFonts w:ascii="Roboto" w:eastAsia="Roboto" w:hAnsi="Roboto" w:cs="Roboto"/>
          <w:sz w:val="18"/>
          <w:szCs w:val="18"/>
        </w:rPr>
        <w:t>sonia.lopez@anahuac.mx</w:t>
      </w:r>
      <w:r>
        <w:rPr>
          <w:rFonts w:ascii="Roboto" w:eastAsia="Roboto" w:hAnsi="Roboto" w:cs="Roboto"/>
          <w:sz w:val="18"/>
          <w:szCs w:val="18"/>
        </w:rPr>
        <w:t>)</w:t>
      </w:r>
    </w:p>
    <w:p w14:paraId="1FED52E5" w14:textId="77777777" w:rsidR="00032957" w:rsidRDefault="005C49A9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032957">
          <w:headerReference w:type="default" r:id="rId7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pict w14:anchorId="13A4732A">
          <v:rect id="_x0000_i1025" style="width:0;height:1.5pt" o:hralign="center" o:hrstd="t" o:hr="t" fillcolor="#a0a0a0" stroked="f"/>
        </w:pict>
      </w:r>
    </w:p>
    <w:p w14:paraId="6E91E49E" w14:textId="06A31AA5" w:rsidR="00032957" w:rsidRDefault="000A5FE6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INTRODUCCIÓN</w:t>
      </w:r>
    </w:p>
    <w:p w14:paraId="6DFC81E6" w14:textId="3F0BBC5A" w:rsidR="00032957" w:rsidRDefault="005C49A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El </w:t>
      </w:r>
      <w:r w:rsidR="000A5FE6">
        <w:rPr>
          <w:rFonts w:ascii="Roboto" w:eastAsia="Roboto" w:hAnsi="Roboto" w:cs="Roboto"/>
          <w:color w:val="000000"/>
          <w:sz w:val="20"/>
          <w:szCs w:val="20"/>
        </w:rPr>
        <w:t>territorio no es únicamente una delimitación físico-espacial, sino una construcción social cargada de significados, prácticas e identidades. En contextos urbanos periféricos, donde confluyen procesos de expansión inmobiliaria, fragmentación social y déficit de espacios públicos</w:t>
      </w:r>
      <w:r w:rsidR="00410693">
        <w:rPr>
          <w:rFonts w:ascii="Roboto" w:eastAsia="Roboto" w:hAnsi="Roboto" w:cs="Roboto"/>
          <w:color w:val="000000"/>
          <w:sz w:val="20"/>
          <w:szCs w:val="20"/>
        </w:rPr>
        <w:t xml:space="preserve">, se </w:t>
      </w:r>
      <w:r w:rsidR="00AE23EE">
        <w:rPr>
          <w:rFonts w:ascii="Roboto" w:eastAsia="Roboto" w:hAnsi="Roboto" w:cs="Roboto"/>
          <w:color w:val="000000"/>
          <w:sz w:val="20"/>
          <w:szCs w:val="20"/>
        </w:rPr>
        <w:t>genera un debilitamiento en la construcción de identidad vinculado al entorno inmediato.</w:t>
      </w:r>
    </w:p>
    <w:p w14:paraId="4045A0BD" w14:textId="71B5C567" w:rsidR="00687135" w:rsidRDefault="0068713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En las inmediaciones de la Universidad Anáhuac Puebla, los procesos de </w:t>
      </w:r>
      <w:r w:rsidR="003D403D">
        <w:rPr>
          <w:rFonts w:ascii="Roboto" w:eastAsia="Roboto" w:hAnsi="Roboto" w:cs="Roboto"/>
          <w:color w:val="000000"/>
          <w:sz w:val="20"/>
          <w:szCs w:val="20"/>
        </w:rPr>
        <w:t>urbanización en los últimos 30 años</w:t>
      </w:r>
      <w:r w:rsidR="00314492">
        <w:rPr>
          <w:rFonts w:ascii="Roboto" w:eastAsia="Roboto" w:hAnsi="Roboto" w:cs="Roboto"/>
          <w:color w:val="000000"/>
          <w:sz w:val="20"/>
          <w:szCs w:val="20"/>
        </w:rPr>
        <w:t>, configuraron un territorio funcionalmente activo</w:t>
      </w:r>
      <w:r w:rsidR="002B5FA4">
        <w:rPr>
          <w:rFonts w:ascii="Roboto" w:eastAsia="Roboto" w:hAnsi="Roboto" w:cs="Roboto"/>
          <w:color w:val="000000"/>
          <w:sz w:val="20"/>
          <w:szCs w:val="20"/>
        </w:rPr>
        <w:t>,</w:t>
      </w:r>
      <w:r w:rsidR="00314492">
        <w:rPr>
          <w:rFonts w:ascii="Roboto" w:eastAsia="Roboto" w:hAnsi="Roboto" w:cs="Roboto"/>
          <w:color w:val="000000"/>
          <w:sz w:val="20"/>
          <w:szCs w:val="20"/>
        </w:rPr>
        <w:t xml:space="preserve"> pero simbólicamente </w:t>
      </w:r>
      <w:r w:rsidR="002B5FA4">
        <w:rPr>
          <w:rFonts w:ascii="Roboto" w:eastAsia="Roboto" w:hAnsi="Roboto" w:cs="Roboto"/>
          <w:color w:val="000000"/>
          <w:sz w:val="20"/>
          <w:szCs w:val="20"/>
        </w:rPr>
        <w:t>falto de articulación. Durante el diagnóstico inicial</w:t>
      </w:r>
      <w:r w:rsidR="00D2358D">
        <w:rPr>
          <w:rFonts w:ascii="Roboto" w:eastAsia="Roboto" w:hAnsi="Roboto" w:cs="Roboto"/>
          <w:color w:val="000000"/>
          <w:sz w:val="20"/>
          <w:szCs w:val="20"/>
        </w:rPr>
        <w:t>, actores territoriales clave, entre ellos la representación delegacional de la Reserva Territorial Atlixcáyotl</w:t>
      </w:r>
      <w:r w:rsidR="00A40179">
        <w:rPr>
          <w:rFonts w:ascii="Roboto" w:eastAsia="Roboto" w:hAnsi="Roboto" w:cs="Roboto"/>
          <w:color w:val="000000"/>
          <w:sz w:val="20"/>
          <w:szCs w:val="20"/>
        </w:rPr>
        <w:t xml:space="preserve"> donde está emplazada, señalaron la ausencia de referentes espaciales y simbólicos que consoliden la identidad colectiva en el entorno.</w:t>
      </w:r>
    </w:p>
    <w:p w14:paraId="6562EBCA" w14:textId="7F7F48FC" w:rsidR="008C19C6" w:rsidRDefault="008C19C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CC47FB">
        <w:rPr>
          <w:rFonts w:ascii="Roboto" w:eastAsia="Roboto" w:hAnsi="Roboto" w:cs="Roboto"/>
          <w:color w:val="000000"/>
          <w:sz w:val="20"/>
          <w:szCs w:val="20"/>
        </w:rPr>
        <w:t>A parti</w:t>
      </w:r>
      <w:r w:rsidR="009C63C7" w:rsidRPr="00CC47FB">
        <w:rPr>
          <w:rFonts w:ascii="Roboto" w:eastAsia="Roboto" w:hAnsi="Roboto" w:cs="Roboto"/>
          <w:color w:val="000000"/>
          <w:sz w:val="20"/>
          <w:szCs w:val="20"/>
        </w:rPr>
        <w:t xml:space="preserve">r de este escenario, se plantea que: la apropiación y resignificación del espacio público </w:t>
      </w:r>
      <w:r w:rsidR="00134615" w:rsidRPr="00CC47FB">
        <w:rPr>
          <w:rFonts w:ascii="Roboto" w:eastAsia="Roboto" w:hAnsi="Roboto" w:cs="Roboto"/>
          <w:color w:val="000000"/>
          <w:sz w:val="20"/>
          <w:szCs w:val="20"/>
        </w:rPr>
        <w:t>constituyen un mecanismo capaz de fortalecer procesos de construcción de identidad en contextos urbanos donde se encuentra débilmente articulada.</w:t>
      </w:r>
      <w:r w:rsidR="009C63C7" w:rsidRPr="00CC47FB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431C9D" w:rsidRPr="00CC47FB">
        <w:rPr>
          <w:rFonts w:ascii="Roboto" w:eastAsia="Roboto" w:hAnsi="Roboto" w:cs="Roboto"/>
          <w:color w:val="000000"/>
          <w:sz w:val="20"/>
          <w:szCs w:val="20"/>
        </w:rPr>
        <w:t>Por lo que se propone el concepto de “Barrio Anáhuac</w:t>
      </w:r>
      <w:r w:rsidR="00431C9D">
        <w:rPr>
          <w:rFonts w:ascii="Roboto" w:eastAsia="Roboto" w:hAnsi="Roboto" w:cs="Roboto"/>
          <w:color w:val="000000"/>
          <w:sz w:val="20"/>
          <w:szCs w:val="20"/>
        </w:rPr>
        <w:t>”, como un constructo analítico inspirado en la tradición histórica del barrio como unidad de referencia e interacción comunitaria</w:t>
      </w:r>
      <w:r w:rsidR="008E2D4D">
        <w:rPr>
          <w:rFonts w:ascii="Roboto" w:eastAsia="Roboto" w:hAnsi="Roboto" w:cs="Roboto"/>
          <w:color w:val="000000"/>
          <w:sz w:val="20"/>
          <w:szCs w:val="20"/>
        </w:rPr>
        <w:t>; lo que permite</w:t>
      </w:r>
      <w:r w:rsidR="0067369D">
        <w:rPr>
          <w:rFonts w:ascii="Roboto" w:eastAsia="Roboto" w:hAnsi="Roboto" w:cs="Roboto"/>
          <w:color w:val="000000"/>
          <w:sz w:val="20"/>
          <w:szCs w:val="20"/>
        </w:rPr>
        <w:t xml:space="preserve"> tener un marco interpretativo del territorio inmediato y una base para intervenirlo estratégicamente.</w:t>
      </w:r>
      <w:r w:rsidR="000079D7">
        <w:rPr>
          <w:rFonts w:ascii="Roboto" w:eastAsia="Roboto" w:hAnsi="Roboto" w:cs="Roboto"/>
          <w:color w:val="000000"/>
          <w:sz w:val="20"/>
          <w:szCs w:val="20"/>
        </w:rPr>
        <w:t xml:space="preserve"> (</w:t>
      </w:r>
      <w:r w:rsidR="000079D7" w:rsidRPr="00CC47FB">
        <w:rPr>
          <w:rFonts w:ascii="Roboto" w:eastAsia="Roboto" w:hAnsi="Roboto" w:cs="Roboto"/>
          <w:b/>
          <w:bCs/>
          <w:color w:val="000000"/>
          <w:sz w:val="20"/>
          <w:szCs w:val="20"/>
        </w:rPr>
        <w:t>Fig</w:t>
      </w:r>
      <w:r w:rsidR="00CC47FB" w:rsidRPr="00CC47FB">
        <w:rPr>
          <w:rFonts w:ascii="Roboto" w:eastAsia="Roboto" w:hAnsi="Roboto" w:cs="Roboto"/>
          <w:b/>
          <w:bCs/>
          <w:color w:val="000000"/>
          <w:sz w:val="20"/>
          <w:szCs w:val="20"/>
        </w:rPr>
        <w:t>ura</w:t>
      </w:r>
      <w:r w:rsidR="000079D7" w:rsidRPr="00CC47FB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 1</w:t>
      </w:r>
      <w:r w:rsidR="000079D7">
        <w:rPr>
          <w:rFonts w:ascii="Roboto" w:eastAsia="Roboto" w:hAnsi="Roboto" w:cs="Roboto"/>
          <w:color w:val="000000"/>
          <w:sz w:val="20"/>
          <w:szCs w:val="20"/>
        </w:rPr>
        <w:t>)</w:t>
      </w:r>
    </w:p>
    <w:p w14:paraId="511FF0FE" w14:textId="77777777" w:rsidR="00CC47FB" w:rsidRDefault="00CC47F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3E6B0932" w14:textId="3A85BF3B" w:rsidR="00457282" w:rsidRDefault="00A9246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noProof/>
          <w:color w:val="000000"/>
          <w:sz w:val="20"/>
          <w:szCs w:val="20"/>
        </w:rPr>
        <w:drawing>
          <wp:inline distT="0" distB="0" distL="0" distR="0" wp14:anchorId="7F50B0EA" wp14:editId="6570FC23">
            <wp:extent cx="2971800" cy="210185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n 3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2" t="546" r="886" b="9117"/>
                    <a:stretch/>
                  </pic:blipFill>
                  <pic:spPr bwMode="auto">
                    <a:xfrm>
                      <a:off x="0" y="0"/>
                      <a:ext cx="2971800" cy="21018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05FF38" w14:textId="085E6208" w:rsidR="00A92468" w:rsidRDefault="0091287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912877">
        <w:rPr>
          <w:rFonts w:ascii="Roboto" w:eastAsia="Roboto" w:hAnsi="Roboto" w:cs="Roboto"/>
          <w:b/>
          <w:bCs/>
          <w:color w:val="000000"/>
          <w:sz w:val="20"/>
          <w:szCs w:val="20"/>
        </w:rPr>
        <w:t>Fig</w:t>
      </w:r>
      <w:r w:rsidR="00BF3FA5">
        <w:rPr>
          <w:rFonts w:ascii="Roboto" w:eastAsia="Roboto" w:hAnsi="Roboto" w:cs="Roboto"/>
          <w:b/>
          <w:bCs/>
          <w:color w:val="000000"/>
          <w:sz w:val="20"/>
          <w:szCs w:val="20"/>
        </w:rPr>
        <w:t>ura</w:t>
      </w:r>
      <w:r w:rsidRPr="00912877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 1</w:t>
      </w:r>
      <w:r w:rsidR="00BF3FA5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.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A92468">
        <w:rPr>
          <w:rFonts w:ascii="Roboto" w:eastAsia="Roboto" w:hAnsi="Roboto" w:cs="Roboto"/>
          <w:color w:val="000000"/>
          <w:sz w:val="20"/>
          <w:szCs w:val="20"/>
        </w:rPr>
        <w:t>Mapa del Barrio Anáhuac</w:t>
      </w:r>
      <w:r w:rsidR="000079D7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BF3FA5">
        <w:rPr>
          <w:rFonts w:ascii="Roboto" w:eastAsia="Roboto" w:hAnsi="Roboto" w:cs="Roboto"/>
          <w:color w:val="000000"/>
          <w:sz w:val="20"/>
          <w:szCs w:val="20"/>
        </w:rPr>
        <w:t>2025</w:t>
      </w:r>
    </w:p>
    <w:p w14:paraId="6DB38406" w14:textId="77777777" w:rsidR="002B5FA4" w:rsidRDefault="002B5FA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09C7884D" w14:textId="790C6E8F" w:rsidR="00032957" w:rsidRDefault="0067369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M</w:t>
      </w:r>
      <w:r w:rsidR="00234617">
        <w:rPr>
          <w:rFonts w:ascii="Roboto" w:eastAsia="Roboto" w:hAnsi="Roboto" w:cs="Roboto"/>
          <w:b/>
          <w:color w:val="000000"/>
          <w:sz w:val="20"/>
          <w:szCs w:val="20"/>
        </w:rPr>
        <w:t>ARCO TEÓRICO</w:t>
      </w:r>
    </w:p>
    <w:p w14:paraId="16E474DD" w14:textId="77777777" w:rsidR="002F38C3" w:rsidRDefault="00BF59D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Históricamente, el barrio ha funcionado como escala intermedia entre lo doméstico y lo urbano</w:t>
      </w:r>
      <w:r w:rsidR="00A143C8">
        <w:rPr>
          <w:rFonts w:ascii="Roboto" w:eastAsia="Roboto" w:hAnsi="Roboto" w:cs="Roboto"/>
          <w:color w:val="000000"/>
          <w:sz w:val="20"/>
          <w:szCs w:val="20"/>
        </w:rPr>
        <w:t xml:space="preserve">, permitiendo </w:t>
      </w:r>
      <w:r w:rsidR="005F1972">
        <w:rPr>
          <w:rFonts w:ascii="Roboto" w:eastAsia="Roboto" w:hAnsi="Roboto" w:cs="Roboto"/>
          <w:color w:val="000000"/>
          <w:sz w:val="20"/>
          <w:szCs w:val="20"/>
        </w:rPr>
        <w:t>reconocimiento</w:t>
      </w:r>
      <w:r w:rsidR="00A143C8">
        <w:rPr>
          <w:rFonts w:ascii="Roboto" w:eastAsia="Roboto" w:hAnsi="Roboto" w:cs="Roboto"/>
          <w:color w:val="000000"/>
          <w:sz w:val="20"/>
          <w:szCs w:val="20"/>
        </w:rPr>
        <w:t>, interacción y sentido de pertenencia</w:t>
      </w:r>
      <w:r w:rsidR="005F1972">
        <w:rPr>
          <w:rFonts w:ascii="Roboto" w:eastAsia="Roboto" w:hAnsi="Roboto" w:cs="Roboto"/>
          <w:color w:val="000000"/>
          <w:sz w:val="20"/>
          <w:szCs w:val="20"/>
        </w:rPr>
        <w:t>. En procesos contemporáneos de expansión metropolitana, esta escala tiende a diluirse</w:t>
      </w:r>
      <w:r w:rsidR="00CF5BD3">
        <w:rPr>
          <w:rFonts w:ascii="Roboto" w:eastAsia="Roboto" w:hAnsi="Roboto" w:cs="Roboto"/>
          <w:color w:val="000000"/>
          <w:sz w:val="20"/>
          <w:szCs w:val="20"/>
        </w:rPr>
        <w:t xml:space="preserve">, generando </w:t>
      </w:r>
      <w:r w:rsidR="00CF5BD3">
        <w:rPr>
          <w:rFonts w:ascii="Roboto" w:eastAsia="Roboto" w:hAnsi="Roboto" w:cs="Roboto"/>
          <w:color w:val="000000"/>
          <w:sz w:val="20"/>
          <w:szCs w:val="20"/>
        </w:rPr>
        <w:t>territorios funcionales</w:t>
      </w:r>
      <w:r w:rsidR="00AE025E">
        <w:rPr>
          <w:rFonts w:ascii="Roboto" w:eastAsia="Roboto" w:hAnsi="Roboto" w:cs="Roboto"/>
          <w:color w:val="000000"/>
          <w:sz w:val="20"/>
          <w:szCs w:val="20"/>
        </w:rPr>
        <w:t>,</w:t>
      </w:r>
      <w:r w:rsidR="00CF5BD3">
        <w:rPr>
          <w:rFonts w:ascii="Roboto" w:eastAsia="Roboto" w:hAnsi="Roboto" w:cs="Roboto"/>
          <w:color w:val="000000"/>
          <w:sz w:val="20"/>
          <w:szCs w:val="20"/>
        </w:rPr>
        <w:t xml:space="preserve"> pero con limitada cohesión </w:t>
      </w:r>
      <w:r w:rsidR="00AE025E">
        <w:rPr>
          <w:rFonts w:ascii="Roboto" w:eastAsia="Roboto" w:hAnsi="Roboto" w:cs="Roboto"/>
          <w:color w:val="000000"/>
          <w:sz w:val="20"/>
          <w:szCs w:val="20"/>
        </w:rPr>
        <w:t xml:space="preserve">identitaria. </w:t>
      </w:r>
    </w:p>
    <w:p w14:paraId="7FF52AFD" w14:textId="5BB45D3E" w:rsidR="00032957" w:rsidRDefault="00AE025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El espacio público puede </w:t>
      </w:r>
      <w:r w:rsidR="00B001A6">
        <w:rPr>
          <w:rFonts w:ascii="Roboto" w:eastAsia="Roboto" w:hAnsi="Roboto" w:cs="Roboto"/>
          <w:color w:val="000000"/>
          <w:sz w:val="20"/>
          <w:szCs w:val="20"/>
        </w:rPr>
        <w:t xml:space="preserve">entenderse como infraestructura relacional donde materializar prácticas colectivas, como </w:t>
      </w:r>
      <w:r w:rsidR="00F1212F">
        <w:rPr>
          <w:rFonts w:ascii="Roboto" w:eastAsia="Roboto" w:hAnsi="Roboto" w:cs="Roboto"/>
          <w:color w:val="000000"/>
          <w:sz w:val="20"/>
          <w:szCs w:val="20"/>
        </w:rPr>
        <w:t>señalan Segovia y Neira (2005) “los espacios públicos urbanos construyen y reproducen prácticas de identidad y confianza social”</w:t>
      </w:r>
      <w:r w:rsidR="002F38C3">
        <w:rPr>
          <w:rFonts w:ascii="Roboto" w:eastAsia="Roboto" w:hAnsi="Roboto" w:cs="Roboto"/>
          <w:color w:val="000000"/>
          <w:sz w:val="20"/>
          <w:szCs w:val="20"/>
        </w:rPr>
        <w:t xml:space="preserve"> (p.170). La identidad en este sentido, no es un atributo fijo, sino un proceso que se consolida </w:t>
      </w:r>
      <w:r w:rsidR="00B24712">
        <w:rPr>
          <w:rFonts w:ascii="Roboto" w:eastAsia="Roboto" w:hAnsi="Roboto" w:cs="Roboto"/>
          <w:color w:val="000000"/>
          <w:sz w:val="20"/>
          <w:szCs w:val="20"/>
        </w:rPr>
        <w:t>mediante usos reiterados, permanencia compartida y reconocimiento mutuo del entorno (Carvajal, 2021).</w:t>
      </w:r>
    </w:p>
    <w:p w14:paraId="45228706" w14:textId="77777777" w:rsidR="00402F34" w:rsidRDefault="00402F3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7B7F3BC5" w14:textId="07E0688C" w:rsidR="00032957" w:rsidRDefault="005A6B3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METODOLOGÍA</w:t>
      </w:r>
    </w:p>
    <w:p w14:paraId="01D8E0A9" w14:textId="389B9658" w:rsidR="005A6B3A" w:rsidRDefault="00863AA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Desde un enfoque de sistemas complejos, el territorio se comprende como una red de interacciones donde </w:t>
      </w:r>
      <w:r w:rsidR="0067425C">
        <w:rPr>
          <w:rFonts w:ascii="Roboto" w:eastAsia="Roboto" w:hAnsi="Roboto" w:cs="Roboto"/>
          <w:color w:val="000000"/>
          <w:sz w:val="20"/>
          <w:szCs w:val="20"/>
        </w:rPr>
        <w:t>pequeñas variaciones en nodos estratégicos puede</w:t>
      </w:r>
      <w:r w:rsidR="00C56FF9">
        <w:rPr>
          <w:rFonts w:ascii="Roboto" w:eastAsia="Roboto" w:hAnsi="Roboto" w:cs="Roboto"/>
          <w:color w:val="000000"/>
          <w:sz w:val="20"/>
          <w:szCs w:val="20"/>
        </w:rPr>
        <w:t>n generar efectos relacionales</w:t>
      </w:r>
      <w:r w:rsidR="004A27AC">
        <w:rPr>
          <w:rFonts w:ascii="Roboto" w:eastAsia="Roboto" w:hAnsi="Roboto" w:cs="Roboto"/>
          <w:color w:val="000000"/>
          <w:sz w:val="20"/>
          <w:szCs w:val="20"/>
        </w:rPr>
        <w:t>; d</w:t>
      </w:r>
      <w:r w:rsidR="00C56FF9">
        <w:rPr>
          <w:rFonts w:ascii="Roboto" w:eastAsia="Roboto" w:hAnsi="Roboto" w:cs="Roboto"/>
          <w:color w:val="000000"/>
          <w:sz w:val="20"/>
          <w:szCs w:val="20"/>
        </w:rPr>
        <w:t xml:space="preserve">onde las intervenciones de proximidad </w:t>
      </w:r>
      <w:r w:rsidR="004A27AC">
        <w:rPr>
          <w:rFonts w:ascii="Roboto" w:eastAsia="Roboto" w:hAnsi="Roboto" w:cs="Roboto"/>
          <w:color w:val="000000"/>
          <w:sz w:val="20"/>
          <w:szCs w:val="20"/>
        </w:rPr>
        <w:t>no son acciones aisladas, sino parte de un todo, de un sistema urbano dinámico.</w:t>
      </w:r>
    </w:p>
    <w:p w14:paraId="2CE78B1D" w14:textId="585764D0" w:rsidR="004A27AC" w:rsidRDefault="007828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Así pues, la investigación adopta un enfoque </w:t>
      </w:r>
      <w:r w:rsidR="00845E8F">
        <w:rPr>
          <w:rFonts w:ascii="Roboto" w:eastAsia="Roboto" w:hAnsi="Roboto" w:cs="Roboto"/>
          <w:color w:val="000000"/>
          <w:sz w:val="20"/>
          <w:szCs w:val="20"/>
        </w:rPr>
        <w:t>cualitativo basado en: el diagnóstico morfológico y funcional del entorno inmediato</w:t>
      </w:r>
      <w:r w:rsidR="00E473B6">
        <w:rPr>
          <w:rFonts w:ascii="Roboto" w:eastAsia="Roboto" w:hAnsi="Roboto" w:cs="Roboto"/>
          <w:color w:val="000000"/>
          <w:sz w:val="20"/>
          <w:szCs w:val="20"/>
        </w:rPr>
        <w:t xml:space="preserve">; identificación de nodos críticos de movilidad y fragmentación espacial; </w:t>
      </w:r>
      <w:r w:rsidR="00E47082">
        <w:rPr>
          <w:rFonts w:ascii="Roboto" w:eastAsia="Roboto" w:hAnsi="Roboto" w:cs="Roboto"/>
          <w:color w:val="000000"/>
          <w:sz w:val="20"/>
          <w:szCs w:val="20"/>
        </w:rPr>
        <w:t>entrevista a actores clave; desarrollo y análisis comparativo de dos intervenciones acad</w:t>
      </w:r>
      <w:r w:rsidR="008F0F59">
        <w:rPr>
          <w:rFonts w:ascii="Roboto" w:eastAsia="Roboto" w:hAnsi="Roboto" w:cs="Roboto"/>
          <w:color w:val="000000"/>
          <w:sz w:val="20"/>
          <w:szCs w:val="20"/>
        </w:rPr>
        <w:t>émicas (2024-2025).</w:t>
      </w:r>
    </w:p>
    <w:p w14:paraId="2BC366E4" w14:textId="27E39524" w:rsidR="008F0F59" w:rsidRDefault="008F0F5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Basándose en </w:t>
      </w:r>
      <w:r w:rsidR="00EF0DE0">
        <w:rPr>
          <w:rFonts w:ascii="Roboto" w:eastAsia="Roboto" w:hAnsi="Roboto" w:cs="Roboto"/>
          <w:color w:val="000000"/>
          <w:sz w:val="20"/>
          <w:szCs w:val="20"/>
        </w:rPr>
        <w:t xml:space="preserve">la unidad de análisis </w:t>
      </w:r>
      <w:proofErr w:type="spellStart"/>
      <w:r w:rsidR="00EF0DE0">
        <w:rPr>
          <w:rFonts w:ascii="Roboto" w:eastAsia="Roboto" w:hAnsi="Roboto" w:cs="Roboto"/>
          <w:color w:val="000000"/>
          <w:sz w:val="20"/>
          <w:szCs w:val="20"/>
        </w:rPr>
        <w:t>micro-territorial</w:t>
      </w:r>
      <w:proofErr w:type="spellEnd"/>
      <w:r w:rsidR="00EF0DE0">
        <w:rPr>
          <w:rFonts w:ascii="Roboto" w:eastAsia="Roboto" w:hAnsi="Roboto" w:cs="Roboto"/>
          <w:color w:val="000000"/>
          <w:sz w:val="20"/>
          <w:szCs w:val="20"/>
        </w:rPr>
        <w:t xml:space="preserve"> que corresponde al entorno de proximidad que integra la Universidad con la Colonia Gobernadores y fraccionamientos circundantes</w:t>
      </w:r>
      <w:r w:rsidR="00F32E6C">
        <w:rPr>
          <w:rFonts w:ascii="Roboto" w:eastAsia="Roboto" w:hAnsi="Roboto" w:cs="Roboto"/>
          <w:color w:val="000000"/>
          <w:sz w:val="20"/>
          <w:szCs w:val="20"/>
        </w:rPr>
        <w:t>, con especial énfasis en el nodo Díaz Ordaz y Orión Norte.</w:t>
      </w:r>
      <w:r w:rsidR="00A4751F">
        <w:rPr>
          <w:rFonts w:ascii="Roboto" w:eastAsia="Roboto" w:hAnsi="Roboto" w:cs="Roboto"/>
          <w:color w:val="000000"/>
          <w:sz w:val="20"/>
          <w:szCs w:val="20"/>
        </w:rPr>
        <w:t xml:space="preserve"> Este diseño metodológico permite observar la transición entre el diagnóstico proyectual y </w:t>
      </w:r>
      <w:r w:rsidR="00987A11">
        <w:rPr>
          <w:rFonts w:ascii="Roboto" w:eastAsia="Roboto" w:hAnsi="Roboto" w:cs="Roboto"/>
          <w:color w:val="000000"/>
          <w:sz w:val="20"/>
          <w:szCs w:val="20"/>
        </w:rPr>
        <w:t>la intervención táctica, así como la incidencia en las dinámicas de uso del espacio público.</w:t>
      </w:r>
      <w:r w:rsidR="003C75EE" w:rsidRPr="003C75EE">
        <w:rPr>
          <w:rFonts w:ascii="Roboto" w:eastAsia="Roboto" w:hAnsi="Roboto" w:cs="Roboto"/>
          <w:noProof/>
          <w:sz w:val="20"/>
          <w:szCs w:val="20"/>
        </w:rPr>
        <w:t xml:space="preserve"> </w:t>
      </w:r>
    </w:p>
    <w:p w14:paraId="415982CF" w14:textId="21FC03B0" w:rsidR="00334548" w:rsidRDefault="0033454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62F23F01" w14:textId="1C32255C" w:rsidR="00334548" w:rsidRDefault="00334548" w:rsidP="0033454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RESULTADOS</w:t>
      </w:r>
    </w:p>
    <w:p w14:paraId="4ACFF2C5" w14:textId="23C1311D" w:rsidR="00F47170" w:rsidRDefault="00F47170" w:rsidP="0033454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Diagnóstico proyectual (2024)</w:t>
      </w:r>
    </w:p>
    <w:p w14:paraId="59B73AF5" w14:textId="61CB076F" w:rsidR="00302A8E" w:rsidRDefault="00903BA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Se inició con un</w:t>
      </w:r>
      <w:r w:rsidR="00F47170">
        <w:rPr>
          <w:rFonts w:ascii="Roboto" w:eastAsia="Roboto" w:hAnsi="Roboto" w:cs="Roboto"/>
          <w:color w:val="000000"/>
          <w:sz w:val="20"/>
          <w:szCs w:val="20"/>
        </w:rPr>
        <w:t xml:space="preserve"> análisis</w:t>
      </w:r>
      <w:r w:rsidR="00D325D9">
        <w:rPr>
          <w:rFonts w:ascii="Roboto" w:eastAsia="Roboto" w:hAnsi="Roboto" w:cs="Roboto"/>
          <w:color w:val="000000"/>
          <w:sz w:val="20"/>
          <w:szCs w:val="20"/>
        </w:rPr>
        <w:t xml:space="preserve"> territorial</w:t>
      </w:r>
      <w:r w:rsidR="00F47170">
        <w:rPr>
          <w:rFonts w:ascii="Roboto" w:eastAsia="Roboto" w:hAnsi="Roboto" w:cs="Roboto"/>
          <w:color w:val="000000"/>
          <w:sz w:val="20"/>
          <w:szCs w:val="20"/>
        </w:rPr>
        <w:t xml:space="preserve"> realizado por 1</w:t>
      </w:r>
      <w:r w:rsidR="00310937">
        <w:rPr>
          <w:rFonts w:ascii="Roboto" w:eastAsia="Roboto" w:hAnsi="Roboto" w:cs="Roboto"/>
          <w:color w:val="000000"/>
          <w:sz w:val="20"/>
          <w:szCs w:val="20"/>
        </w:rPr>
        <w:t xml:space="preserve">26 </w:t>
      </w:r>
      <w:r w:rsidR="00F47170">
        <w:rPr>
          <w:rFonts w:ascii="Roboto" w:eastAsia="Roboto" w:hAnsi="Roboto" w:cs="Roboto"/>
          <w:color w:val="000000"/>
          <w:sz w:val="20"/>
          <w:szCs w:val="20"/>
        </w:rPr>
        <w:t>estudiante</w:t>
      </w:r>
      <w:r w:rsidR="00310937">
        <w:rPr>
          <w:rFonts w:ascii="Roboto" w:eastAsia="Roboto" w:hAnsi="Roboto" w:cs="Roboto"/>
          <w:color w:val="000000"/>
          <w:sz w:val="20"/>
          <w:szCs w:val="20"/>
        </w:rPr>
        <w:t>s</w:t>
      </w:r>
      <w:r w:rsidR="00F47170">
        <w:rPr>
          <w:rFonts w:ascii="Roboto" w:eastAsia="Roboto" w:hAnsi="Roboto" w:cs="Roboto"/>
          <w:color w:val="000000"/>
          <w:sz w:val="20"/>
          <w:szCs w:val="20"/>
        </w:rPr>
        <w:t xml:space="preserve"> de la licenciatura de arquitectura</w:t>
      </w:r>
      <w:r w:rsidR="00EC2282">
        <w:rPr>
          <w:rFonts w:ascii="Roboto" w:eastAsia="Roboto" w:hAnsi="Roboto" w:cs="Roboto"/>
          <w:color w:val="000000"/>
          <w:sz w:val="20"/>
          <w:szCs w:val="20"/>
        </w:rPr>
        <w:t>,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que</w:t>
      </w:r>
      <w:r w:rsidR="00EC2282">
        <w:rPr>
          <w:rFonts w:ascii="Roboto" w:eastAsia="Roboto" w:hAnsi="Roboto" w:cs="Roboto"/>
          <w:color w:val="000000"/>
          <w:sz w:val="20"/>
          <w:szCs w:val="20"/>
        </w:rPr>
        <w:t xml:space="preserve"> evidenció el predominio vehicular, la discontinuidad peatonal y la ausencia de </w:t>
      </w:r>
      <w:r w:rsidR="00566BDC">
        <w:rPr>
          <w:rFonts w:ascii="Roboto" w:eastAsia="Roboto" w:hAnsi="Roboto" w:cs="Roboto"/>
          <w:color w:val="000000"/>
          <w:sz w:val="20"/>
          <w:szCs w:val="20"/>
        </w:rPr>
        <w:t xml:space="preserve">mobiliario urbano de permanencia. Las </w:t>
      </w:r>
      <w:r w:rsidR="00C04F27">
        <w:rPr>
          <w:rFonts w:ascii="Roboto" w:eastAsia="Roboto" w:hAnsi="Roboto" w:cs="Roboto"/>
          <w:color w:val="000000"/>
          <w:sz w:val="20"/>
          <w:szCs w:val="20"/>
        </w:rPr>
        <w:t xml:space="preserve">12 propuestas desarrolladas en equipos, reformularon el nodo de intersección </w:t>
      </w:r>
      <w:r w:rsidR="00FC4776">
        <w:rPr>
          <w:rFonts w:ascii="Roboto" w:eastAsia="Roboto" w:hAnsi="Roboto" w:cs="Roboto"/>
          <w:color w:val="000000"/>
          <w:sz w:val="20"/>
          <w:szCs w:val="20"/>
        </w:rPr>
        <w:t>entre Boulevard Díaz Ordaz y Orión Norte</w:t>
      </w:r>
      <w:r w:rsidR="00C96EF9">
        <w:rPr>
          <w:rFonts w:ascii="Roboto" w:eastAsia="Roboto" w:hAnsi="Roboto" w:cs="Roboto"/>
          <w:color w:val="000000"/>
          <w:sz w:val="20"/>
          <w:szCs w:val="20"/>
        </w:rPr>
        <w:t xml:space="preserve"> como posible infraestructura social, se propone también la recuperación de zonas verdes como parques interconectados creando una </w:t>
      </w:r>
      <w:r w:rsidR="00803B3D">
        <w:rPr>
          <w:rFonts w:ascii="Roboto" w:eastAsia="Roboto" w:hAnsi="Roboto" w:cs="Roboto"/>
          <w:color w:val="000000"/>
          <w:sz w:val="20"/>
          <w:szCs w:val="20"/>
        </w:rPr>
        <w:t>“anillo verde” que permita explorar nuevas conexiones y tipos de movilidad</w:t>
      </w:r>
      <w:r w:rsidR="00900447">
        <w:rPr>
          <w:rFonts w:ascii="Roboto" w:eastAsia="Roboto" w:hAnsi="Roboto" w:cs="Roboto"/>
          <w:color w:val="000000"/>
          <w:sz w:val="20"/>
          <w:szCs w:val="20"/>
        </w:rPr>
        <w:t>; introduciendo mej</w:t>
      </w:r>
      <w:r w:rsidR="003C4235">
        <w:rPr>
          <w:rFonts w:ascii="Roboto" w:eastAsia="Roboto" w:hAnsi="Roboto" w:cs="Roboto"/>
          <w:color w:val="000000"/>
          <w:sz w:val="20"/>
          <w:szCs w:val="20"/>
        </w:rPr>
        <w:t>o</w:t>
      </w:r>
      <w:r w:rsidR="00900447">
        <w:rPr>
          <w:rFonts w:ascii="Roboto" w:eastAsia="Roboto" w:hAnsi="Roboto" w:cs="Roboto"/>
          <w:color w:val="000000"/>
          <w:sz w:val="20"/>
          <w:szCs w:val="20"/>
        </w:rPr>
        <w:t>r</w:t>
      </w:r>
      <w:r w:rsidR="003C4235">
        <w:rPr>
          <w:rFonts w:ascii="Roboto" w:eastAsia="Roboto" w:hAnsi="Roboto" w:cs="Roboto"/>
          <w:color w:val="000000"/>
          <w:sz w:val="20"/>
          <w:szCs w:val="20"/>
        </w:rPr>
        <w:t>a</w:t>
      </w:r>
      <w:r w:rsidR="00900447">
        <w:rPr>
          <w:rFonts w:ascii="Roboto" w:eastAsia="Roboto" w:hAnsi="Roboto" w:cs="Roboto"/>
          <w:color w:val="000000"/>
          <w:sz w:val="20"/>
          <w:szCs w:val="20"/>
        </w:rPr>
        <w:t>s en la accesibilidad y la generación de microespacios de encuentro.</w:t>
      </w:r>
    </w:p>
    <w:p w14:paraId="017071DD" w14:textId="2B469F46" w:rsidR="00900447" w:rsidRDefault="0090044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Esta fase permitió identificar las condiciones espaciales necesarias para </w:t>
      </w:r>
      <w:r w:rsidR="00F7086F">
        <w:rPr>
          <w:rFonts w:ascii="Roboto" w:eastAsia="Roboto" w:hAnsi="Roboto" w:cs="Roboto"/>
          <w:color w:val="000000"/>
          <w:sz w:val="20"/>
          <w:szCs w:val="20"/>
        </w:rPr>
        <w:t>propiciar el encuentro y la identidad.</w:t>
      </w:r>
    </w:p>
    <w:p w14:paraId="4F590C8E" w14:textId="33CCDE80" w:rsidR="00F7086F" w:rsidRDefault="00F7086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402A2127" w14:textId="400153C9" w:rsidR="00F7086F" w:rsidRDefault="00F7086F" w:rsidP="00F7086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Activación táctica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 xml:space="preserve"> (202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>5</w:t>
      </w:r>
      <w:r>
        <w:rPr>
          <w:rFonts w:ascii="Roboto" w:eastAsia="Roboto" w:hAnsi="Roboto" w:cs="Roboto"/>
          <w:b/>
          <w:color w:val="000000"/>
          <w:sz w:val="20"/>
          <w:szCs w:val="20"/>
        </w:rPr>
        <w:t>)</w:t>
      </w:r>
      <w:r w:rsidR="003F2C4D" w:rsidRPr="003F2C4D">
        <w:rPr>
          <w:rFonts w:ascii="Roboto" w:eastAsia="Roboto" w:hAnsi="Roboto" w:cs="Roboto"/>
          <w:noProof/>
          <w:color w:val="000000"/>
          <w:sz w:val="20"/>
          <w:szCs w:val="20"/>
        </w:rPr>
        <w:t xml:space="preserve"> </w:t>
      </w:r>
    </w:p>
    <w:p w14:paraId="24D66C6A" w14:textId="4F522461" w:rsidR="00956592" w:rsidRDefault="0031093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noProof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En 2025, 168 estudiantes </w:t>
      </w:r>
      <w:r w:rsidR="00956592">
        <w:rPr>
          <w:rFonts w:ascii="Roboto" w:eastAsia="Roboto" w:hAnsi="Roboto" w:cs="Roboto"/>
          <w:color w:val="000000"/>
          <w:sz w:val="20"/>
          <w:szCs w:val="20"/>
        </w:rPr>
        <w:t xml:space="preserve">implementaron una intervención de urbanismo táctico sobre el camellón central del </w:t>
      </w:r>
      <w:proofErr w:type="spellStart"/>
      <w:r w:rsidR="00956592">
        <w:rPr>
          <w:rFonts w:ascii="Roboto" w:eastAsia="Roboto" w:hAnsi="Roboto" w:cs="Roboto"/>
          <w:color w:val="000000"/>
          <w:sz w:val="20"/>
          <w:szCs w:val="20"/>
        </w:rPr>
        <w:t>B</w:t>
      </w:r>
      <w:r w:rsidR="0033350E">
        <w:rPr>
          <w:rFonts w:ascii="Roboto" w:eastAsia="Roboto" w:hAnsi="Roboto" w:cs="Roboto"/>
          <w:color w:val="000000"/>
          <w:sz w:val="20"/>
          <w:szCs w:val="20"/>
        </w:rPr>
        <w:t>lvd</w:t>
      </w:r>
      <w:proofErr w:type="spellEnd"/>
      <w:r w:rsidR="0033350E">
        <w:rPr>
          <w:rFonts w:ascii="Roboto" w:eastAsia="Roboto" w:hAnsi="Roboto" w:cs="Roboto"/>
          <w:color w:val="000000"/>
          <w:sz w:val="20"/>
          <w:szCs w:val="20"/>
        </w:rPr>
        <w:t>. Díaz Ordaz.</w:t>
      </w:r>
      <w:r w:rsidR="003F2C4D" w:rsidRPr="003F2C4D">
        <w:rPr>
          <w:rFonts w:ascii="Roboto" w:eastAsia="Roboto" w:hAnsi="Roboto" w:cs="Roboto"/>
          <w:noProof/>
          <w:color w:val="000000"/>
          <w:sz w:val="20"/>
          <w:szCs w:val="20"/>
        </w:rPr>
        <w:t xml:space="preserve"> </w:t>
      </w:r>
      <w:r w:rsidR="0033350E">
        <w:rPr>
          <w:rFonts w:ascii="Roboto" w:eastAsia="Roboto" w:hAnsi="Roboto" w:cs="Roboto"/>
          <w:color w:val="000000"/>
          <w:sz w:val="20"/>
          <w:szCs w:val="20"/>
        </w:rPr>
        <w:t>La acción i</w:t>
      </w:r>
      <w:r w:rsidR="00B04876">
        <w:rPr>
          <w:rFonts w:ascii="Roboto" w:eastAsia="Roboto" w:hAnsi="Roboto" w:cs="Roboto"/>
          <w:color w:val="000000"/>
          <w:sz w:val="20"/>
          <w:szCs w:val="20"/>
        </w:rPr>
        <w:t xml:space="preserve">ncorporó delimitaciones peatonales temporales, así como configuraciones orientadas a favorecer la permanencia en el sitio y el tránsito seguro. </w:t>
      </w:r>
      <w:r w:rsidR="006A7EB1">
        <w:rPr>
          <w:rFonts w:ascii="Roboto" w:eastAsia="Roboto" w:hAnsi="Roboto" w:cs="Roboto"/>
          <w:color w:val="000000"/>
          <w:sz w:val="20"/>
          <w:szCs w:val="20"/>
        </w:rPr>
        <w:t>L</w:t>
      </w:r>
      <w:r w:rsidR="00BE12E7">
        <w:rPr>
          <w:rFonts w:ascii="Roboto" w:eastAsia="Roboto" w:hAnsi="Roboto" w:cs="Roboto"/>
          <w:color w:val="000000"/>
          <w:sz w:val="20"/>
          <w:szCs w:val="20"/>
        </w:rPr>
        <w:t>os resultados evidenciaron mayor uso temporal del espacio</w:t>
      </w:r>
      <w:r w:rsidR="009217FB">
        <w:rPr>
          <w:rFonts w:ascii="Roboto" w:eastAsia="Roboto" w:hAnsi="Roboto" w:cs="Roboto"/>
          <w:color w:val="000000"/>
          <w:sz w:val="20"/>
          <w:szCs w:val="20"/>
        </w:rPr>
        <w:t xml:space="preserve"> público y un creciente reconocimiento del </w:t>
      </w:r>
      <w:r w:rsidR="002C4DE9">
        <w:rPr>
          <w:rFonts w:ascii="Roboto" w:eastAsia="Roboto" w:hAnsi="Roboto" w:cs="Roboto"/>
          <w:color w:val="000000"/>
          <w:sz w:val="20"/>
          <w:szCs w:val="20"/>
        </w:rPr>
        <w:t xml:space="preserve">camellón </w:t>
      </w:r>
      <w:r w:rsidR="002634AD">
        <w:rPr>
          <w:rFonts w:ascii="Roboto" w:eastAsia="Roboto" w:hAnsi="Roboto" w:cs="Roboto"/>
          <w:color w:val="000000"/>
          <w:sz w:val="20"/>
          <w:szCs w:val="20"/>
        </w:rPr>
        <w:t xml:space="preserve">y su dimensión potencial de área de encuentro, lo que sugiere un fortalecimiento </w:t>
      </w:r>
      <w:r w:rsidR="000330F3">
        <w:rPr>
          <w:rFonts w:ascii="Roboto" w:eastAsia="Roboto" w:hAnsi="Roboto" w:cs="Roboto"/>
          <w:color w:val="000000"/>
          <w:sz w:val="20"/>
          <w:szCs w:val="20"/>
        </w:rPr>
        <w:t>en las</w:t>
      </w:r>
      <w:r w:rsidR="002634AD">
        <w:rPr>
          <w:rFonts w:ascii="Roboto" w:eastAsia="Roboto" w:hAnsi="Roboto" w:cs="Roboto"/>
          <w:color w:val="000000"/>
          <w:sz w:val="20"/>
          <w:szCs w:val="20"/>
        </w:rPr>
        <w:t xml:space="preserve"> prácticas de apropiación.</w:t>
      </w:r>
      <w:r w:rsidR="003F2C4D" w:rsidRPr="003F2C4D">
        <w:rPr>
          <w:rFonts w:ascii="Roboto" w:eastAsia="Roboto" w:hAnsi="Roboto" w:cs="Roboto"/>
          <w:noProof/>
          <w:color w:val="000000"/>
          <w:sz w:val="20"/>
          <w:szCs w:val="20"/>
        </w:rPr>
        <w:t xml:space="preserve"> </w:t>
      </w:r>
      <w:r w:rsidR="00CC47FB">
        <w:rPr>
          <w:rFonts w:ascii="Roboto" w:eastAsia="Roboto" w:hAnsi="Roboto" w:cs="Roboto"/>
          <w:noProof/>
          <w:color w:val="000000"/>
          <w:sz w:val="20"/>
          <w:szCs w:val="20"/>
        </w:rPr>
        <w:t>(</w:t>
      </w:r>
      <w:r w:rsidR="00C71A76" w:rsidRPr="00C71A76">
        <w:rPr>
          <w:rFonts w:ascii="Roboto" w:eastAsia="Roboto" w:hAnsi="Roboto" w:cs="Roboto"/>
          <w:b/>
          <w:bCs/>
          <w:noProof/>
          <w:color w:val="000000"/>
          <w:sz w:val="20"/>
          <w:szCs w:val="20"/>
        </w:rPr>
        <w:t>Figura 2</w:t>
      </w:r>
      <w:r w:rsidR="00CC47FB">
        <w:rPr>
          <w:rFonts w:ascii="Roboto" w:eastAsia="Roboto" w:hAnsi="Roboto" w:cs="Roboto"/>
          <w:b/>
          <w:bCs/>
          <w:noProof/>
          <w:color w:val="000000"/>
          <w:sz w:val="20"/>
          <w:szCs w:val="20"/>
        </w:rPr>
        <w:t>)</w:t>
      </w:r>
    </w:p>
    <w:p w14:paraId="7CEC0A89" w14:textId="77777777" w:rsidR="00C71A76" w:rsidRDefault="00C71A7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02D4C1B0" w14:textId="3F525CAE" w:rsidR="00956592" w:rsidRDefault="003F2C4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noProof/>
          <w:color w:val="000000"/>
          <w:sz w:val="20"/>
          <w:szCs w:val="20"/>
        </w:rPr>
        <w:drawing>
          <wp:inline distT="0" distB="0" distL="0" distR="0" wp14:anchorId="017594B5" wp14:editId="16D688FF">
            <wp:extent cx="3003550" cy="2006600"/>
            <wp:effectExtent l="0" t="0" r="635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3550" cy="200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BA4D79" w14:textId="264B617F" w:rsidR="003F2C4D" w:rsidRDefault="00C71A7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CC47FB">
        <w:rPr>
          <w:rFonts w:ascii="Roboto" w:eastAsia="Roboto" w:hAnsi="Roboto" w:cs="Roboto"/>
          <w:b/>
          <w:bCs/>
          <w:color w:val="000000"/>
          <w:sz w:val="20"/>
          <w:szCs w:val="20"/>
        </w:rPr>
        <w:t>Figura 2.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CC47FB">
        <w:rPr>
          <w:rFonts w:ascii="Roboto" w:eastAsia="Roboto" w:hAnsi="Roboto" w:cs="Roboto"/>
          <w:color w:val="000000"/>
          <w:sz w:val="20"/>
          <w:szCs w:val="20"/>
        </w:rPr>
        <w:t>Estudiantes en el camellón</w:t>
      </w:r>
    </w:p>
    <w:p w14:paraId="34E81A08" w14:textId="77777777" w:rsidR="00CC47FB" w:rsidRDefault="00CC47F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33BD4E19" w14:textId="22A3E525" w:rsidR="000330F3" w:rsidRDefault="000330F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DISCUSIÓN</w:t>
      </w:r>
    </w:p>
    <w:p w14:paraId="2DC0CDA0" w14:textId="55A2534E" w:rsidR="00204AA2" w:rsidRDefault="00CF0AF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Los resultados muestran que la apropiación activa del espacio público contribuye al fortalecimiento de identidad en territorios</w:t>
      </w:r>
      <w:r w:rsidR="00266CE6">
        <w:rPr>
          <w:rFonts w:ascii="Roboto" w:eastAsia="Roboto" w:hAnsi="Roboto" w:cs="Roboto"/>
          <w:color w:val="000000"/>
          <w:sz w:val="20"/>
          <w:szCs w:val="20"/>
        </w:rPr>
        <w:t xml:space="preserve"> donde esta se encuentra débilmente articulada. </w:t>
      </w:r>
      <w:r w:rsidR="006362EA">
        <w:rPr>
          <w:rFonts w:ascii="Roboto" w:eastAsia="Roboto" w:hAnsi="Roboto" w:cs="Roboto"/>
          <w:color w:val="000000"/>
          <w:sz w:val="20"/>
          <w:szCs w:val="20"/>
        </w:rPr>
        <w:t>Cuando es</w:t>
      </w:r>
      <w:r w:rsidR="00613E6B">
        <w:rPr>
          <w:rFonts w:ascii="Roboto" w:eastAsia="Roboto" w:hAnsi="Roboto" w:cs="Roboto"/>
          <w:color w:val="000000"/>
          <w:sz w:val="20"/>
          <w:szCs w:val="20"/>
        </w:rPr>
        <w:t>e</w:t>
      </w:r>
      <w:r w:rsidR="006362EA">
        <w:rPr>
          <w:rFonts w:ascii="Roboto" w:eastAsia="Roboto" w:hAnsi="Roboto" w:cs="Roboto"/>
          <w:color w:val="000000"/>
          <w:sz w:val="20"/>
          <w:szCs w:val="20"/>
        </w:rPr>
        <w:t xml:space="preserve"> espacio deja de ser tránsito anónimo y se transforma en lugar de permanencia y encuentro, se refuerza el reconocimiento colectivo del entorno</w:t>
      </w:r>
      <w:r w:rsidR="00154A30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</w:p>
    <w:p w14:paraId="642A97C9" w14:textId="274A5953" w:rsidR="00266CE6" w:rsidRDefault="00204AA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Diversos estudios coinciden en que la resignificación del espacio público permite proyectar y consolidar identidades urbanas emergentes (</w:t>
      </w:r>
      <w:proofErr w:type="spellStart"/>
      <w:r>
        <w:rPr>
          <w:rFonts w:ascii="Roboto" w:eastAsia="Roboto" w:hAnsi="Roboto" w:cs="Roboto"/>
          <w:color w:val="000000"/>
          <w:sz w:val="20"/>
          <w:szCs w:val="20"/>
        </w:rPr>
        <w:t>S</w:t>
      </w:r>
      <w:r w:rsidR="00E47716">
        <w:rPr>
          <w:rFonts w:ascii="Roboto" w:eastAsia="Roboto" w:hAnsi="Roboto" w:cs="Roboto"/>
          <w:color w:val="000000"/>
          <w:sz w:val="20"/>
          <w:szCs w:val="20"/>
        </w:rPr>
        <w:t>chlack</w:t>
      </w:r>
      <w:proofErr w:type="spellEnd"/>
      <w:r w:rsidR="00E47716">
        <w:rPr>
          <w:rFonts w:ascii="Roboto" w:eastAsia="Roboto" w:hAnsi="Roboto" w:cs="Roboto"/>
          <w:color w:val="000000"/>
          <w:sz w:val="20"/>
          <w:szCs w:val="20"/>
        </w:rPr>
        <w:t>, 2022)</w:t>
      </w:r>
      <w:r w:rsidR="00C71A76">
        <w:rPr>
          <w:rFonts w:ascii="Roboto" w:eastAsia="Roboto" w:hAnsi="Roboto" w:cs="Roboto"/>
          <w:color w:val="000000"/>
          <w:sz w:val="20"/>
          <w:szCs w:val="20"/>
        </w:rPr>
        <w:t>, particularmente en ciudades intermedias. L</w:t>
      </w:r>
      <w:r w:rsidR="00450BFD">
        <w:rPr>
          <w:rFonts w:ascii="Roboto" w:eastAsia="Roboto" w:hAnsi="Roboto" w:cs="Roboto"/>
          <w:color w:val="000000"/>
          <w:sz w:val="20"/>
          <w:szCs w:val="20"/>
        </w:rPr>
        <w:t>o que conlleva una resignificación que opera simultáneamente en el plano físico y simbólico</w:t>
      </w:r>
      <w:r w:rsidR="006B5AD8">
        <w:rPr>
          <w:rFonts w:ascii="Roboto" w:eastAsia="Roboto" w:hAnsi="Roboto" w:cs="Roboto"/>
          <w:color w:val="000000"/>
          <w:sz w:val="20"/>
          <w:szCs w:val="20"/>
        </w:rPr>
        <w:t>, consolidando procesos identitarios de manera progresiva.</w:t>
      </w:r>
    </w:p>
    <w:p w14:paraId="61251795" w14:textId="77777777" w:rsidR="003029EC" w:rsidRDefault="006B5AD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El caso del Barrio Anáhuac</w:t>
      </w:r>
      <w:r w:rsidR="001748B1">
        <w:rPr>
          <w:rFonts w:ascii="Roboto" w:eastAsia="Roboto" w:hAnsi="Roboto" w:cs="Roboto"/>
          <w:color w:val="000000"/>
          <w:sz w:val="20"/>
          <w:szCs w:val="20"/>
        </w:rPr>
        <w:t xml:space="preserve"> permite observar cómo intervenciones incrementales</w:t>
      </w:r>
      <w:r w:rsidR="00BD3971">
        <w:rPr>
          <w:rFonts w:ascii="Roboto" w:eastAsia="Roboto" w:hAnsi="Roboto" w:cs="Roboto"/>
          <w:color w:val="000000"/>
          <w:sz w:val="20"/>
          <w:szCs w:val="20"/>
        </w:rPr>
        <w:t xml:space="preserve">, articuladas con diagnósticos situados y seguimiento longitudinal, pueden fortalecer </w:t>
      </w:r>
      <w:r w:rsidR="009F3CEA">
        <w:rPr>
          <w:rFonts w:ascii="Roboto" w:eastAsia="Roboto" w:hAnsi="Roboto" w:cs="Roboto"/>
          <w:color w:val="000000"/>
          <w:sz w:val="20"/>
          <w:szCs w:val="20"/>
        </w:rPr>
        <w:t xml:space="preserve">la </w:t>
      </w:r>
      <w:r w:rsidR="00BD3971">
        <w:rPr>
          <w:rFonts w:ascii="Roboto" w:eastAsia="Roboto" w:hAnsi="Roboto" w:cs="Roboto"/>
          <w:color w:val="000000"/>
          <w:sz w:val="20"/>
          <w:szCs w:val="20"/>
        </w:rPr>
        <w:t>identidad</w:t>
      </w:r>
      <w:r w:rsidR="00827532">
        <w:rPr>
          <w:rFonts w:ascii="Roboto" w:eastAsia="Roboto" w:hAnsi="Roboto" w:cs="Roboto"/>
          <w:color w:val="000000"/>
          <w:sz w:val="20"/>
          <w:szCs w:val="20"/>
        </w:rPr>
        <w:t xml:space="preserve"> sin requerir transformaciones estructurales de gran escala.</w:t>
      </w:r>
    </w:p>
    <w:p w14:paraId="6AB68AE9" w14:textId="11D4A152" w:rsidR="006B5AD8" w:rsidRDefault="006B5AD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18A74026" w14:textId="35BE4038" w:rsidR="003029EC" w:rsidRDefault="003029EC" w:rsidP="003029EC">
      <w:pPr>
        <w:jc w:val="both"/>
        <w:rPr>
          <w:rFonts w:ascii="Roboto" w:eastAsia="Roboto" w:hAnsi="Roboto" w:cs="Roboto"/>
          <w:b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>CONCLUSIONES</w:t>
      </w:r>
    </w:p>
    <w:p w14:paraId="153F1FDF" w14:textId="5963144B" w:rsidR="003029EC" w:rsidRDefault="003029E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La investigación </w:t>
      </w:r>
      <w:r w:rsidR="0016696F">
        <w:rPr>
          <w:rFonts w:ascii="Roboto" w:eastAsia="Roboto" w:hAnsi="Roboto" w:cs="Roboto"/>
          <w:color w:val="000000"/>
          <w:sz w:val="20"/>
          <w:szCs w:val="20"/>
        </w:rPr>
        <w:t>evidencía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que la apropiación y resignificación del espacio público </w:t>
      </w:r>
      <w:r w:rsidR="000241C8">
        <w:rPr>
          <w:rFonts w:ascii="Roboto" w:eastAsia="Roboto" w:hAnsi="Roboto" w:cs="Roboto"/>
          <w:color w:val="000000"/>
          <w:sz w:val="20"/>
          <w:szCs w:val="20"/>
        </w:rPr>
        <w:t xml:space="preserve">funcionan como procesos efectivos para el fortalecimiento de la identidad en contextos urbanos recientes o fragmentados. </w:t>
      </w:r>
    </w:p>
    <w:p w14:paraId="4260E762" w14:textId="5412B3A9" w:rsidR="000241C8" w:rsidRDefault="000241C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El Barrio Anáhuac se configura como caso de estudio donde la activación estratégica del espacio público </w:t>
      </w:r>
      <w:r>
        <w:rPr>
          <w:rFonts w:ascii="Roboto" w:eastAsia="Roboto" w:hAnsi="Roboto" w:cs="Roboto"/>
          <w:color w:val="000000"/>
          <w:sz w:val="20"/>
          <w:szCs w:val="20"/>
        </w:rPr>
        <w:t>recupera la lógica histórica del barrio como escala de interacción comunitaria</w:t>
      </w:r>
      <w:r w:rsidR="00DB4840">
        <w:rPr>
          <w:rFonts w:ascii="Roboto" w:eastAsia="Roboto" w:hAnsi="Roboto" w:cs="Roboto"/>
          <w:color w:val="000000"/>
          <w:sz w:val="20"/>
          <w:szCs w:val="20"/>
        </w:rPr>
        <w:t>, adaptada a un</w:t>
      </w:r>
      <w:r w:rsidR="006F418A">
        <w:rPr>
          <w:rFonts w:ascii="Roboto" w:eastAsia="Roboto" w:hAnsi="Roboto" w:cs="Roboto"/>
          <w:color w:val="000000"/>
          <w:sz w:val="20"/>
          <w:szCs w:val="20"/>
        </w:rPr>
        <w:t xml:space="preserve"> e</w:t>
      </w:r>
      <w:r w:rsidR="00DB4840">
        <w:rPr>
          <w:rFonts w:ascii="Roboto" w:eastAsia="Roboto" w:hAnsi="Roboto" w:cs="Roboto"/>
          <w:color w:val="000000"/>
          <w:sz w:val="20"/>
          <w:szCs w:val="20"/>
        </w:rPr>
        <w:t>ntorno metropolitano contemporáneo.</w:t>
      </w:r>
      <w:r w:rsidR="006F418A">
        <w:rPr>
          <w:rFonts w:ascii="Roboto" w:eastAsia="Roboto" w:hAnsi="Roboto" w:cs="Roboto"/>
          <w:color w:val="000000"/>
          <w:sz w:val="20"/>
          <w:szCs w:val="20"/>
        </w:rPr>
        <w:t xml:space="preserve"> Esto </w:t>
      </w:r>
      <w:r w:rsidR="00D95857">
        <w:rPr>
          <w:rFonts w:ascii="Roboto" w:eastAsia="Roboto" w:hAnsi="Roboto" w:cs="Roboto"/>
          <w:color w:val="000000"/>
          <w:sz w:val="20"/>
          <w:szCs w:val="20"/>
        </w:rPr>
        <w:t xml:space="preserve">tiene fuertes implicaciones en el papel de las universidades y la planeación urbana, experiencias como el Distrito </w:t>
      </w:r>
      <w:proofErr w:type="spellStart"/>
      <w:r w:rsidR="00D95857">
        <w:rPr>
          <w:rFonts w:ascii="Roboto" w:eastAsia="Roboto" w:hAnsi="Roboto" w:cs="Roboto"/>
          <w:color w:val="000000"/>
          <w:sz w:val="20"/>
          <w:szCs w:val="20"/>
        </w:rPr>
        <w:t>Tec</w:t>
      </w:r>
      <w:proofErr w:type="spellEnd"/>
      <w:r w:rsidR="00AD4913">
        <w:rPr>
          <w:rFonts w:ascii="Roboto" w:eastAsia="Roboto" w:hAnsi="Roboto" w:cs="Roboto"/>
          <w:color w:val="000000"/>
          <w:sz w:val="20"/>
          <w:szCs w:val="20"/>
        </w:rPr>
        <w:t xml:space="preserve">, impulsado e incorporado en instrumentos de desarrollo urbano local, muestran que la articulación entre las universidades y su entorno puede </w:t>
      </w:r>
      <w:r w:rsidR="00D764F1">
        <w:rPr>
          <w:rFonts w:ascii="Roboto" w:eastAsia="Roboto" w:hAnsi="Roboto" w:cs="Roboto"/>
          <w:color w:val="000000"/>
          <w:sz w:val="20"/>
          <w:szCs w:val="20"/>
        </w:rPr>
        <w:t>integrar estrategias formales de transformación territorial</w:t>
      </w:r>
      <w:r w:rsidR="003A23EF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</w:p>
    <w:p w14:paraId="6C833FEC" w14:textId="42687F00" w:rsidR="007B0DA0" w:rsidRDefault="007B0DA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El fortalecimiento de identidad mediante intervenciones de proximidad</w:t>
      </w:r>
      <w:r w:rsidR="00E3151F">
        <w:rPr>
          <w:rFonts w:ascii="Roboto" w:eastAsia="Roboto" w:hAnsi="Roboto" w:cs="Roboto"/>
          <w:color w:val="000000"/>
          <w:sz w:val="20"/>
          <w:szCs w:val="20"/>
        </w:rPr>
        <w:t xml:space="preserve"> no solo constituye una estrategia espacial</w:t>
      </w:r>
      <w:r w:rsidR="00FF5997">
        <w:rPr>
          <w:rFonts w:ascii="Roboto" w:eastAsia="Roboto" w:hAnsi="Roboto" w:cs="Roboto"/>
          <w:color w:val="000000"/>
          <w:sz w:val="20"/>
          <w:szCs w:val="20"/>
        </w:rPr>
        <w:t>, sino también una posible línea de articulación entre academia</w:t>
      </w:r>
      <w:r w:rsidR="00B9404B">
        <w:rPr>
          <w:rFonts w:ascii="Roboto" w:eastAsia="Roboto" w:hAnsi="Roboto" w:cs="Roboto"/>
          <w:color w:val="000000"/>
          <w:sz w:val="20"/>
          <w:szCs w:val="20"/>
        </w:rPr>
        <w:t>,</w:t>
      </w:r>
      <w:r w:rsidR="00FF5997">
        <w:rPr>
          <w:rFonts w:ascii="Roboto" w:eastAsia="Roboto" w:hAnsi="Roboto" w:cs="Roboto"/>
          <w:color w:val="000000"/>
          <w:sz w:val="20"/>
          <w:szCs w:val="20"/>
        </w:rPr>
        <w:t xml:space="preserve"> territorio</w:t>
      </w:r>
      <w:r w:rsidR="00B9404B">
        <w:rPr>
          <w:rFonts w:ascii="Roboto" w:eastAsia="Roboto" w:hAnsi="Roboto" w:cs="Roboto"/>
          <w:color w:val="000000"/>
          <w:sz w:val="20"/>
          <w:szCs w:val="20"/>
        </w:rPr>
        <w:t xml:space="preserve"> y políticas de desarrollo urbano. </w:t>
      </w:r>
    </w:p>
    <w:p w14:paraId="3DDCEB4E" w14:textId="5585F21F" w:rsidR="00466DAD" w:rsidRDefault="0011679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En etapas posteriores, la incorporación de herramientas de modelación de redes y análisis de centralidades permitir</w:t>
      </w:r>
      <w:r w:rsidR="00FA6902">
        <w:rPr>
          <w:rFonts w:ascii="Roboto" w:eastAsia="Roboto" w:hAnsi="Roboto" w:cs="Roboto"/>
          <w:color w:val="000000"/>
          <w:sz w:val="20"/>
          <w:szCs w:val="20"/>
        </w:rPr>
        <w:t>ían profundizar en la comprensión cuantitativa de cómo las intervenciones de proximidad inciden en la configuración relacional del territorio.</w:t>
      </w:r>
    </w:p>
    <w:p w14:paraId="0C7A3486" w14:textId="77777777" w:rsidR="00032957" w:rsidRDefault="00032957">
      <w:pPr>
        <w:jc w:val="both"/>
        <w:rPr>
          <w:rFonts w:ascii="Roboto" w:eastAsia="Roboto" w:hAnsi="Roboto" w:cs="Roboto"/>
          <w:sz w:val="20"/>
          <w:szCs w:val="20"/>
        </w:rPr>
      </w:pPr>
    </w:p>
    <w:p w14:paraId="473DB3B9" w14:textId="20FB1175" w:rsidR="00032957" w:rsidRDefault="005C49A9">
      <w:pPr>
        <w:jc w:val="both"/>
        <w:rPr>
          <w:rFonts w:ascii="Roboto" w:eastAsia="Roboto" w:hAnsi="Roboto" w:cs="Roboto"/>
          <w:b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 xml:space="preserve">AGRADECIMIENTOS </w:t>
      </w:r>
    </w:p>
    <w:p w14:paraId="25249F25" w14:textId="7F82EECA" w:rsidR="00032957" w:rsidRDefault="007A0194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Se agradece a la Dirección de la Escuela de Arquitectura y Diseño de la Universidad Anáhuac Puebla por su liderazgo</w:t>
      </w:r>
      <w:r w:rsidR="00FB33A6">
        <w:rPr>
          <w:rFonts w:ascii="Roboto" w:eastAsia="Roboto" w:hAnsi="Roboto" w:cs="Roboto"/>
          <w:sz w:val="20"/>
          <w:szCs w:val="20"/>
        </w:rPr>
        <w:t xml:space="preserve"> y respaldo institucional que hicieron posible el desarrollo de los ejercicios de intervención urbana</w:t>
      </w:r>
      <w:r w:rsidR="000903BF">
        <w:rPr>
          <w:rFonts w:ascii="Roboto" w:eastAsia="Roboto" w:hAnsi="Roboto" w:cs="Roboto"/>
          <w:sz w:val="20"/>
          <w:szCs w:val="20"/>
        </w:rPr>
        <w:t>, así como el impulso a las líneas de investigación sobre territorio y espacio público</w:t>
      </w:r>
      <w:r w:rsidR="005C49A9">
        <w:rPr>
          <w:rFonts w:ascii="Roboto" w:eastAsia="Roboto" w:hAnsi="Roboto" w:cs="Roboto"/>
          <w:sz w:val="20"/>
          <w:szCs w:val="20"/>
        </w:rPr>
        <w:t>.</w:t>
      </w:r>
    </w:p>
    <w:p w14:paraId="08FA073E" w14:textId="77777777" w:rsidR="00032957" w:rsidRDefault="00032957">
      <w:pPr>
        <w:jc w:val="both"/>
        <w:rPr>
          <w:rFonts w:ascii="Roboto" w:eastAsia="Roboto" w:hAnsi="Roboto" w:cs="Roboto"/>
          <w:sz w:val="20"/>
          <w:szCs w:val="20"/>
        </w:rPr>
      </w:pPr>
    </w:p>
    <w:p w14:paraId="7AF47CDC" w14:textId="49F7FA63" w:rsidR="00032957" w:rsidRDefault="005C49A9">
      <w:pPr>
        <w:jc w:val="both"/>
        <w:rPr>
          <w:rFonts w:ascii="Roboto" w:eastAsia="Roboto" w:hAnsi="Roboto" w:cs="Roboto"/>
          <w:b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 xml:space="preserve">REFERENCIAS </w:t>
      </w:r>
    </w:p>
    <w:p w14:paraId="6BEF8CE4" w14:textId="3FE4C5C8" w:rsidR="002715F6" w:rsidRDefault="00822D77">
      <w:pPr>
        <w:jc w:val="both"/>
        <w:rPr>
          <w:rFonts w:ascii="Roboto" w:eastAsia="Roboto" w:hAnsi="Roboto" w:cs="Roboto"/>
          <w:sz w:val="20"/>
          <w:szCs w:val="20"/>
        </w:rPr>
      </w:pPr>
      <w:r w:rsidRPr="00822D77">
        <w:rPr>
          <w:rFonts w:ascii="Roboto" w:eastAsia="Roboto" w:hAnsi="Roboto" w:cs="Roboto"/>
          <w:sz w:val="20"/>
          <w:szCs w:val="20"/>
        </w:rPr>
        <w:t xml:space="preserve">Arango Espinal, E. (2025). Local </w:t>
      </w:r>
      <w:proofErr w:type="spellStart"/>
      <w:r w:rsidRPr="00822D77">
        <w:rPr>
          <w:rFonts w:ascii="Roboto" w:eastAsia="Roboto" w:hAnsi="Roboto" w:cs="Roboto"/>
          <w:sz w:val="20"/>
          <w:szCs w:val="20"/>
        </w:rPr>
        <w:t>identity</w:t>
      </w:r>
      <w:proofErr w:type="spellEnd"/>
      <w:r w:rsidRPr="00822D77">
        <w:rPr>
          <w:rFonts w:ascii="Roboto" w:eastAsia="Roboto" w:hAnsi="Roboto" w:cs="Roboto"/>
          <w:sz w:val="20"/>
          <w:szCs w:val="20"/>
        </w:rPr>
        <w:t xml:space="preserve"> and </w:t>
      </w:r>
      <w:proofErr w:type="spellStart"/>
      <w:r w:rsidRPr="00822D77">
        <w:rPr>
          <w:rFonts w:ascii="Roboto" w:eastAsia="Roboto" w:hAnsi="Roboto" w:cs="Roboto"/>
          <w:sz w:val="20"/>
          <w:szCs w:val="20"/>
        </w:rPr>
        <w:t>urban</w:t>
      </w:r>
      <w:proofErr w:type="spellEnd"/>
      <w:r w:rsidRPr="00822D77">
        <w:rPr>
          <w:rFonts w:ascii="Roboto" w:eastAsia="Roboto" w:hAnsi="Roboto" w:cs="Roboto"/>
          <w:sz w:val="20"/>
          <w:szCs w:val="20"/>
        </w:rPr>
        <w:t xml:space="preserve"> </w:t>
      </w:r>
      <w:proofErr w:type="spellStart"/>
      <w:r w:rsidRPr="00822D77">
        <w:rPr>
          <w:rFonts w:ascii="Roboto" w:eastAsia="Roboto" w:hAnsi="Roboto" w:cs="Roboto"/>
          <w:sz w:val="20"/>
          <w:szCs w:val="20"/>
        </w:rPr>
        <w:t>perception</w:t>
      </w:r>
      <w:proofErr w:type="spellEnd"/>
      <w:r w:rsidRPr="00822D77">
        <w:rPr>
          <w:rFonts w:ascii="Roboto" w:eastAsia="Roboto" w:hAnsi="Roboto" w:cs="Roboto"/>
          <w:sz w:val="20"/>
          <w:szCs w:val="20"/>
        </w:rPr>
        <w:t xml:space="preserve"> in </w:t>
      </w:r>
      <w:proofErr w:type="spellStart"/>
      <w:r w:rsidRPr="00822D77">
        <w:rPr>
          <w:rFonts w:ascii="Roboto" w:eastAsia="Roboto" w:hAnsi="Roboto" w:cs="Roboto"/>
          <w:sz w:val="20"/>
          <w:szCs w:val="20"/>
        </w:rPr>
        <w:t>an</w:t>
      </w:r>
      <w:proofErr w:type="spellEnd"/>
      <w:r w:rsidRPr="00822D77">
        <w:rPr>
          <w:rFonts w:ascii="Roboto" w:eastAsia="Roboto" w:hAnsi="Roboto" w:cs="Roboto"/>
          <w:sz w:val="20"/>
          <w:szCs w:val="20"/>
        </w:rPr>
        <w:t xml:space="preserve"> </w:t>
      </w:r>
      <w:proofErr w:type="spellStart"/>
      <w:r w:rsidRPr="00822D77">
        <w:rPr>
          <w:rFonts w:ascii="Roboto" w:eastAsia="Roboto" w:hAnsi="Roboto" w:cs="Roboto"/>
          <w:sz w:val="20"/>
          <w:szCs w:val="20"/>
        </w:rPr>
        <w:t>intermediate</w:t>
      </w:r>
      <w:proofErr w:type="spellEnd"/>
      <w:r w:rsidRPr="00822D77">
        <w:rPr>
          <w:rFonts w:ascii="Roboto" w:eastAsia="Roboto" w:hAnsi="Roboto" w:cs="Roboto"/>
          <w:sz w:val="20"/>
          <w:szCs w:val="20"/>
        </w:rPr>
        <w:t xml:space="preserve"> </w:t>
      </w:r>
      <w:proofErr w:type="spellStart"/>
      <w:r w:rsidRPr="00822D77">
        <w:rPr>
          <w:rFonts w:ascii="Roboto" w:eastAsia="Roboto" w:hAnsi="Roboto" w:cs="Roboto"/>
          <w:sz w:val="20"/>
          <w:szCs w:val="20"/>
        </w:rPr>
        <w:t>city</w:t>
      </w:r>
      <w:proofErr w:type="spellEnd"/>
      <w:r w:rsidRPr="00822D77">
        <w:rPr>
          <w:rFonts w:ascii="Roboto" w:eastAsia="Roboto" w:hAnsi="Roboto" w:cs="Roboto"/>
          <w:sz w:val="20"/>
          <w:szCs w:val="20"/>
        </w:rPr>
        <w:t xml:space="preserve">. </w:t>
      </w:r>
      <w:proofErr w:type="spellStart"/>
      <w:r w:rsidRPr="00822D77">
        <w:rPr>
          <w:rFonts w:ascii="Roboto" w:eastAsia="Roboto" w:hAnsi="Roboto" w:cs="Roboto"/>
          <w:i/>
          <w:iCs/>
          <w:sz w:val="20"/>
          <w:szCs w:val="20"/>
        </w:rPr>
        <w:t>Sustainability</w:t>
      </w:r>
      <w:proofErr w:type="spellEnd"/>
      <w:r w:rsidRPr="00822D77">
        <w:rPr>
          <w:rFonts w:ascii="Roboto" w:eastAsia="Roboto" w:hAnsi="Roboto" w:cs="Roboto"/>
          <w:i/>
          <w:iCs/>
          <w:sz w:val="20"/>
          <w:szCs w:val="20"/>
        </w:rPr>
        <w:t>, 17</w:t>
      </w:r>
      <w:r w:rsidRPr="00822D77">
        <w:rPr>
          <w:rFonts w:ascii="Roboto" w:eastAsia="Roboto" w:hAnsi="Roboto" w:cs="Roboto"/>
          <w:sz w:val="20"/>
          <w:szCs w:val="20"/>
        </w:rPr>
        <w:t xml:space="preserve">(17), 7765. </w:t>
      </w:r>
      <w:hyperlink r:id="rId10" w:history="1">
        <w:r w:rsidRPr="003E32A3">
          <w:rPr>
            <w:rStyle w:val="Hipervnculo"/>
            <w:rFonts w:ascii="Roboto" w:eastAsia="Roboto" w:hAnsi="Roboto" w:cs="Roboto"/>
            <w:sz w:val="20"/>
            <w:szCs w:val="20"/>
          </w:rPr>
          <w:t>https://www.mdpi.com/2071-1050/17/17/7765</w:t>
        </w:r>
      </w:hyperlink>
    </w:p>
    <w:p w14:paraId="08E26380" w14:textId="3106DADA" w:rsidR="006D62C0" w:rsidRDefault="006D62C0" w:rsidP="006D62C0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Carvajal, J.M.B. (2021). </w:t>
      </w:r>
      <w:proofErr w:type="spellStart"/>
      <w:r>
        <w:rPr>
          <w:rFonts w:ascii="Roboto" w:eastAsia="Roboto" w:hAnsi="Roboto" w:cs="Roboto"/>
          <w:sz w:val="20"/>
          <w:szCs w:val="20"/>
        </w:rPr>
        <w:t>Public</w:t>
      </w:r>
      <w:proofErr w:type="spellEnd"/>
      <w:r>
        <w:rPr>
          <w:rFonts w:ascii="Roboto" w:eastAsia="Roboto" w:hAnsi="Roboto" w:cs="Roboto"/>
          <w:sz w:val="20"/>
          <w:szCs w:val="20"/>
        </w:rPr>
        <w:t xml:space="preserve"> </w:t>
      </w:r>
      <w:proofErr w:type="spellStart"/>
      <w:r>
        <w:rPr>
          <w:rFonts w:ascii="Roboto" w:eastAsia="Roboto" w:hAnsi="Roboto" w:cs="Roboto"/>
          <w:sz w:val="20"/>
          <w:szCs w:val="20"/>
        </w:rPr>
        <w:t>space</w:t>
      </w:r>
      <w:proofErr w:type="spellEnd"/>
      <w:r>
        <w:rPr>
          <w:rFonts w:ascii="Roboto" w:eastAsia="Roboto" w:hAnsi="Roboto" w:cs="Roboto"/>
          <w:sz w:val="20"/>
          <w:szCs w:val="20"/>
        </w:rPr>
        <w:t xml:space="preserve"> and </w:t>
      </w:r>
      <w:proofErr w:type="spellStart"/>
      <w:r>
        <w:rPr>
          <w:rFonts w:ascii="Roboto" w:eastAsia="Roboto" w:hAnsi="Roboto" w:cs="Roboto"/>
          <w:sz w:val="20"/>
          <w:szCs w:val="20"/>
        </w:rPr>
        <w:t>identity</w:t>
      </w:r>
      <w:proofErr w:type="spellEnd"/>
      <w:r>
        <w:rPr>
          <w:rFonts w:ascii="Roboto" w:eastAsia="Roboto" w:hAnsi="Roboto" w:cs="Roboto"/>
          <w:sz w:val="20"/>
          <w:szCs w:val="20"/>
        </w:rPr>
        <w:t xml:space="preserve">: </w:t>
      </w:r>
      <w:proofErr w:type="spellStart"/>
      <w:r>
        <w:rPr>
          <w:rFonts w:ascii="Roboto" w:eastAsia="Roboto" w:hAnsi="Roboto" w:cs="Roboto"/>
          <w:sz w:val="20"/>
          <w:szCs w:val="20"/>
        </w:rPr>
        <w:t>three</w:t>
      </w:r>
      <w:proofErr w:type="spellEnd"/>
      <w:r>
        <w:rPr>
          <w:rFonts w:ascii="Roboto" w:eastAsia="Roboto" w:hAnsi="Roboto" w:cs="Roboto"/>
          <w:sz w:val="20"/>
          <w:szCs w:val="20"/>
        </w:rPr>
        <w:t xml:space="preserve"> </w:t>
      </w:r>
      <w:proofErr w:type="spellStart"/>
      <w:r>
        <w:rPr>
          <w:rFonts w:ascii="Roboto" w:eastAsia="Roboto" w:hAnsi="Roboto" w:cs="Roboto"/>
          <w:sz w:val="20"/>
          <w:szCs w:val="20"/>
        </w:rPr>
        <w:t>scenarios</w:t>
      </w:r>
      <w:proofErr w:type="spellEnd"/>
      <w:r>
        <w:rPr>
          <w:rFonts w:ascii="Roboto" w:eastAsia="Roboto" w:hAnsi="Roboto" w:cs="Roboto"/>
          <w:sz w:val="20"/>
          <w:szCs w:val="20"/>
        </w:rPr>
        <w:t xml:space="preserve"> </w:t>
      </w:r>
      <w:proofErr w:type="spellStart"/>
      <w:r>
        <w:rPr>
          <w:rFonts w:ascii="Roboto" w:eastAsia="Roboto" w:hAnsi="Roboto" w:cs="Roboto"/>
          <w:sz w:val="20"/>
          <w:szCs w:val="20"/>
        </w:rPr>
        <w:t>of</w:t>
      </w:r>
      <w:proofErr w:type="spellEnd"/>
      <w:r>
        <w:rPr>
          <w:rFonts w:ascii="Roboto" w:eastAsia="Roboto" w:hAnsi="Roboto" w:cs="Roboto"/>
          <w:sz w:val="20"/>
          <w:szCs w:val="20"/>
        </w:rPr>
        <w:t xml:space="preserve"> </w:t>
      </w:r>
      <w:proofErr w:type="spellStart"/>
      <w:r>
        <w:rPr>
          <w:rFonts w:ascii="Roboto" w:eastAsia="Roboto" w:hAnsi="Roboto" w:cs="Roboto"/>
          <w:sz w:val="20"/>
          <w:szCs w:val="20"/>
        </w:rPr>
        <w:t>interpretation</w:t>
      </w:r>
      <w:proofErr w:type="spellEnd"/>
      <w:r>
        <w:rPr>
          <w:rFonts w:ascii="Roboto" w:eastAsia="Roboto" w:hAnsi="Roboto" w:cs="Roboto"/>
          <w:sz w:val="20"/>
          <w:szCs w:val="20"/>
        </w:rPr>
        <w:t xml:space="preserve">. </w:t>
      </w:r>
      <w:proofErr w:type="spellStart"/>
      <w:r>
        <w:rPr>
          <w:rFonts w:ascii="Roboto" w:eastAsia="Roboto" w:hAnsi="Roboto" w:cs="Roboto"/>
          <w:sz w:val="20"/>
          <w:szCs w:val="20"/>
        </w:rPr>
        <w:t>Estoa</w:t>
      </w:r>
      <w:proofErr w:type="spellEnd"/>
      <w:r>
        <w:rPr>
          <w:rFonts w:ascii="Roboto" w:eastAsia="Roboto" w:hAnsi="Roboto" w:cs="Roboto"/>
          <w:sz w:val="20"/>
          <w:szCs w:val="20"/>
        </w:rPr>
        <w:t>.</w:t>
      </w:r>
      <w:r w:rsidRPr="002715F6">
        <w:t xml:space="preserve"> </w:t>
      </w:r>
      <w:hyperlink r:id="rId11" w:tgtFrame="_new" w:history="1">
        <w:r w:rsidRPr="002715F6">
          <w:rPr>
            <w:rStyle w:val="Hipervnculo"/>
            <w:rFonts w:ascii="Roboto" w:eastAsia="Roboto" w:hAnsi="Roboto" w:cs="Roboto"/>
            <w:sz w:val="20"/>
            <w:szCs w:val="20"/>
          </w:rPr>
          <w:t>https://publicaciones.ucuenca.edu.ec/ojs/index.php/estoa/article/view/3190</w:t>
        </w:r>
      </w:hyperlink>
    </w:p>
    <w:p w14:paraId="6F06BD1A" w14:textId="4CEE1F34" w:rsidR="00D350E5" w:rsidRDefault="00D350E5" w:rsidP="006D62C0">
      <w:pPr>
        <w:jc w:val="both"/>
        <w:rPr>
          <w:rFonts w:ascii="Roboto" w:eastAsia="Roboto" w:hAnsi="Roboto" w:cs="Roboto"/>
          <w:sz w:val="20"/>
          <w:szCs w:val="20"/>
        </w:rPr>
      </w:pPr>
      <w:r w:rsidRPr="00D350E5">
        <w:rPr>
          <w:rFonts w:ascii="Roboto" w:eastAsia="Roboto" w:hAnsi="Roboto" w:cs="Roboto"/>
          <w:sz w:val="20"/>
          <w:szCs w:val="20"/>
        </w:rPr>
        <w:t xml:space="preserve">Pérez, G. A. J., Hernández, J. M. H. de la C., &amp; Peñate Villasante, A. G. (2025). </w:t>
      </w:r>
      <w:proofErr w:type="spellStart"/>
      <w:r w:rsidRPr="00D350E5">
        <w:rPr>
          <w:rFonts w:ascii="Roboto" w:eastAsia="Roboto" w:hAnsi="Roboto" w:cs="Roboto"/>
          <w:sz w:val="20"/>
          <w:szCs w:val="20"/>
        </w:rPr>
        <w:t>The</w:t>
      </w:r>
      <w:proofErr w:type="spellEnd"/>
      <w:r w:rsidRPr="00D350E5">
        <w:rPr>
          <w:rFonts w:ascii="Roboto" w:eastAsia="Roboto" w:hAnsi="Roboto" w:cs="Roboto"/>
          <w:sz w:val="20"/>
          <w:szCs w:val="20"/>
        </w:rPr>
        <w:t xml:space="preserve"> </w:t>
      </w:r>
      <w:proofErr w:type="spellStart"/>
      <w:r w:rsidRPr="00D350E5">
        <w:rPr>
          <w:rFonts w:ascii="Roboto" w:eastAsia="Roboto" w:hAnsi="Roboto" w:cs="Roboto"/>
          <w:sz w:val="20"/>
          <w:szCs w:val="20"/>
        </w:rPr>
        <w:t>community</w:t>
      </w:r>
      <w:proofErr w:type="spellEnd"/>
      <w:r w:rsidRPr="00D350E5">
        <w:rPr>
          <w:rFonts w:ascii="Roboto" w:eastAsia="Roboto" w:hAnsi="Roboto" w:cs="Roboto"/>
          <w:sz w:val="20"/>
          <w:szCs w:val="20"/>
        </w:rPr>
        <w:t xml:space="preserve"> </w:t>
      </w:r>
      <w:proofErr w:type="spellStart"/>
      <w:r w:rsidRPr="00D350E5">
        <w:rPr>
          <w:rFonts w:ascii="Roboto" w:eastAsia="Roboto" w:hAnsi="Roboto" w:cs="Roboto"/>
          <w:sz w:val="20"/>
          <w:szCs w:val="20"/>
        </w:rPr>
        <w:t>residing</w:t>
      </w:r>
      <w:proofErr w:type="spellEnd"/>
      <w:r w:rsidRPr="00D350E5">
        <w:rPr>
          <w:rFonts w:ascii="Roboto" w:eastAsia="Roboto" w:hAnsi="Roboto" w:cs="Roboto"/>
          <w:sz w:val="20"/>
          <w:szCs w:val="20"/>
        </w:rPr>
        <w:t xml:space="preserve"> in </w:t>
      </w:r>
      <w:proofErr w:type="spellStart"/>
      <w:r w:rsidRPr="00D350E5">
        <w:rPr>
          <w:rFonts w:ascii="Roboto" w:eastAsia="Roboto" w:hAnsi="Roboto" w:cs="Roboto"/>
          <w:sz w:val="20"/>
          <w:szCs w:val="20"/>
        </w:rPr>
        <w:t>urban</w:t>
      </w:r>
      <w:proofErr w:type="spellEnd"/>
      <w:r w:rsidRPr="00D350E5">
        <w:rPr>
          <w:rFonts w:ascii="Roboto" w:eastAsia="Roboto" w:hAnsi="Roboto" w:cs="Roboto"/>
          <w:sz w:val="20"/>
          <w:szCs w:val="20"/>
        </w:rPr>
        <w:t xml:space="preserve"> </w:t>
      </w:r>
      <w:proofErr w:type="spellStart"/>
      <w:r w:rsidRPr="00D350E5">
        <w:rPr>
          <w:rFonts w:ascii="Roboto" w:eastAsia="Roboto" w:hAnsi="Roboto" w:cs="Roboto"/>
          <w:sz w:val="20"/>
          <w:szCs w:val="20"/>
        </w:rPr>
        <w:t>public</w:t>
      </w:r>
      <w:proofErr w:type="spellEnd"/>
      <w:r w:rsidRPr="00D350E5">
        <w:rPr>
          <w:rFonts w:ascii="Roboto" w:eastAsia="Roboto" w:hAnsi="Roboto" w:cs="Roboto"/>
          <w:sz w:val="20"/>
          <w:szCs w:val="20"/>
        </w:rPr>
        <w:t xml:space="preserve"> </w:t>
      </w:r>
      <w:proofErr w:type="spellStart"/>
      <w:r w:rsidRPr="00D350E5">
        <w:rPr>
          <w:rFonts w:ascii="Roboto" w:eastAsia="Roboto" w:hAnsi="Roboto" w:cs="Roboto"/>
          <w:sz w:val="20"/>
          <w:szCs w:val="20"/>
        </w:rPr>
        <w:t>spaces</w:t>
      </w:r>
      <w:proofErr w:type="spellEnd"/>
      <w:r w:rsidRPr="00D350E5">
        <w:rPr>
          <w:rFonts w:ascii="Roboto" w:eastAsia="Roboto" w:hAnsi="Roboto" w:cs="Roboto"/>
          <w:sz w:val="20"/>
          <w:szCs w:val="20"/>
        </w:rPr>
        <w:t xml:space="preserve"> and </w:t>
      </w:r>
      <w:proofErr w:type="spellStart"/>
      <w:r w:rsidRPr="00D350E5">
        <w:rPr>
          <w:rFonts w:ascii="Roboto" w:eastAsia="Roboto" w:hAnsi="Roboto" w:cs="Roboto"/>
          <w:sz w:val="20"/>
          <w:szCs w:val="20"/>
        </w:rPr>
        <w:t>their</w:t>
      </w:r>
      <w:proofErr w:type="spellEnd"/>
      <w:r w:rsidRPr="00D350E5">
        <w:rPr>
          <w:rFonts w:ascii="Roboto" w:eastAsia="Roboto" w:hAnsi="Roboto" w:cs="Roboto"/>
          <w:sz w:val="20"/>
          <w:szCs w:val="20"/>
        </w:rPr>
        <w:t xml:space="preserve"> </w:t>
      </w:r>
      <w:proofErr w:type="spellStart"/>
      <w:r w:rsidRPr="00D350E5">
        <w:rPr>
          <w:rFonts w:ascii="Roboto" w:eastAsia="Roboto" w:hAnsi="Roboto" w:cs="Roboto"/>
          <w:sz w:val="20"/>
          <w:szCs w:val="20"/>
        </w:rPr>
        <w:t>heritage</w:t>
      </w:r>
      <w:proofErr w:type="spellEnd"/>
      <w:r w:rsidRPr="00D350E5">
        <w:rPr>
          <w:rFonts w:ascii="Roboto" w:eastAsia="Roboto" w:hAnsi="Roboto" w:cs="Roboto"/>
          <w:sz w:val="20"/>
          <w:szCs w:val="20"/>
        </w:rPr>
        <w:t xml:space="preserve">. </w:t>
      </w:r>
      <w:r w:rsidRPr="00D350E5">
        <w:rPr>
          <w:rFonts w:ascii="Roboto" w:eastAsia="Roboto" w:hAnsi="Roboto" w:cs="Roboto"/>
          <w:i/>
          <w:iCs/>
          <w:sz w:val="20"/>
          <w:szCs w:val="20"/>
        </w:rPr>
        <w:t>Región Científica, 4</w:t>
      </w:r>
      <w:r w:rsidRPr="00D350E5">
        <w:rPr>
          <w:rFonts w:ascii="Roboto" w:eastAsia="Roboto" w:hAnsi="Roboto" w:cs="Roboto"/>
          <w:sz w:val="20"/>
          <w:szCs w:val="20"/>
        </w:rPr>
        <w:t xml:space="preserve">(2). </w:t>
      </w:r>
      <w:hyperlink r:id="rId12" w:tgtFrame="_new" w:history="1">
        <w:r w:rsidRPr="00D350E5">
          <w:rPr>
            <w:rStyle w:val="Hipervnculo"/>
            <w:rFonts w:ascii="Roboto" w:eastAsia="Roboto" w:hAnsi="Roboto" w:cs="Roboto"/>
            <w:sz w:val="20"/>
            <w:szCs w:val="20"/>
          </w:rPr>
          <w:t>https://rc.cienciasas.org/index.php/rc/article/download/484/545</w:t>
        </w:r>
      </w:hyperlink>
    </w:p>
    <w:p w14:paraId="46846EBC" w14:textId="4FF0ADEA" w:rsidR="006D62C0" w:rsidRDefault="00837C05">
      <w:pPr>
        <w:jc w:val="both"/>
        <w:rPr>
          <w:rFonts w:ascii="Roboto" w:eastAsia="Roboto" w:hAnsi="Roboto" w:cs="Roboto"/>
          <w:sz w:val="20"/>
          <w:szCs w:val="20"/>
        </w:rPr>
      </w:pPr>
      <w:proofErr w:type="spellStart"/>
      <w:r w:rsidRPr="00837C05">
        <w:rPr>
          <w:rFonts w:ascii="Roboto" w:eastAsia="Roboto" w:hAnsi="Roboto" w:cs="Roboto"/>
          <w:sz w:val="20"/>
          <w:szCs w:val="20"/>
        </w:rPr>
        <w:t>Schlack</w:t>
      </w:r>
      <w:proofErr w:type="spellEnd"/>
      <w:r w:rsidRPr="00837C05">
        <w:rPr>
          <w:rFonts w:ascii="Roboto" w:eastAsia="Roboto" w:hAnsi="Roboto" w:cs="Roboto"/>
          <w:sz w:val="20"/>
          <w:szCs w:val="20"/>
        </w:rPr>
        <w:t xml:space="preserve">, E. (2022). Espacio público: registros alternativos para pensar y proyectar identidades urbanas. </w:t>
      </w:r>
      <w:r w:rsidRPr="00837C05">
        <w:rPr>
          <w:rFonts w:ascii="Roboto" w:eastAsia="Roboto" w:hAnsi="Roboto" w:cs="Roboto"/>
          <w:i/>
          <w:iCs/>
          <w:sz w:val="20"/>
          <w:szCs w:val="20"/>
        </w:rPr>
        <w:t>Revista de Arquitectura y Urbanismo.</w:t>
      </w:r>
      <w:r w:rsidRPr="00837C05">
        <w:rPr>
          <w:rFonts w:ascii="Roboto" w:eastAsia="Roboto" w:hAnsi="Roboto" w:cs="Roboto"/>
          <w:sz w:val="20"/>
          <w:szCs w:val="20"/>
        </w:rPr>
        <w:t xml:space="preserve"> </w:t>
      </w:r>
      <w:hyperlink r:id="rId13" w:tgtFrame="_new" w:history="1">
        <w:r w:rsidRPr="00837C05">
          <w:rPr>
            <w:rStyle w:val="Hipervnculo"/>
            <w:rFonts w:ascii="Roboto" w:eastAsia="Roboto" w:hAnsi="Roboto" w:cs="Roboto"/>
            <w:sz w:val="20"/>
            <w:szCs w:val="20"/>
          </w:rPr>
          <w:t>https://www.scielo.cl/scielo.php?pid=S0718-83582022000300001&amp;script=sci_arttext</w:t>
        </w:r>
      </w:hyperlink>
    </w:p>
    <w:p w14:paraId="5F4CD527" w14:textId="152CE4CB" w:rsidR="00837C05" w:rsidRDefault="00837C05">
      <w:pPr>
        <w:jc w:val="both"/>
        <w:rPr>
          <w:rFonts w:ascii="Roboto" w:eastAsia="Roboto" w:hAnsi="Roboto" w:cs="Roboto"/>
          <w:sz w:val="20"/>
          <w:szCs w:val="20"/>
        </w:rPr>
      </w:pPr>
      <w:r w:rsidRPr="00837C05">
        <w:rPr>
          <w:rFonts w:ascii="Roboto" w:eastAsia="Roboto" w:hAnsi="Roboto" w:cs="Roboto"/>
          <w:sz w:val="20"/>
          <w:szCs w:val="20"/>
        </w:rPr>
        <w:t xml:space="preserve">Segovia, O., &amp; Neira, H. (2005). Espacios públicos urbanos: una contribución a la identidad y confianza social y privada. </w:t>
      </w:r>
      <w:r w:rsidRPr="00837C05">
        <w:rPr>
          <w:rFonts w:ascii="Roboto" w:eastAsia="Roboto" w:hAnsi="Roboto" w:cs="Roboto"/>
          <w:i/>
          <w:iCs/>
          <w:sz w:val="20"/>
          <w:szCs w:val="20"/>
        </w:rPr>
        <w:t>Revista INVI, 20</w:t>
      </w:r>
      <w:r w:rsidRPr="00837C05">
        <w:rPr>
          <w:rFonts w:ascii="Roboto" w:eastAsia="Roboto" w:hAnsi="Roboto" w:cs="Roboto"/>
          <w:sz w:val="20"/>
          <w:szCs w:val="20"/>
        </w:rPr>
        <w:t xml:space="preserve">(55), 166–182. </w:t>
      </w:r>
      <w:hyperlink r:id="rId14" w:tgtFrame="_new" w:history="1">
        <w:r w:rsidRPr="00837C05">
          <w:rPr>
            <w:rStyle w:val="Hipervnculo"/>
            <w:rFonts w:ascii="Roboto" w:eastAsia="Roboto" w:hAnsi="Roboto" w:cs="Roboto"/>
            <w:sz w:val="20"/>
            <w:szCs w:val="20"/>
          </w:rPr>
          <w:t>https://www.redalyc.org/pdf/258/25805510.pdf</w:t>
        </w:r>
      </w:hyperlink>
    </w:p>
    <w:p w14:paraId="1CA7DAA7" w14:textId="77777777" w:rsidR="00822D77" w:rsidRPr="00822D77" w:rsidRDefault="00822D77">
      <w:pPr>
        <w:jc w:val="both"/>
        <w:rPr>
          <w:rFonts w:ascii="Roboto" w:eastAsia="Roboto" w:hAnsi="Roboto" w:cs="Roboto"/>
          <w:sz w:val="20"/>
          <w:szCs w:val="20"/>
        </w:rPr>
      </w:pPr>
    </w:p>
    <w:sectPr w:rsidR="00822D77" w:rsidRPr="00822D77">
      <w:type w:val="continuous"/>
      <w:pgSz w:w="11906" w:h="16838"/>
      <w:pgMar w:top="1134" w:right="851" w:bottom="1134" w:left="851" w:header="357" w:footer="720" w:gutter="0"/>
      <w:cols w:num="2" w:space="720" w:equalWidth="0">
        <w:col w:w="4934" w:space="335"/>
        <w:col w:w="4934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490DE6" w14:textId="77777777" w:rsidR="005C49A9" w:rsidRDefault="005C49A9">
      <w:r>
        <w:separator/>
      </w:r>
    </w:p>
  </w:endnote>
  <w:endnote w:type="continuationSeparator" w:id="0">
    <w:p w14:paraId="4039108F" w14:textId="77777777" w:rsidR="005C49A9" w:rsidRDefault="005C49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236951" w14:textId="77777777" w:rsidR="005C49A9" w:rsidRDefault="005C49A9">
      <w:r>
        <w:separator/>
      </w:r>
    </w:p>
  </w:footnote>
  <w:footnote w:type="continuationSeparator" w:id="0">
    <w:p w14:paraId="3AE68096" w14:textId="77777777" w:rsidR="005C49A9" w:rsidRDefault="005C49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4E348B" w14:textId="77777777" w:rsidR="00032957" w:rsidRDefault="00032957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1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032957" w14:paraId="6711521C" w14:textId="77777777">
      <w:trPr>
        <w:trHeight w:val="345"/>
        <w:jc w:val="center"/>
      </w:trPr>
      <w:tc>
        <w:tcPr>
          <w:tcW w:w="6306" w:type="dxa"/>
          <w:vAlign w:val="center"/>
        </w:tcPr>
        <w:p w14:paraId="054299C2" w14:textId="77777777" w:rsidR="00032957" w:rsidRDefault="00032957">
          <w:pPr>
            <w:jc w:val="center"/>
            <w:rPr>
              <w:i/>
              <w:sz w:val="18"/>
              <w:szCs w:val="18"/>
            </w:rPr>
          </w:pPr>
        </w:p>
      </w:tc>
    </w:tr>
  </w:tbl>
  <w:p w14:paraId="1E87E393" w14:textId="77777777" w:rsidR="00032957" w:rsidRDefault="00032957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2957"/>
    <w:rsid w:val="000079D7"/>
    <w:rsid w:val="000241C8"/>
    <w:rsid w:val="00030C85"/>
    <w:rsid w:val="00032957"/>
    <w:rsid w:val="000330F3"/>
    <w:rsid w:val="000903BF"/>
    <w:rsid w:val="000A5FE6"/>
    <w:rsid w:val="0011679B"/>
    <w:rsid w:val="00134615"/>
    <w:rsid w:val="00154A30"/>
    <w:rsid w:val="0016696F"/>
    <w:rsid w:val="001748B1"/>
    <w:rsid w:val="00204AA2"/>
    <w:rsid w:val="00234617"/>
    <w:rsid w:val="00242667"/>
    <w:rsid w:val="002634AD"/>
    <w:rsid w:val="00266CE6"/>
    <w:rsid w:val="002715F6"/>
    <w:rsid w:val="002B5FA4"/>
    <w:rsid w:val="002C4DE9"/>
    <w:rsid w:val="002F38C3"/>
    <w:rsid w:val="003029EC"/>
    <w:rsid w:val="00302A8E"/>
    <w:rsid w:val="00310937"/>
    <w:rsid w:val="003123CA"/>
    <w:rsid w:val="00314492"/>
    <w:rsid w:val="0033350E"/>
    <w:rsid w:val="00334548"/>
    <w:rsid w:val="003A23EF"/>
    <w:rsid w:val="003B0F53"/>
    <w:rsid w:val="003C4235"/>
    <w:rsid w:val="003C75EE"/>
    <w:rsid w:val="003D403D"/>
    <w:rsid w:val="003E20D9"/>
    <w:rsid w:val="003F2C4D"/>
    <w:rsid w:val="00402F34"/>
    <w:rsid w:val="00410693"/>
    <w:rsid w:val="00431C9D"/>
    <w:rsid w:val="00450BFD"/>
    <w:rsid w:val="00457282"/>
    <w:rsid w:val="00466DAD"/>
    <w:rsid w:val="004A087A"/>
    <w:rsid w:val="004A27AC"/>
    <w:rsid w:val="00566BDC"/>
    <w:rsid w:val="005A6B3A"/>
    <w:rsid w:val="005C49A9"/>
    <w:rsid w:val="005F1972"/>
    <w:rsid w:val="00613E6B"/>
    <w:rsid w:val="006362EA"/>
    <w:rsid w:val="0067369D"/>
    <w:rsid w:val="0067425C"/>
    <w:rsid w:val="006762D1"/>
    <w:rsid w:val="00687135"/>
    <w:rsid w:val="006A7EB1"/>
    <w:rsid w:val="006B5AD8"/>
    <w:rsid w:val="006D62C0"/>
    <w:rsid w:val="006F418A"/>
    <w:rsid w:val="007446EC"/>
    <w:rsid w:val="007828C2"/>
    <w:rsid w:val="007A0194"/>
    <w:rsid w:val="007B0DA0"/>
    <w:rsid w:val="00803B3D"/>
    <w:rsid w:val="00822D77"/>
    <w:rsid w:val="00827532"/>
    <w:rsid w:val="00837C05"/>
    <w:rsid w:val="00845E8F"/>
    <w:rsid w:val="00863AA3"/>
    <w:rsid w:val="008C19C6"/>
    <w:rsid w:val="008E2D4D"/>
    <w:rsid w:val="008F0F59"/>
    <w:rsid w:val="00900447"/>
    <w:rsid w:val="00903BA7"/>
    <w:rsid w:val="00912877"/>
    <w:rsid w:val="009217FB"/>
    <w:rsid w:val="00956592"/>
    <w:rsid w:val="00987A11"/>
    <w:rsid w:val="009C63C7"/>
    <w:rsid w:val="009F3CEA"/>
    <w:rsid w:val="00A143C8"/>
    <w:rsid w:val="00A3100A"/>
    <w:rsid w:val="00A40179"/>
    <w:rsid w:val="00A4751F"/>
    <w:rsid w:val="00A92468"/>
    <w:rsid w:val="00A94E5D"/>
    <w:rsid w:val="00AD4913"/>
    <w:rsid w:val="00AD4D60"/>
    <w:rsid w:val="00AE025E"/>
    <w:rsid w:val="00AE23EE"/>
    <w:rsid w:val="00B001A6"/>
    <w:rsid w:val="00B04876"/>
    <w:rsid w:val="00B24712"/>
    <w:rsid w:val="00B9404B"/>
    <w:rsid w:val="00BA40BC"/>
    <w:rsid w:val="00BD3971"/>
    <w:rsid w:val="00BD4A66"/>
    <w:rsid w:val="00BE12E7"/>
    <w:rsid w:val="00BF3FA5"/>
    <w:rsid w:val="00BF59DF"/>
    <w:rsid w:val="00C04F27"/>
    <w:rsid w:val="00C25545"/>
    <w:rsid w:val="00C56FF9"/>
    <w:rsid w:val="00C71A76"/>
    <w:rsid w:val="00C81E9F"/>
    <w:rsid w:val="00C96EF9"/>
    <w:rsid w:val="00CC47FB"/>
    <w:rsid w:val="00CE25CE"/>
    <w:rsid w:val="00CF0AFF"/>
    <w:rsid w:val="00CF5408"/>
    <w:rsid w:val="00CF5BD3"/>
    <w:rsid w:val="00D02EB7"/>
    <w:rsid w:val="00D2358D"/>
    <w:rsid w:val="00D25152"/>
    <w:rsid w:val="00D325D9"/>
    <w:rsid w:val="00D350E5"/>
    <w:rsid w:val="00D764F1"/>
    <w:rsid w:val="00D95857"/>
    <w:rsid w:val="00DA1CBF"/>
    <w:rsid w:val="00DA4748"/>
    <w:rsid w:val="00DB4840"/>
    <w:rsid w:val="00E13378"/>
    <w:rsid w:val="00E30550"/>
    <w:rsid w:val="00E3151F"/>
    <w:rsid w:val="00E47082"/>
    <w:rsid w:val="00E473B6"/>
    <w:rsid w:val="00E47716"/>
    <w:rsid w:val="00EC2282"/>
    <w:rsid w:val="00EF0DE0"/>
    <w:rsid w:val="00F1212F"/>
    <w:rsid w:val="00F32E6C"/>
    <w:rsid w:val="00F43939"/>
    <w:rsid w:val="00F47170"/>
    <w:rsid w:val="00F7086F"/>
    <w:rsid w:val="00FA6902"/>
    <w:rsid w:val="00FB33A6"/>
    <w:rsid w:val="00FC4776"/>
    <w:rsid w:val="00FF5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6DED81EF"/>
  <w15:docId w15:val="{E2F6BA8C-1683-418E-A779-240710269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1">
    <w:name w:val="TableNormal1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4">
    <w:name w:val="4"/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3">
    <w:name w:val="3"/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2">
    <w:name w:val="2"/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1">
    <w:name w:val="1"/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character" w:styleId="nfasis">
    <w:name w:val="Emphasis"/>
    <w:basedOn w:val="Fuentedeprrafopredeter"/>
    <w:uiPriority w:val="20"/>
    <w:qFormat/>
    <w:rsid w:val="00822D7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scielo.cl/scielo.php?pid=S0718-83582022000300001&amp;script=sci_arttext&amp;utm_source=chatgpt.com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yperlink" Target="https://rc.cienciasas.org/index.php/rc/article/download/484/545?utm_source=chatgpt.com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publicaciones.ucuenca.edu.ec/ojs/index.php/estoa/article/view/3190?utm_source=chatgpt.com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www.mdpi.com/2071-1050/17/17/7765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hyperlink" Target="https://www.redalyc.org/pdf/258/25805510.pdf?utm_source=chatgpt.co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2</Pages>
  <Words>1201</Words>
  <Characters>7761</Characters>
  <Application>Microsoft Office Word</Application>
  <DocSecurity>0</DocSecurity>
  <Lines>337</Lines>
  <Paragraphs>160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Mariana Berenice González Leija</dc:creator>
  <cp:keywords/>
  <dc:description/>
  <cp:lastModifiedBy>Sonia Marcela López Domínguez</cp:lastModifiedBy>
  <cp:revision>2</cp:revision>
  <dcterms:created xsi:type="dcterms:W3CDTF">2026-03-05T04:07:00Z</dcterms:created>
  <dcterms:modified xsi:type="dcterms:W3CDTF">2026-03-05T04:07:00Z</dcterms:modified>
</cp:coreProperties>
</file>