
<file path=[Content_Types].xml><?xml version="1.0" encoding="utf-8"?>
<Types xmlns="http://schemas.openxmlformats.org/package/2006/content-types">
  <Default Extension="emf" ContentType="image/x-emf"/>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5EA253" w14:textId="77777777" w:rsidR="00734C75" w:rsidRDefault="00734C75">
      <w:pPr>
        <w:pBdr>
          <w:top w:val="nil"/>
          <w:left w:val="nil"/>
          <w:bottom w:val="nil"/>
          <w:right w:val="nil"/>
          <w:between w:val="nil"/>
        </w:pBdr>
        <w:spacing w:before="120" w:after="120"/>
        <w:jc w:val="center"/>
        <w:rPr>
          <w:rFonts w:ascii="Roboto" w:eastAsia="Roboto" w:hAnsi="Roboto" w:cs="Roboto"/>
          <w:b/>
          <w:color w:val="000000"/>
        </w:rPr>
      </w:pPr>
      <w:r w:rsidRPr="00734C75">
        <w:rPr>
          <w:rFonts w:ascii="Roboto" w:eastAsia="Roboto" w:hAnsi="Roboto" w:cs="Roboto"/>
          <w:b/>
          <w:color w:val="000000"/>
        </w:rPr>
        <w:t>Huella de carbono del sistema alimentario de la Universidad Anáhuac Mayab y comparación estructural con universidades de Estados Unidos</w:t>
      </w:r>
    </w:p>
    <w:p w14:paraId="42AA4503" w14:textId="160B80F3" w:rsidR="00221B4A" w:rsidRDefault="00FB33FF">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Ruiz-Ruiz J.C..</w:t>
      </w:r>
      <w:r>
        <w:rPr>
          <w:rFonts w:ascii="Roboto" w:eastAsia="Roboto" w:hAnsi="Roboto" w:cs="Roboto"/>
          <w:b/>
          <w:color w:val="000000"/>
          <w:sz w:val="20"/>
          <w:szCs w:val="20"/>
          <w:vertAlign w:val="superscript"/>
        </w:rPr>
        <w:t>1</w:t>
      </w:r>
      <w:r w:rsidR="009F4392" w:rsidRPr="009F4392">
        <w:rPr>
          <w:rFonts w:ascii="Roboto" w:eastAsia="Roboto" w:hAnsi="Roboto" w:cs="Roboto"/>
          <w:sz w:val="18"/>
          <w:szCs w:val="18"/>
          <w:vertAlign w:val="superscript"/>
        </w:rPr>
        <w:t>*</w:t>
      </w:r>
      <w:r>
        <w:rPr>
          <w:rFonts w:ascii="Roboto" w:eastAsia="Roboto" w:hAnsi="Roboto" w:cs="Roboto"/>
          <w:b/>
          <w:color w:val="000000"/>
          <w:sz w:val="20"/>
          <w:szCs w:val="20"/>
        </w:rPr>
        <w:t>, Méndez-Palacios-Macedo A.</w:t>
      </w:r>
      <w:r>
        <w:rPr>
          <w:rFonts w:ascii="Roboto" w:eastAsia="Roboto" w:hAnsi="Roboto" w:cs="Roboto"/>
          <w:b/>
          <w:color w:val="000000"/>
          <w:sz w:val="20"/>
          <w:szCs w:val="20"/>
          <w:vertAlign w:val="superscript"/>
        </w:rPr>
        <w:t>2</w:t>
      </w:r>
      <w:r w:rsidR="009F4392" w:rsidRPr="009F4392">
        <w:rPr>
          <w:rFonts w:ascii="Roboto" w:eastAsia="Roboto" w:hAnsi="Roboto" w:cs="Roboto"/>
          <w:sz w:val="18"/>
          <w:szCs w:val="18"/>
          <w:vertAlign w:val="superscript"/>
        </w:rPr>
        <w:t>*</w:t>
      </w:r>
      <w:r>
        <w:rPr>
          <w:rFonts w:ascii="Roboto" w:eastAsia="Roboto" w:hAnsi="Roboto" w:cs="Roboto"/>
          <w:b/>
          <w:color w:val="000000"/>
          <w:sz w:val="20"/>
          <w:szCs w:val="20"/>
        </w:rPr>
        <w:t xml:space="preserve">, y </w:t>
      </w:r>
      <w:r w:rsidR="000114C8">
        <w:rPr>
          <w:rFonts w:ascii="Roboto" w:eastAsia="Roboto" w:hAnsi="Roboto" w:cs="Roboto"/>
          <w:b/>
          <w:color w:val="000000"/>
          <w:sz w:val="20"/>
          <w:szCs w:val="20"/>
        </w:rPr>
        <w:t>Porrúa-Ardura M.A.</w:t>
      </w:r>
      <w:r>
        <w:rPr>
          <w:rFonts w:ascii="Roboto" w:eastAsia="Roboto" w:hAnsi="Roboto" w:cs="Roboto"/>
          <w:b/>
          <w:color w:val="000000"/>
          <w:sz w:val="20"/>
          <w:szCs w:val="20"/>
          <w:vertAlign w:val="superscript"/>
        </w:rPr>
        <w:t>3</w:t>
      </w:r>
      <w:r w:rsidR="009F4392" w:rsidRPr="009F4392">
        <w:rPr>
          <w:rFonts w:ascii="Roboto" w:eastAsia="Roboto" w:hAnsi="Roboto" w:cs="Roboto"/>
          <w:sz w:val="18"/>
          <w:szCs w:val="18"/>
          <w:vertAlign w:val="superscript"/>
        </w:rPr>
        <w:t>*</w:t>
      </w:r>
    </w:p>
    <w:p w14:paraId="4BB9CFCC" w14:textId="23E24A3A" w:rsidR="009C4C51" w:rsidRDefault="00A21521" w:rsidP="009C4C51">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1</w:t>
      </w:r>
      <w:r w:rsidR="00FB33FF">
        <w:rPr>
          <w:rFonts w:ascii="Roboto" w:eastAsia="Roboto" w:hAnsi="Roboto" w:cs="Roboto"/>
          <w:color w:val="000000"/>
          <w:sz w:val="18"/>
          <w:szCs w:val="18"/>
        </w:rPr>
        <w:t>Universidad Anáhuac-Mayab</w:t>
      </w:r>
      <w:r>
        <w:rPr>
          <w:rFonts w:ascii="Roboto" w:eastAsia="Roboto" w:hAnsi="Roboto" w:cs="Roboto"/>
          <w:color w:val="000000"/>
          <w:sz w:val="18"/>
          <w:szCs w:val="18"/>
        </w:rPr>
        <w:t xml:space="preserve">, </w:t>
      </w:r>
      <w:hyperlink r:id="rId8" w:history="1">
        <w:r w:rsidR="009C4C51" w:rsidRPr="001410CD">
          <w:rPr>
            <w:rStyle w:val="Hipervnculo"/>
            <w:rFonts w:ascii="Roboto" w:eastAsia="Roboto" w:hAnsi="Roboto" w:cs="Roboto"/>
            <w:sz w:val="18"/>
            <w:szCs w:val="18"/>
          </w:rPr>
          <w:t>https://orcid.org/0000-0001-6909-0057</w:t>
        </w:r>
      </w:hyperlink>
      <w:r w:rsidR="009C4C51">
        <w:rPr>
          <w:rFonts w:ascii="Roboto" w:eastAsia="Roboto" w:hAnsi="Roboto" w:cs="Roboto"/>
          <w:color w:val="000000"/>
          <w:sz w:val="18"/>
          <w:szCs w:val="18"/>
        </w:rPr>
        <w:t xml:space="preserve"> </w:t>
      </w:r>
      <w:r w:rsidR="009C4C51" w:rsidRPr="009C4C51">
        <w:rPr>
          <w:rFonts w:ascii="Roboto" w:eastAsia="Roboto" w:hAnsi="Roboto" w:cs="Roboto"/>
          <w:color w:val="000000"/>
          <w:sz w:val="18"/>
          <w:szCs w:val="18"/>
        </w:rPr>
        <w:t xml:space="preserve"> </w:t>
      </w:r>
    </w:p>
    <w:p w14:paraId="7249E9F9" w14:textId="18C80022" w:rsidR="00221B4A" w:rsidRDefault="00A21521" w:rsidP="009C4C51">
      <w:pPr>
        <w:pBdr>
          <w:top w:val="nil"/>
          <w:left w:val="nil"/>
          <w:bottom w:val="nil"/>
          <w:right w:val="nil"/>
          <w:between w:val="nil"/>
        </w:pBdr>
        <w:jc w:val="center"/>
        <w:rPr>
          <w:rFonts w:ascii="Roboto" w:eastAsia="Roboto" w:hAnsi="Roboto" w:cs="Roboto"/>
          <w:sz w:val="18"/>
          <w:szCs w:val="18"/>
        </w:rPr>
      </w:pPr>
      <w:r>
        <w:rPr>
          <w:rFonts w:ascii="Roboto" w:eastAsia="Roboto" w:hAnsi="Roboto" w:cs="Roboto"/>
          <w:sz w:val="18"/>
          <w:szCs w:val="18"/>
          <w:vertAlign w:val="superscript"/>
        </w:rPr>
        <w:t>2</w:t>
      </w:r>
      <w:r w:rsidR="00FB33FF">
        <w:rPr>
          <w:rFonts w:ascii="Roboto" w:eastAsia="Roboto" w:hAnsi="Roboto" w:cs="Roboto"/>
          <w:color w:val="000000"/>
          <w:sz w:val="18"/>
          <w:szCs w:val="18"/>
        </w:rPr>
        <w:t>Universidad Anáhuac-Mayab</w:t>
      </w:r>
      <w:r>
        <w:rPr>
          <w:rFonts w:ascii="Roboto" w:eastAsia="Roboto" w:hAnsi="Roboto" w:cs="Roboto"/>
          <w:sz w:val="18"/>
          <w:szCs w:val="18"/>
        </w:rPr>
        <w:t xml:space="preserve">, </w:t>
      </w:r>
      <w:hyperlink r:id="rId9" w:history="1">
        <w:r w:rsidR="009C4C51" w:rsidRPr="001410CD">
          <w:rPr>
            <w:rStyle w:val="Hipervnculo"/>
            <w:rFonts w:ascii="Roboto" w:eastAsia="Roboto" w:hAnsi="Roboto" w:cs="Roboto"/>
            <w:sz w:val="18"/>
            <w:szCs w:val="18"/>
          </w:rPr>
          <w:t>https://orcid.org/0000-0001-8770-8180</w:t>
        </w:r>
      </w:hyperlink>
      <w:r w:rsidR="009C4C51">
        <w:rPr>
          <w:rFonts w:ascii="Roboto" w:eastAsia="Roboto" w:hAnsi="Roboto" w:cs="Roboto"/>
          <w:sz w:val="18"/>
          <w:szCs w:val="18"/>
        </w:rPr>
        <w:t xml:space="preserve"> </w:t>
      </w:r>
    </w:p>
    <w:p w14:paraId="4E3B8540" w14:textId="2092144C" w:rsidR="00FB33FF" w:rsidRDefault="009C4C51" w:rsidP="00FB33FF">
      <w:pPr>
        <w:jc w:val="center"/>
        <w:rPr>
          <w:rFonts w:ascii="Roboto" w:eastAsia="Roboto" w:hAnsi="Roboto" w:cs="Roboto"/>
          <w:sz w:val="18"/>
          <w:szCs w:val="18"/>
        </w:rPr>
      </w:pPr>
      <w:r>
        <w:rPr>
          <w:rFonts w:ascii="Roboto" w:eastAsia="Roboto" w:hAnsi="Roboto" w:cs="Roboto"/>
          <w:sz w:val="18"/>
          <w:szCs w:val="18"/>
          <w:vertAlign w:val="superscript"/>
        </w:rPr>
        <w:t>3</w:t>
      </w:r>
      <w:r w:rsidR="00FB33FF">
        <w:rPr>
          <w:rFonts w:ascii="Roboto" w:eastAsia="Roboto" w:hAnsi="Roboto" w:cs="Roboto"/>
          <w:color w:val="000000"/>
          <w:sz w:val="18"/>
          <w:szCs w:val="18"/>
        </w:rPr>
        <w:t>Universidad Anáhuac-Mayab</w:t>
      </w:r>
      <w:r w:rsidR="00FB33FF">
        <w:rPr>
          <w:rFonts w:ascii="Roboto" w:eastAsia="Roboto" w:hAnsi="Roboto" w:cs="Roboto"/>
          <w:sz w:val="18"/>
          <w:szCs w:val="18"/>
        </w:rPr>
        <w:t xml:space="preserve">, </w:t>
      </w:r>
      <w:hyperlink r:id="rId10" w:history="1">
        <w:r w:rsidRPr="001410CD">
          <w:rPr>
            <w:rStyle w:val="Hipervnculo"/>
            <w:rFonts w:ascii="Roboto" w:eastAsia="Roboto" w:hAnsi="Roboto" w:cs="Roboto"/>
            <w:sz w:val="18"/>
            <w:szCs w:val="18"/>
          </w:rPr>
          <w:t>https://orcid.org/0009-0008-3556-2376</w:t>
        </w:r>
      </w:hyperlink>
      <w:r>
        <w:rPr>
          <w:rFonts w:ascii="Roboto" w:eastAsia="Roboto" w:hAnsi="Roboto" w:cs="Roboto"/>
          <w:sz w:val="18"/>
          <w:szCs w:val="18"/>
        </w:rPr>
        <w:t xml:space="preserve"> </w:t>
      </w:r>
    </w:p>
    <w:p w14:paraId="18A1DFC8" w14:textId="01807019" w:rsidR="00221B4A" w:rsidRDefault="00A21521">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hyperlink r:id="rId11" w:history="1">
        <w:r w:rsidR="009F4392" w:rsidRPr="00BB18B0">
          <w:rPr>
            <w:rStyle w:val="Hipervnculo"/>
            <w:rFonts w:ascii="Roboto" w:eastAsia="Roboto" w:hAnsi="Roboto" w:cs="Roboto"/>
            <w:sz w:val="18"/>
            <w:szCs w:val="18"/>
          </w:rPr>
          <w:t>jorge.ruizr@anahuac.mx</w:t>
        </w:r>
      </w:hyperlink>
      <w:r w:rsidR="009F4392">
        <w:rPr>
          <w:rFonts w:ascii="Roboto" w:eastAsia="Roboto" w:hAnsi="Roboto" w:cs="Roboto"/>
          <w:sz w:val="18"/>
          <w:szCs w:val="18"/>
        </w:rPr>
        <w:t xml:space="preserve">; </w:t>
      </w:r>
      <w:hyperlink r:id="rId12" w:history="1">
        <w:r w:rsidR="009F4392" w:rsidRPr="00BB18B0">
          <w:rPr>
            <w:rStyle w:val="Hipervnculo"/>
            <w:rFonts w:ascii="Roboto" w:eastAsia="Roboto" w:hAnsi="Roboto" w:cs="Roboto"/>
            <w:sz w:val="18"/>
            <w:szCs w:val="18"/>
          </w:rPr>
          <w:t>andres.mendezp@anahuac.mx</w:t>
        </w:r>
      </w:hyperlink>
      <w:r w:rsidR="009F4392">
        <w:rPr>
          <w:rFonts w:ascii="Roboto" w:eastAsia="Roboto" w:hAnsi="Roboto" w:cs="Roboto"/>
          <w:sz w:val="18"/>
          <w:szCs w:val="18"/>
        </w:rPr>
        <w:t xml:space="preserve">; </w:t>
      </w:r>
      <w:hyperlink r:id="rId13" w:history="1">
        <w:r w:rsidR="009F4392" w:rsidRPr="00BB18B0">
          <w:rPr>
            <w:rStyle w:val="Hipervnculo"/>
            <w:rFonts w:ascii="Roboto" w:eastAsia="Roboto" w:hAnsi="Roboto" w:cs="Roboto"/>
            <w:sz w:val="18"/>
            <w:szCs w:val="18"/>
          </w:rPr>
          <w:t>aurora.porrua@anahuac.mx</w:t>
        </w:r>
      </w:hyperlink>
      <w:r w:rsidR="009F4392">
        <w:rPr>
          <w:rFonts w:ascii="Roboto" w:eastAsia="Roboto" w:hAnsi="Roboto" w:cs="Roboto"/>
          <w:sz w:val="18"/>
          <w:szCs w:val="18"/>
        </w:rPr>
        <w:t>)</w:t>
      </w:r>
    </w:p>
    <w:p w14:paraId="1512CBE8" w14:textId="77777777" w:rsidR="00221B4A" w:rsidRDefault="00000000">
      <w:pPr>
        <w:spacing w:before="60"/>
        <w:jc w:val="center"/>
        <w:rPr>
          <w:rFonts w:ascii="Roboto" w:eastAsia="Roboto" w:hAnsi="Roboto" w:cs="Roboto"/>
          <w:sz w:val="18"/>
          <w:szCs w:val="18"/>
        </w:rPr>
        <w:sectPr w:rsidR="00221B4A">
          <w:headerReference w:type="default" r:id="rId14"/>
          <w:pgSz w:w="11906" w:h="16838"/>
          <w:pgMar w:top="851" w:right="851" w:bottom="828" w:left="851" w:header="357" w:footer="720" w:gutter="0"/>
          <w:pgNumType w:start="1"/>
          <w:cols w:space="720"/>
        </w:sectPr>
      </w:pPr>
      <w:r>
        <w:rPr>
          <w:noProof/>
        </w:rPr>
        <w:pict w14:anchorId="4C43E876">
          <v:rect id="_x0000_i1025" alt="" style="width:441.9pt;height:.05pt;mso-width-percent:0;mso-height-percent:0;mso-width-percent:0;mso-height-percent:0" o:hralign="center" o:hrstd="t" o:hr="t" fillcolor="#a0a0a0" stroked="f"/>
        </w:pict>
      </w:r>
    </w:p>
    <w:p w14:paraId="0D254B5E" w14:textId="6B9AA175" w:rsidR="00221B4A" w:rsidRDefault="00FB33FF">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68885A27" w14:textId="0AFB780F" w:rsidR="0047010A" w:rsidRPr="00FE4BA4" w:rsidRDefault="0047010A" w:rsidP="0047010A">
      <w:pPr>
        <w:pBdr>
          <w:top w:val="nil"/>
          <w:left w:val="nil"/>
          <w:bottom w:val="nil"/>
          <w:right w:val="nil"/>
          <w:between w:val="nil"/>
        </w:pBdr>
        <w:jc w:val="both"/>
        <w:rPr>
          <w:rFonts w:ascii="Roboto" w:eastAsia="Roboto" w:hAnsi="Roboto" w:cs="Roboto"/>
          <w:color w:val="000000"/>
          <w:sz w:val="20"/>
          <w:szCs w:val="20"/>
        </w:rPr>
      </w:pPr>
      <w:r w:rsidRPr="00FE4BA4">
        <w:rPr>
          <w:rFonts w:ascii="Roboto" w:eastAsia="Roboto" w:hAnsi="Roboto" w:cs="Roboto"/>
          <w:color w:val="000000"/>
          <w:sz w:val="20"/>
          <w:szCs w:val="20"/>
        </w:rPr>
        <w:t>Las instituciones de educación superior operan como sistemas alimentarios institucionales estratégicos, con capacidad de influir tanto en los patrones de consumo de sus comunidades como en el impacto ambiental asociado a la alimentación</w:t>
      </w:r>
      <w:r w:rsidR="009D0EC4" w:rsidRPr="00FE4BA4">
        <w:rPr>
          <w:rFonts w:ascii="Roboto" w:eastAsia="Roboto" w:hAnsi="Roboto" w:cs="Roboto"/>
          <w:color w:val="000000"/>
          <w:sz w:val="20"/>
          <w:szCs w:val="20"/>
        </w:rPr>
        <w:t xml:space="preserve"> (</w:t>
      </w:r>
      <w:r w:rsidR="00455CF1" w:rsidRPr="00FE4BA4">
        <w:rPr>
          <w:rFonts w:ascii="Roboto" w:eastAsia="Roboto" w:hAnsi="Roboto" w:cs="Roboto"/>
          <w:sz w:val="20"/>
          <w:szCs w:val="20"/>
        </w:rPr>
        <w:t>Clark y col.</w:t>
      </w:r>
      <w:r w:rsidR="009D0EC4" w:rsidRPr="00FE4BA4">
        <w:rPr>
          <w:rFonts w:ascii="Roboto" w:eastAsia="Roboto" w:hAnsi="Roboto" w:cs="Roboto"/>
          <w:sz w:val="20"/>
          <w:szCs w:val="20"/>
        </w:rPr>
        <w:t>, 20</w:t>
      </w:r>
      <w:r w:rsidR="00455CF1" w:rsidRPr="00FE4BA4">
        <w:rPr>
          <w:rFonts w:ascii="Roboto" w:eastAsia="Roboto" w:hAnsi="Roboto" w:cs="Roboto"/>
          <w:sz w:val="20"/>
          <w:szCs w:val="20"/>
        </w:rPr>
        <w:t>20</w:t>
      </w:r>
      <w:r w:rsidR="00A73884">
        <w:rPr>
          <w:rFonts w:ascii="Roboto" w:eastAsia="Roboto" w:hAnsi="Roboto" w:cs="Roboto"/>
          <w:sz w:val="20"/>
          <w:szCs w:val="20"/>
        </w:rPr>
        <w:t xml:space="preserve">; </w:t>
      </w:r>
      <w:proofErr w:type="spellStart"/>
      <w:r w:rsidR="00A73884" w:rsidRPr="00A73884">
        <w:rPr>
          <w:rFonts w:ascii="Roboto" w:eastAsia="Roboto" w:hAnsi="Roboto" w:cs="Roboto"/>
          <w:sz w:val="20"/>
          <w:szCs w:val="20"/>
        </w:rPr>
        <w:t>Bschaden</w:t>
      </w:r>
      <w:proofErr w:type="spellEnd"/>
      <w:r w:rsidR="00A73884" w:rsidRPr="00A73884">
        <w:rPr>
          <w:rFonts w:ascii="Roboto" w:eastAsia="Roboto" w:hAnsi="Roboto" w:cs="Roboto"/>
          <w:sz w:val="20"/>
          <w:szCs w:val="20"/>
        </w:rPr>
        <w:t xml:space="preserve"> y col.,</w:t>
      </w:r>
      <w:r w:rsidR="00A73884">
        <w:rPr>
          <w:rFonts w:ascii="Roboto" w:eastAsia="Roboto" w:hAnsi="Roboto" w:cs="Roboto"/>
          <w:sz w:val="20"/>
          <w:szCs w:val="20"/>
        </w:rPr>
        <w:t xml:space="preserve"> 2024</w:t>
      </w:r>
      <w:r w:rsidR="009D0EC4" w:rsidRPr="00FE4BA4">
        <w:rPr>
          <w:rFonts w:ascii="Roboto" w:eastAsia="Roboto" w:hAnsi="Roboto" w:cs="Roboto"/>
          <w:color w:val="000000"/>
          <w:sz w:val="20"/>
          <w:szCs w:val="20"/>
        </w:rPr>
        <w:t>)</w:t>
      </w:r>
      <w:r w:rsidRPr="00FE4BA4">
        <w:rPr>
          <w:rFonts w:ascii="Roboto" w:eastAsia="Roboto" w:hAnsi="Roboto" w:cs="Roboto"/>
          <w:color w:val="000000"/>
          <w:sz w:val="20"/>
          <w:szCs w:val="20"/>
        </w:rPr>
        <w:t xml:space="preserve">. A nivel internacional, investigaciones recientes han comenzado a cuantificar la </w:t>
      </w:r>
      <w:r w:rsidR="00FE4BA4">
        <w:rPr>
          <w:rFonts w:ascii="Roboto" w:eastAsia="Roboto" w:hAnsi="Roboto" w:cs="Roboto"/>
          <w:color w:val="000000"/>
          <w:sz w:val="20"/>
          <w:szCs w:val="20"/>
        </w:rPr>
        <w:t xml:space="preserve">huella de carbono a partir de las </w:t>
      </w:r>
      <w:r w:rsidRPr="00FE4BA4">
        <w:rPr>
          <w:rFonts w:ascii="Roboto" w:eastAsia="Roboto" w:hAnsi="Roboto" w:cs="Roboto"/>
          <w:color w:val="000000"/>
          <w:sz w:val="20"/>
          <w:szCs w:val="20"/>
        </w:rPr>
        <w:t>emisiones de gases de efecto invernadero derivadas del abastecimiento alimentario universitario</w:t>
      </w:r>
      <w:r w:rsidR="00E35691" w:rsidRPr="00FE4BA4">
        <w:rPr>
          <w:rFonts w:ascii="Roboto" w:eastAsia="Roboto" w:hAnsi="Roboto" w:cs="Roboto"/>
          <w:color w:val="000000"/>
          <w:sz w:val="20"/>
          <w:szCs w:val="20"/>
        </w:rPr>
        <w:t xml:space="preserve"> (</w:t>
      </w:r>
      <w:r w:rsidR="00FE4BA4">
        <w:rPr>
          <w:rFonts w:ascii="Roboto" w:eastAsia="Roboto" w:hAnsi="Roboto" w:cs="Roboto"/>
          <w:color w:val="000000"/>
          <w:sz w:val="20"/>
          <w:szCs w:val="20"/>
        </w:rPr>
        <w:t xml:space="preserve">Bertoldo y col., 2024; </w:t>
      </w:r>
      <w:r w:rsidR="00E35691" w:rsidRPr="00FE4BA4">
        <w:rPr>
          <w:rFonts w:ascii="Roboto" w:eastAsia="Roboto" w:hAnsi="Roboto" w:cs="Roboto"/>
          <w:sz w:val="20"/>
          <w:szCs w:val="20"/>
        </w:rPr>
        <w:t>Crippa y col., 2021</w:t>
      </w:r>
      <w:r w:rsidR="00E35691" w:rsidRPr="00FE4BA4">
        <w:rPr>
          <w:rFonts w:ascii="Roboto" w:eastAsia="Roboto" w:hAnsi="Roboto" w:cs="Roboto"/>
          <w:color w:val="000000"/>
          <w:sz w:val="20"/>
          <w:szCs w:val="20"/>
        </w:rPr>
        <w:t>)</w:t>
      </w:r>
      <w:r w:rsidRPr="00FE4BA4">
        <w:rPr>
          <w:rFonts w:ascii="Roboto" w:eastAsia="Roboto" w:hAnsi="Roboto" w:cs="Roboto"/>
          <w:color w:val="000000"/>
          <w:sz w:val="20"/>
          <w:szCs w:val="20"/>
        </w:rPr>
        <w:t>; sin embargo, en México no se dispone aún de estimaciones sistemáticas de la huella de carbono asociada a las compras institucionales de alimentos.</w:t>
      </w:r>
      <w:r w:rsidR="00255402">
        <w:rPr>
          <w:rFonts w:ascii="Roboto" w:eastAsia="Roboto" w:hAnsi="Roboto" w:cs="Roboto"/>
          <w:color w:val="000000"/>
          <w:sz w:val="20"/>
          <w:szCs w:val="20"/>
        </w:rPr>
        <w:t xml:space="preserve"> </w:t>
      </w:r>
      <w:r w:rsidRPr="00FE4BA4">
        <w:rPr>
          <w:rFonts w:ascii="Roboto" w:eastAsia="Roboto" w:hAnsi="Roboto" w:cs="Roboto"/>
          <w:color w:val="000000"/>
          <w:sz w:val="20"/>
          <w:szCs w:val="20"/>
        </w:rPr>
        <w:t>Esta brecha de información limita la evaluación del papel de las universidades mexicanas en la transición hacia sistemas alimentarios sostenibles y dificulta su comparabilidad internacional.</w:t>
      </w:r>
    </w:p>
    <w:p w14:paraId="649B8C98" w14:textId="77777777" w:rsidR="00FB33FF" w:rsidRDefault="00FB33FF">
      <w:pPr>
        <w:pBdr>
          <w:top w:val="nil"/>
          <w:left w:val="nil"/>
          <w:bottom w:val="nil"/>
          <w:right w:val="nil"/>
          <w:between w:val="nil"/>
        </w:pBdr>
        <w:jc w:val="both"/>
        <w:rPr>
          <w:rFonts w:ascii="Roboto" w:eastAsia="Roboto" w:hAnsi="Roboto" w:cs="Roboto"/>
          <w:b/>
          <w:color w:val="000000"/>
          <w:sz w:val="20"/>
          <w:szCs w:val="20"/>
        </w:rPr>
      </w:pPr>
    </w:p>
    <w:p w14:paraId="6F8F0526" w14:textId="624CFCE2" w:rsidR="00221B4A" w:rsidRDefault="00FB33FF">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OBJETIVO</w:t>
      </w:r>
    </w:p>
    <w:p w14:paraId="04FB0DA4" w14:textId="75AFE9FF" w:rsidR="0047010A" w:rsidRPr="00FE4BA4" w:rsidRDefault="0047010A" w:rsidP="0047010A">
      <w:pPr>
        <w:pBdr>
          <w:top w:val="nil"/>
          <w:left w:val="nil"/>
          <w:bottom w:val="nil"/>
          <w:right w:val="nil"/>
          <w:between w:val="nil"/>
        </w:pBdr>
        <w:jc w:val="both"/>
        <w:rPr>
          <w:rFonts w:ascii="Roboto" w:eastAsia="Roboto" w:hAnsi="Roboto" w:cs="Roboto"/>
          <w:color w:val="000000"/>
          <w:sz w:val="20"/>
          <w:szCs w:val="20"/>
        </w:rPr>
      </w:pPr>
      <w:r w:rsidRPr="00FE4BA4">
        <w:rPr>
          <w:rFonts w:ascii="Roboto" w:eastAsia="Roboto" w:hAnsi="Roboto" w:cs="Roboto"/>
          <w:color w:val="000000"/>
          <w:sz w:val="20"/>
          <w:szCs w:val="20"/>
        </w:rPr>
        <w:t xml:space="preserve">Estimar la intensidad climática del abastecimiento alimentario institucional </w:t>
      </w:r>
      <w:r w:rsidR="000114C8" w:rsidRPr="00FE4BA4">
        <w:rPr>
          <w:rFonts w:ascii="Roboto" w:eastAsia="Roboto" w:hAnsi="Roboto" w:cs="Roboto"/>
          <w:color w:val="000000"/>
          <w:sz w:val="20"/>
          <w:szCs w:val="20"/>
        </w:rPr>
        <w:t>de la Universidad Anáhuac Mayab</w:t>
      </w:r>
      <w:r w:rsidRPr="00FE4BA4">
        <w:rPr>
          <w:rFonts w:ascii="Roboto" w:eastAsia="Roboto" w:hAnsi="Roboto" w:cs="Roboto"/>
          <w:color w:val="000000"/>
          <w:sz w:val="20"/>
          <w:szCs w:val="20"/>
        </w:rPr>
        <w:t xml:space="preserve"> y situarla en una comparación estructural con universidades estadounidenses, mediante la aplicación de una métrica estandarizada de emisiones expresadas en kilogramos de CO₂ equivalente por kilogramo de alimento adquirido.</w:t>
      </w:r>
    </w:p>
    <w:p w14:paraId="1CBBFDE1" w14:textId="77777777" w:rsidR="00221B4A" w:rsidRDefault="00221B4A">
      <w:pPr>
        <w:pBdr>
          <w:top w:val="nil"/>
          <w:left w:val="nil"/>
          <w:bottom w:val="nil"/>
          <w:right w:val="nil"/>
          <w:between w:val="nil"/>
        </w:pBdr>
        <w:jc w:val="both"/>
        <w:rPr>
          <w:rFonts w:ascii="Roboto" w:eastAsia="Roboto" w:hAnsi="Roboto" w:cs="Roboto"/>
          <w:b/>
          <w:color w:val="000000"/>
          <w:sz w:val="20"/>
          <w:szCs w:val="20"/>
        </w:rPr>
      </w:pPr>
    </w:p>
    <w:p w14:paraId="73076BAA" w14:textId="173ACA4D" w:rsidR="00221B4A" w:rsidRDefault="00FB33FF">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METODOLOGÍA</w:t>
      </w:r>
    </w:p>
    <w:p w14:paraId="12762304" w14:textId="68713194" w:rsidR="008925D2" w:rsidRPr="008925D2" w:rsidRDefault="008925D2" w:rsidP="008925D2">
      <w:pPr>
        <w:pBdr>
          <w:top w:val="nil"/>
          <w:left w:val="nil"/>
          <w:bottom w:val="nil"/>
          <w:right w:val="nil"/>
          <w:between w:val="nil"/>
        </w:pBdr>
        <w:jc w:val="both"/>
        <w:rPr>
          <w:rFonts w:ascii="Roboto" w:eastAsia="Roboto" w:hAnsi="Roboto" w:cs="Roboto"/>
          <w:color w:val="000000"/>
          <w:sz w:val="20"/>
          <w:szCs w:val="20"/>
        </w:rPr>
      </w:pPr>
      <w:r w:rsidRPr="008925D2">
        <w:rPr>
          <w:rFonts w:ascii="Roboto" w:eastAsia="Roboto" w:hAnsi="Roboto" w:cs="Roboto"/>
          <w:color w:val="000000"/>
          <w:sz w:val="20"/>
          <w:szCs w:val="20"/>
        </w:rPr>
        <w:t>Se realizó un análisis retrospectivo de las compras institucionales de alimentos correspondientes a un año calendario en una universidad privada del sureste de México. Se analizaron 108,211.85 kg de alimentos adquiridos durante el periodo de estudio, clasificados conforme al Sistema Mexicano de Alimentos Equivalentes.</w:t>
      </w:r>
      <w:r w:rsidR="00255402">
        <w:rPr>
          <w:rFonts w:ascii="Roboto" w:eastAsia="Roboto" w:hAnsi="Roboto" w:cs="Roboto"/>
          <w:color w:val="000000"/>
          <w:sz w:val="20"/>
          <w:szCs w:val="20"/>
        </w:rPr>
        <w:t xml:space="preserve"> </w:t>
      </w:r>
      <w:r w:rsidRPr="008925D2">
        <w:rPr>
          <w:rFonts w:ascii="Roboto" w:eastAsia="Roboto" w:hAnsi="Roboto" w:cs="Roboto"/>
          <w:color w:val="000000"/>
          <w:sz w:val="20"/>
          <w:szCs w:val="20"/>
        </w:rPr>
        <w:t xml:space="preserve">La huella de carbono asociada se estimó mediante la aplicación del modelo </w:t>
      </w:r>
      <w:r w:rsidRPr="00FE4BA4">
        <w:rPr>
          <w:rFonts w:ascii="Roboto" w:eastAsia="Roboto" w:hAnsi="Roboto" w:cs="Roboto"/>
          <w:i/>
          <w:iCs/>
          <w:color w:val="000000"/>
          <w:sz w:val="20"/>
          <w:szCs w:val="20"/>
        </w:rPr>
        <w:t>bottom-up</w:t>
      </w:r>
      <w:r w:rsidRPr="008925D2">
        <w:rPr>
          <w:rFonts w:ascii="Roboto" w:eastAsia="Roboto" w:hAnsi="Roboto" w:cs="Roboto"/>
          <w:color w:val="000000"/>
          <w:sz w:val="20"/>
          <w:szCs w:val="20"/>
        </w:rPr>
        <w:t xml:space="preserve"> propuesto por Ruiz (2017), utilizando factores de emisión específicos por grupo alimentario. A partir de las emisiones totales estimadas, se calculó la </w:t>
      </w:r>
      <w:r w:rsidR="00255402">
        <w:rPr>
          <w:rFonts w:ascii="Roboto" w:eastAsia="Roboto" w:hAnsi="Roboto" w:cs="Roboto"/>
          <w:color w:val="000000"/>
          <w:sz w:val="20"/>
          <w:szCs w:val="20"/>
        </w:rPr>
        <w:t>huella</w:t>
      </w:r>
      <w:r w:rsidR="00FE4BA4">
        <w:rPr>
          <w:rFonts w:ascii="Roboto" w:eastAsia="Roboto" w:hAnsi="Roboto" w:cs="Roboto"/>
          <w:color w:val="000000"/>
          <w:sz w:val="20"/>
          <w:szCs w:val="20"/>
        </w:rPr>
        <w:t xml:space="preserve"> de carbono </w:t>
      </w:r>
      <w:r w:rsidRPr="008925D2">
        <w:rPr>
          <w:rFonts w:ascii="Roboto" w:eastAsia="Roboto" w:hAnsi="Roboto" w:cs="Roboto"/>
          <w:color w:val="000000"/>
          <w:sz w:val="20"/>
          <w:szCs w:val="20"/>
        </w:rPr>
        <w:t xml:space="preserve">del portafolio institucional </w:t>
      </w:r>
      <w:r w:rsidRPr="00FE4BA4">
        <w:rPr>
          <w:rFonts w:ascii="Roboto" w:eastAsia="Roboto" w:hAnsi="Roboto" w:cs="Roboto"/>
          <w:color w:val="000000"/>
          <w:sz w:val="20"/>
          <w:szCs w:val="20"/>
        </w:rPr>
        <w:t xml:space="preserve">como la razón entre las emisiones totales anuales (kg </w:t>
      </w:r>
      <w:proofErr w:type="spellStart"/>
      <w:r w:rsidRPr="00FE4BA4">
        <w:rPr>
          <w:rFonts w:ascii="Roboto" w:eastAsia="Roboto" w:hAnsi="Roboto" w:cs="Roboto"/>
          <w:color w:val="000000"/>
          <w:sz w:val="20"/>
          <w:szCs w:val="20"/>
        </w:rPr>
        <w:t>CO₂e</w:t>
      </w:r>
      <w:proofErr w:type="spellEnd"/>
      <w:r w:rsidRPr="00FE4BA4">
        <w:rPr>
          <w:rFonts w:ascii="Roboto" w:eastAsia="Roboto" w:hAnsi="Roboto" w:cs="Roboto"/>
          <w:color w:val="000000"/>
          <w:sz w:val="20"/>
          <w:szCs w:val="20"/>
        </w:rPr>
        <w:t xml:space="preserve">) y el peso </w:t>
      </w:r>
      <w:proofErr w:type="spellStart"/>
      <w:r w:rsidRPr="00FE4BA4">
        <w:rPr>
          <w:rFonts w:ascii="Roboto" w:eastAsia="Roboto" w:hAnsi="Roboto" w:cs="Roboto"/>
          <w:color w:val="000000"/>
          <w:sz w:val="20"/>
          <w:szCs w:val="20"/>
        </w:rPr>
        <w:t>totalde</w:t>
      </w:r>
      <w:proofErr w:type="spellEnd"/>
      <w:r w:rsidRPr="00FE4BA4">
        <w:rPr>
          <w:rFonts w:ascii="Roboto" w:eastAsia="Roboto" w:hAnsi="Roboto" w:cs="Roboto"/>
          <w:color w:val="000000"/>
          <w:sz w:val="20"/>
          <w:szCs w:val="20"/>
        </w:rPr>
        <w:t xml:space="preserve"> alimentos adquiridos (kg), obteniendo así un indicador expresado en kg </w:t>
      </w:r>
      <w:proofErr w:type="spellStart"/>
      <w:r w:rsidRPr="00FE4BA4">
        <w:rPr>
          <w:rFonts w:ascii="Roboto" w:eastAsia="Roboto" w:hAnsi="Roboto" w:cs="Roboto"/>
          <w:color w:val="000000"/>
          <w:sz w:val="20"/>
          <w:szCs w:val="20"/>
        </w:rPr>
        <w:t>CO₂e</w:t>
      </w:r>
      <w:proofErr w:type="spellEnd"/>
      <w:r w:rsidRPr="00FE4BA4">
        <w:rPr>
          <w:rFonts w:ascii="Roboto" w:eastAsia="Roboto" w:hAnsi="Roboto" w:cs="Roboto"/>
          <w:color w:val="000000"/>
          <w:sz w:val="20"/>
          <w:szCs w:val="20"/>
        </w:rPr>
        <w:t xml:space="preserve"> por kg de alimento adquirido.</w:t>
      </w:r>
    </w:p>
    <w:p w14:paraId="54C2C816" w14:textId="77777777" w:rsidR="00221B4A" w:rsidRDefault="00221B4A">
      <w:pPr>
        <w:pBdr>
          <w:top w:val="nil"/>
          <w:left w:val="nil"/>
          <w:bottom w:val="nil"/>
          <w:right w:val="nil"/>
          <w:between w:val="nil"/>
        </w:pBdr>
        <w:jc w:val="both"/>
        <w:rPr>
          <w:rFonts w:ascii="Roboto" w:eastAsia="Roboto" w:hAnsi="Roboto" w:cs="Roboto"/>
          <w:color w:val="000000"/>
          <w:sz w:val="20"/>
          <w:szCs w:val="20"/>
        </w:rPr>
      </w:pPr>
    </w:p>
    <w:p w14:paraId="0C389621" w14:textId="69BB9CF2" w:rsidR="00221B4A" w:rsidRPr="008925D2" w:rsidRDefault="00FB33FF" w:rsidP="008925D2">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RESULTADOS</w:t>
      </w:r>
    </w:p>
    <w:p w14:paraId="479FAED8" w14:textId="789E8AD9" w:rsidR="00255402" w:rsidRDefault="00255402" w:rsidP="00255402">
      <w:pPr>
        <w:keepNext/>
        <w:jc w:val="both"/>
        <w:rPr>
          <w:rFonts w:ascii="Roboto" w:eastAsia="Roboto" w:hAnsi="Roboto" w:cs="Roboto"/>
          <w:bCs/>
          <w:sz w:val="20"/>
          <w:szCs w:val="20"/>
        </w:rPr>
      </w:pPr>
      <w:r w:rsidRPr="00255402">
        <w:rPr>
          <w:rFonts w:ascii="Roboto" w:eastAsia="Roboto" w:hAnsi="Roboto" w:cs="Roboto"/>
          <w:bCs/>
          <w:sz w:val="20"/>
          <w:szCs w:val="20"/>
        </w:rPr>
        <w:t xml:space="preserve">El análisis comprendió un total de 108,211.85 kg de alimentos adquiridos durante un año calendario. La estimación de emisiones se realizó mediante la aplicación del modelo bottom-up propuesto por Ruiz (2017), adaptado al Sistema Mexicano de Alimentos </w:t>
      </w:r>
      <w:r w:rsidRPr="00255402">
        <w:rPr>
          <w:rFonts w:ascii="Roboto" w:eastAsia="Roboto" w:hAnsi="Roboto" w:cs="Roboto"/>
          <w:bCs/>
          <w:sz w:val="20"/>
          <w:szCs w:val="20"/>
        </w:rPr>
        <w:t xml:space="preserve">Equivalentes. A partir de este procedimiento, se obtuvo una intensidad climática promedio de 2.8 kg </w:t>
      </w:r>
      <w:proofErr w:type="spellStart"/>
      <w:r w:rsidRPr="00255402">
        <w:rPr>
          <w:rFonts w:ascii="Roboto" w:eastAsia="Roboto" w:hAnsi="Roboto" w:cs="Roboto"/>
          <w:bCs/>
          <w:sz w:val="20"/>
          <w:szCs w:val="20"/>
        </w:rPr>
        <w:t>CO₂e</w:t>
      </w:r>
      <w:proofErr w:type="spellEnd"/>
      <w:r w:rsidRPr="00255402">
        <w:rPr>
          <w:rFonts w:ascii="Roboto" w:eastAsia="Roboto" w:hAnsi="Roboto" w:cs="Roboto"/>
          <w:bCs/>
          <w:sz w:val="20"/>
          <w:szCs w:val="20"/>
        </w:rPr>
        <w:t xml:space="preserve"> por kg de alimento adquirido, como se muestra en la Figura 1.</w:t>
      </w:r>
    </w:p>
    <w:p w14:paraId="754192CD" w14:textId="23DE9FA6" w:rsidR="00255402" w:rsidRPr="00255402" w:rsidRDefault="00255402" w:rsidP="00255402">
      <w:pPr>
        <w:keepNext/>
        <w:jc w:val="both"/>
        <w:rPr>
          <w:rFonts w:ascii="Roboto" w:eastAsia="Roboto" w:hAnsi="Roboto" w:cs="Roboto"/>
          <w:bCs/>
          <w:sz w:val="20"/>
          <w:szCs w:val="20"/>
        </w:rPr>
      </w:pPr>
      <w:r w:rsidRPr="00255402">
        <w:rPr>
          <w:rFonts w:ascii="Roboto" w:eastAsia="Roboto" w:hAnsi="Roboto" w:cs="Roboto"/>
          <w:bCs/>
          <w:sz w:val="20"/>
          <w:szCs w:val="20"/>
        </w:rPr>
        <w:t>Este indicador representa la razón entre las emisiones totales anuales estimadas y el peso total del portafolio institucional, constituyendo una métrica sintética del desempeño climático del sistema alimentario universitario. En términos agregados, el resultado implica que por cada tonelada de alimento adquirida se generan aproximadamente 2,800 kg de CO₂ equivalente, lo que permite dimensionar el impacto ambiental asociado al patrón de abastecimiento institucional en el contexto de las emisiones atribuibles a los sistemas alimentarios (Crippa y col., 2021; Clark y col., 2020).</w:t>
      </w:r>
    </w:p>
    <w:p w14:paraId="4BBAB9A1" w14:textId="77777777" w:rsidR="00221B4A" w:rsidRDefault="00221B4A">
      <w:pPr>
        <w:pBdr>
          <w:top w:val="nil"/>
          <w:left w:val="nil"/>
          <w:bottom w:val="nil"/>
          <w:right w:val="nil"/>
          <w:between w:val="nil"/>
        </w:pBdr>
        <w:jc w:val="both"/>
        <w:rPr>
          <w:rFonts w:ascii="Roboto" w:eastAsia="Roboto" w:hAnsi="Roboto" w:cs="Roboto"/>
          <w:color w:val="000000"/>
          <w:sz w:val="20"/>
          <w:szCs w:val="20"/>
        </w:rPr>
      </w:pPr>
    </w:p>
    <w:p w14:paraId="2617B0FA" w14:textId="1E3101ED" w:rsidR="00FE4BA4" w:rsidRDefault="00FE4BA4">
      <w:pPr>
        <w:pBdr>
          <w:top w:val="nil"/>
          <w:left w:val="nil"/>
          <w:bottom w:val="nil"/>
          <w:right w:val="nil"/>
          <w:between w:val="nil"/>
        </w:pBdr>
        <w:jc w:val="both"/>
        <w:rPr>
          <w:rFonts w:ascii="Roboto" w:eastAsia="Roboto" w:hAnsi="Roboto" w:cs="Roboto"/>
          <w:color w:val="000000"/>
          <w:sz w:val="20"/>
          <w:szCs w:val="20"/>
        </w:rPr>
      </w:pPr>
      <w:r>
        <w:rPr>
          <w:noProof/>
        </w:rPr>
        <w:drawing>
          <wp:inline distT="0" distB="0" distL="0" distR="0" wp14:anchorId="592391A6" wp14:editId="195EA98F">
            <wp:extent cx="3124200" cy="1936115"/>
            <wp:effectExtent l="0" t="0" r="0" b="6985"/>
            <wp:docPr id="7898661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866104" name=""/>
                    <pic:cNvPicPr/>
                  </pic:nvPicPr>
                  <pic:blipFill>
                    <a:blip r:embed="rId15">
                      <a:lum bright="-20000" contrast="50000"/>
                    </a:blip>
                    <a:stretch>
                      <a:fillRect/>
                    </a:stretch>
                  </pic:blipFill>
                  <pic:spPr>
                    <a:xfrm>
                      <a:off x="0" y="0"/>
                      <a:ext cx="3124200" cy="1936115"/>
                    </a:xfrm>
                    <a:prstGeom prst="rect">
                      <a:avLst/>
                    </a:prstGeom>
                    <a:effectLst/>
                  </pic:spPr>
                </pic:pic>
              </a:graphicData>
            </a:graphic>
          </wp:inline>
        </w:drawing>
      </w:r>
    </w:p>
    <w:p w14:paraId="5F27B591" w14:textId="392AA009" w:rsidR="00FE4BA4" w:rsidRDefault="00FE4BA4">
      <w:pPr>
        <w:jc w:val="both"/>
        <w:rPr>
          <w:rFonts w:ascii="Roboto" w:eastAsia="Roboto" w:hAnsi="Roboto" w:cs="Roboto"/>
          <w:b/>
          <w:sz w:val="20"/>
          <w:szCs w:val="20"/>
        </w:rPr>
      </w:pPr>
    </w:p>
    <w:p w14:paraId="7D322E6E" w14:textId="60744B14" w:rsidR="00255402" w:rsidRPr="00255402" w:rsidRDefault="00255402" w:rsidP="00255402">
      <w:pPr>
        <w:jc w:val="both"/>
        <w:rPr>
          <w:rFonts w:ascii="Roboto" w:eastAsia="Roboto" w:hAnsi="Roboto" w:cs="Roboto"/>
          <w:bCs/>
          <w:sz w:val="20"/>
          <w:szCs w:val="20"/>
        </w:rPr>
      </w:pPr>
      <w:r w:rsidRPr="00255402">
        <w:rPr>
          <w:rFonts w:ascii="Roboto" w:eastAsia="Roboto" w:hAnsi="Roboto" w:cs="Roboto"/>
          <w:bCs/>
          <w:sz w:val="20"/>
          <w:szCs w:val="20"/>
        </w:rPr>
        <w:t xml:space="preserve">La Figura 2 presenta la distribución estructural de las emisiones por grupo alimentario. Los resultados evidencian que la mayor contribución a la huella total se asocia a los alimentos de origen animal, coherente con la literatura internacional que documenta su mayor intensidad de emisión por unidad de peso (Kim y col., 2020). </w:t>
      </w:r>
    </w:p>
    <w:p w14:paraId="1B76B3C2" w14:textId="77777777" w:rsidR="00255402" w:rsidRDefault="00255402">
      <w:pPr>
        <w:jc w:val="both"/>
        <w:rPr>
          <w:rFonts w:ascii="Roboto" w:eastAsia="Roboto" w:hAnsi="Roboto" w:cs="Roboto"/>
          <w:b/>
          <w:sz w:val="20"/>
          <w:szCs w:val="20"/>
        </w:rPr>
      </w:pPr>
    </w:p>
    <w:p w14:paraId="1FDE2373" w14:textId="7333F981" w:rsidR="00FE4BA4" w:rsidRDefault="00FE4BA4">
      <w:pPr>
        <w:jc w:val="both"/>
        <w:rPr>
          <w:rFonts w:ascii="Roboto" w:eastAsia="Roboto" w:hAnsi="Roboto" w:cs="Roboto"/>
          <w:b/>
          <w:sz w:val="20"/>
          <w:szCs w:val="20"/>
        </w:rPr>
      </w:pPr>
      <w:r>
        <w:rPr>
          <w:noProof/>
        </w:rPr>
        <w:drawing>
          <wp:inline distT="0" distB="0" distL="0" distR="0" wp14:anchorId="2BF7B65C" wp14:editId="7399E254">
            <wp:extent cx="3117850" cy="2038350"/>
            <wp:effectExtent l="0" t="0" r="6350" b="0"/>
            <wp:docPr id="3368984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898441" name=""/>
                    <pic:cNvPicPr/>
                  </pic:nvPicPr>
                  <pic:blipFill>
                    <a:blip r:embed="rId16">
                      <a:lum bright="-20000" contrast="50000"/>
                    </a:blip>
                    <a:stretch>
                      <a:fillRect/>
                    </a:stretch>
                  </pic:blipFill>
                  <pic:spPr>
                    <a:xfrm>
                      <a:off x="0" y="0"/>
                      <a:ext cx="3117850" cy="2038350"/>
                    </a:xfrm>
                    <a:prstGeom prst="rect">
                      <a:avLst/>
                    </a:prstGeom>
                  </pic:spPr>
                </pic:pic>
              </a:graphicData>
            </a:graphic>
          </wp:inline>
        </w:drawing>
      </w:r>
    </w:p>
    <w:p w14:paraId="440A8766" w14:textId="77777777" w:rsidR="00255402" w:rsidRDefault="00255402" w:rsidP="00255402">
      <w:pPr>
        <w:jc w:val="both"/>
        <w:rPr>
          <w:rFonts w:ascii="Roboto" w:eastAsia="Roboto" w:hAnsi="Roboto" w:cs="Roboto"/>
          <w:bCs/>
          <w:sz w:val="20"/>
          <w:szCs w:val="20"/>
        </w:rPr>
      </w:pPr>
      <w:r w:rsidRPr="00255402">
        <w:rPr>
          <w:rFonts w:ascii="Roboto" w:eastAsia="Roboto" w:hAnsi="Roboto" w:cs="Roboto"/>
          <w:bCs/>
          <w:sz w:val="20"/>
          <w:szCs w:val="20"/>
        </w:rPr>
        <w:lastRenderedPageBreak/>
        <w:t>Asimismo, las bebidas azucaradas muestran una participación relevante en el total agregado, atribuible principalmente a su volumen dentro del patrón institucional de compra más que a su intensidad individual.</w:t>
      </w:r>
      <w:r>
        <w:rPr>
          <w:rFonts w:ascii="Roboto" w:eastAsia="Roboto" w:hAnsi="Roboto" w:cs="Roboto"/>
          <w:bCs/>
          <w:sz w:val="20"/>
          <w:szCs w:val="20"/>
        </w:rPr>
        <w:t xml:space="preserve"> </w:t>
      </w:r>
      <w:r w:rsidRPr="00255402">
        <w:rPr>
          <w:rFonts w:ascii="Roboto" w:eastAsia="Roboto" w:hAnsi="Roboto" w:cs="Roboto"/>
          <w:bCs/>
          <w:sz w:val="20"/>
          <w:szCs w:val="20"/>
        </w:rPr>
        <w:t xml:space="preserve">La concentración de emisiones en categorías específicas confirma que la composición del portafolio es el principal determinante estructural de la carga climática institucional. Este hallazgo es consistente con estudios internacionales que han evaluado la intensidad climática del abastecimiento universitario mediante métricas comparables (Bertoldo y col., 2024). </w:t>
      </w:r>
    </w:p>
    <w:p w14:paraId="70C0E716" w14:textId="15B37FB7" w:rsidR="00255402" w:rsidRPr="00255402" w:rsidRDefault="00255402">
      <w:pPr>
        <w:jc w:val="both"/>
        <w:rPr>
          <w:rFonts w:ascii="Roboto" w:eastAsia="Roboto" w:hAnsi="Roboto" w:cs="Roboto"/>
          <w:bCs/>
          <w:sz w:val="20"/>
          <w:szCs w:val="20"/>
        </w:rPr>
      </w:pPr>
      <w:r w:rsidRPr="00255402">
        <w:rPr>
          <w:rFonts w:ascii="Roboto" w:eastAsia="Roboto" w:hAnsi="Roboto" w:cs="Roboto"/>
          <w:bCs/>
          <w:sz w:val="20"/>
          <w:szCs w:val="20"/>
        </w:rPr>
        <w:t xml:space="preserve">Aunque los modelos de estimación difieren metodológicamente —Cool </w:t>
      </w:r>
      <w:proofErr w:type="spellStart"/>
      <w:r w:rsidRPr="00255402">
        <w:rPr>
          <w:rFonts w:ascii="Roboto" w:eastAsia="Roboto" w:hAnsi="Roboto" w:cs="Roboto"/>
          <w:bCs/>
          <w:sz w:val="20"/>
          <w:szCs w:val="20"/>
        </w:rPr>
        <w:t>Food</w:t>
      </w:r>
      <w:proofErr w:type="spellEnd"/>
      <w:r w:rsidRPr="00255402">
        <w:rPr>
          <w:rFonts w:ascii="Roboto" w:eastAsia="Roboto" w:hAnsi="Roboto" w:cs="Roboto"/>
          <w:bCs/>
          <w:sz w:val="20"/>
          <w:szCs w:val="20"/>
        </w:rPr>
        <w:t xml:space="preserve"> </w:t>
      </w:r>
      <w:proofErr w:type="spellStart"/>
      <w:r w:rsidRPr="00255402">
        <w:rPr>
          <w:rFonts w:ascii="Roboto" w:eastAsia="Roboto" w:hAnsi="Roboto" w:cs="Roboto"/>
          <w:bCs/>
          <w:sz w:val="20"/>
          <w:szCs w:val="20"/>
        </w:rPr>
        <w:t>Calculator</w:t>
      </w:r>
      <w:proofErr w:type="spellEnd"/>
      <w:r w:rsidRPr="00255402">
        <w:rPr>
          <w:rFonts w:ascii="Roboto" w:eastAsia="Roboto" w:hAnsi="Roboto" w:cs="Roboto"/>
          <w:bCs/>
          <w:sz w:val="20"/>
          <w:szCs w:val="20"/>
        </w:rPr>
        <w:t xml:space="preserve"> en el caso estadounidense y un modelo contextualizado al sistema mexicano en el presente estudio—, la utilización del indicador expresado en kg </w:t>
      </w:r>
      <w:proofErr w:type="spellStart"/>
      <w:r w:rsidRPr="00255402">
        <w:rPr>
          <w:rFonts w:ascii="Roboto" w:eastAsia="Roboto" w:hAnsi="Roboto" w:cs="Roboto"/>
          <w:bCs/>
          <w:sz w:val="20"/>
          <w:szCs w:val="20"/>
        </w:rPr>
        <w:t>CO₂e</w:t>
      </w:r>
      <w:proofErr w:type="spellEnd"/>
      <w:r w:rsidRPr="00255402">
        <w:rPr>
          <w:rFonts w:ascii="Roboto" w:eastAsia="Roboto" w:hAnsi="Roboto" w:cs="Roboto"/>
          <w:bCs/>
          <w:sz w:val="20"/>
          <w:szCs w:val="20"/>
        </w:rPr>
        <w:t xml:space="preserve"> por kg de alimento adquirido permite preservar la comparabilidad estructural.</w:t>
      </w:r>
      <w:r>
        <w:rPr>
          <w:rFonts w:ascii="Roboto" w:eastAsia="Roboto" w:hAnsi="Roboto" w:cs="Roboto"/>
          <w:bCs/>
          <w:sz w:val="20"/>
          <w:szCs w:val="20"/>
        </w:rPr>
        <w:t xml:space="preserve"> </w:t>
      </w:r>
      <w:r w:rsidRPr="00255402">
        <w:rPr>
          <w:rFonts w:ascii="Roboto" w:eastAsia="Roboto" w:hAnsi="Roboto" w:cs="Roboto"/>
          <w:bCs/>
          <w:sz w:val="20"/>
          <w:szCs w:val="20"/>
        </w:rPr>
        <w:t>En conjunto, estos resultados constituyen la primera estimación sistemática de la intensidad climática del abastecimiento alimentario universitario en México, aportando evidencia cuantitativa para el diseño de estrategias institucionales orientadas a la transición hacia sistemas alimentarios más sostenibles.</w:t>
      </w:r>
    </w:p>
    <w:p w14:paraId="26F7A2F3" w14:textId="77777777" w:rsidR="00255402" w:rsidRDefault="00255402">
      <w:pPr>
        <w:jc w:val="both"/>
        <w:rPr>
          <w:rFonts w:ascii="Roboto" w:eastAsia="Roboto" w:hAnsi="Roboto" w:cs="Roboto"/>
          <w:b/>
          <w:sz w:val="20"/>
          <w:szCs w:val="20"/>
        </w:rPr>
      </w:pPr>
    </w:p>
    <w:p w14:paraId="5570376B" w14:textId="5D28231E" w:rsidR="00221B4A" w:rsidRDefault="00FB33FF">
      <w:pPr>
        <w:jc w:val="both"/>
        <w:rPr>
          <w:rFonts w:ascii="Roboto" w:eastAsia="Roboto" w:hAnsi="Roboto" w:cs="Roboto"/>
          <w:b/>
          <w:sz w:val="20"/>
          <w:szCs w:val="20"/>
        </w:rPr>
      </w:pPr>
      <w:r>
        <w:rPr>
          <w:rFonts w:ascii="Roboto" w:eastAsia="Roboto" w:hAnsi="Roboto" w:cs="Roboto"/>
          <w:b/>
          <w:sz w:val="20"/>
          <w:szCs w:val="20"/>
        </w:rPr>
        <w:t>CONCLUSIONES</w:t>
      </w:r>
    </w:p>
    <w:p w14:paraId="22EA85D2" w14:textId="67A222DA" w:rsidR="00255402" w:rsidRPr="00255402" w:rsidRDefault="00255402" w:rsidP="00255402">
      <w:pPr>
        <w:jc w:val="both"/>
        <w:rPr>
          <w:rFonts w:ascii="Roboto" w:eastAsia="Roboto" w:hAnsi="Roboto" w:cs="Roboto"/>
          <w:sz w:val="20"/>
          <w:szCs w:val="20"/>
        </w:rPr>
      </w:pPr>
      <w:r w:rsidRPr="00255402">
        <w:rPr>
          <w:rFonts w:ascii="Roboto" w:eastAsia="Roboto" w:hAnsi="Roboto" w:cs="Roboto"/>
          <w:sz w:val="20"/>
          <w:szCs w:val="20"/>
        </w:rPr>
        <w:t>Los resultados indican que el abastecimiento alimentario institucional de la universidad analizada presenta una carga climática estructuralmente comparable a la reportada en universidades estadounidenses, situándose dentro del mismo orden de magnitud en términos de intensidad de emisiones por kilogramo de alimento adquirido. Esta similitud no implica homogeneidad en los patrones de consumo, sino que sugiere que la composición del portafolio institucional —particularmente la proporción de alimentos de origen animal— constituye un determinante clave del desempeño climático, independientemente del contexto nacional.</w:t>
      </w:r>
    </w:p>
    <w:p w14:paraId="36DADFA9" w14:textId="77777777" w:rsidR="00255402" w:rsidRDefault="00255402" w:rsidP="00255402">
      <w:pPr>
        <w:jc w:val="both"/>
        <w:rPr>
          <w:rFonts w:ascii="Roboto" w:eastAsia="Roboto" w:hAnsi="Roboto" w:cs="Roboto"/>
          <w:sz w:val="20"/>
          <w:szCs w:val="20"/>
        </w:rPr>
      </w:pPr>
      <w:r w:rsidRPr="00255402">
        <w:rPr>
          <w:rFonts w:ascii="Roboto" w:eastAsia="Roboto" w:hAnsi="Roboto" w:cs="Roboto"/>
          <w:sz w:val="20"/>
          <w:szCs w:val="20"/>
        </w:rPr>
        <w:t>El presente estudio representa la primera estimación sistemática de la intensidad climática del abastecimiento alimentario universitario en México, aportando una línea base cuantitativa para el análisis ambiental de los sistemas alimentarios institucionales en el país. Asimismo, demuestra la viabilidad técnica y metodológica de aplicar modelos bottom-up contextualizados al ámbito nacional, utilizando clasificaciones alimentarias y factores de emisión adaptados al entorno mexicano, sin perder comparabilidad estructural con estudios internacionales.</w:t>
      </w:r>
      <w:r>
        <w:rPr>
          <w:rFonts w:ascii="Roboto" w:eastAsia="Roboto" w:hAnsi="Roboto" w:cs="Roboto"/>
          <w:sz w:val="20"/>
          <w:szCs w:val="20"/>
        </w:rPr>
        <w:t xml:space="preserve"> </w:t>
      </w:r>
    </w:p>
    <w:p w14:paraId="032730C3" w14:textId="05C33A21" w:rsidR="00255402" w:rsidRPr="00255402" w:rsidRDefault="00255402" w:rsidP="00255402">
      <w:pPr>
        <w:jc w:val="both"/>
        <w:rPr>
          <w:rFonts w:ascii="Roboto" w:eastAsia="Roboto" w:hAnsi="Roboto" w:cs="Roboto"/>
          <w:sz w:val="20"/>
          <w:szCs w:val="20"/>
        </w:rPr>
      </w:pPr>
      <w:r w:rsidRPr="00255402">
        <w:rPr>
          <w:rFonts w:ascii="Roboto" w:eastAsia="Roboto" w:hAnsi="Roboto" w:cs="Roboto"/>
          <w:sz w:val="20"/>
          <w:szCs w:val="20"/>
        </w:rPr>
        <w:t xml:space="preserve">La generación de este tipo de indicadores abre la posibilidad de escalar evaluaciones similares en otras instituciones de educación superior, contribuyendo al desarrollo progresivo de un sistema nacional de monitoreo del impacto climático del abastecimiento alimentario universitario. Este enfoque permitiría preservar la comparabilidad internacional mediante métricas estandarizadas (kg </w:t>
      </w:r>
      <w:proofErr w:type="spellStart"/>
      <w:r w:rsidRPr="00255402">
        <w:rPr>
          <w:rFonts w:ascii="Roboto" w:eastAsia="Roboto" w:hAnsi="Roboto" w:cs="Roboto"/>
          <w:sz w:val="20"/>
          <w:szCs w:val="20"/>
        </w:rPr>
        <w:t>CO₂e</w:t>
      </w:r>
      <w:proofErr w:type="spellEnd"/>
      <w:r w:rsidRPr="00255402">
        <w:rPr>
          <w:rFonts w:ascii="Roboto" w:eastAsia="Roboto" w:hAnsi="Roboto" w:cs="Roboto"/>
          <w:sz w:val="20"/>
          <w:szCs w:val="20"/>
        </w:rPr>
        <w:t xml:space="preserve">/kg), al tiempo que fortalece la autonomía metodológica nacional y reduce </w:t>
      </w:r>
      <w:r w:rsidRPr="00255402">
        <w:rPr>
          <w:rFonts w:ascii="Roboto" w:eastAsia="Roboto" w:hAnsi="Roboto" w:cs="Roboto"/>
          <w:sz w:val="20"/>
          <w:szCs w:val="20"/>
        </w:rPr>
        <w:t>la dependencia exclusiva de herramientas desarrolladas en otros contextos.</w:t>
      </w:r>
    </w:p>
    <w:p w14:paraId="64A0B81D" w14:textId="2D99AE66" w:rsidR="009C4C51" w:rsidRDefault="00255402" w:rsidP="00255402">
      <w:pPr>
        <w:jc w:val="both"/>
        <w:rPr>
          <w:rFonts w:ascii="Roboto" w:eastAsia="Roboto" w:hAnsi="Roboto" w:cs="Roboto"/>
          <w:sz w:val="20"/>
          <w:szCs w:val="20"/>
        </w:rPr>
      </w:pPr>
      <w:r w:rsidRPr="00255402">
        <w:rPr>
          <w:rFonts w:ascii="Roboto" w:eastAsia="Roboto" w:hAnsi="Roboto" w:cs="Roboto"/>
          <w:sz w:val="20"/>
          <w:szCs w:val="20"/>
        </w:rPr>
        <w:t>En términos estratégicos, la expansión de estas mediciones puede convertirse en un instrumento clave para la toma de decisiones institucionales, facilitando la formulación de políticas de compra más sostenibles, la evaluación de escenarios de transición alimentaria y la integración de criterios ambientales en los sistemas de gestión universitaria. De este modo, las universidades pueden consolidarse no solo como espacios de formación y generación de conocimiento, sino también como actores activos en la transición hacia sistemas alimentarios más sostenibles y resilientes.</w:t>
      </w:r>
    </w:p>
    <w:p w14:paraId="7BC4518C" w14:textId="77777777" w:rsidR="00255402" w:rsidRPr="000114C8" w:rsidRDefault="00255402" w:rsidP="00255402">
      <w:pPr>
        <w:jc w:val="both"/>
        <w:rPr>
          <w:rFonts w:ascii="Roboto" w:eastAsia="Roboto" w:hAnsi="Roboto" w:cs="Roboto"/>
          <w:sz w:val="20"/>
          <w:szCs w:val="20"/>
        </w:rPr>
      </w:pPr>
    </w:p>
    <w:p w14:paraId="7CC59E23" w14:textId="61945914" w:rsidR="00221B4A" w:rsidRDefault="00A21521">
      <w:pPr>
        <w:jc w:val="both"/>
        <w:rPr>
          <w:rFonts w:ascii="Roboto" w:eastAsia="Roboto" w:hAnsi="Roboto" w:cs="Roboto"/>
          <w:b/>
          <w:sz w:val="20"/>
          <w:szCs w:val="20"/>
        </w:rPr>
      </w:pPr>
      <w:r>
        <w:rPr>
          <w:rFonts w:ascii="Roboto" w:eastAsia="Roboto" w:hAnsi="Roboto" w:cs="Roboto"/>
          <w:b/>
          <w:sz w:val="20"/>
          <w:szCs w:val="20"/>
        </w:rPr>
        <w:t>AGRADECIMIENTOS</w:t>
      </w:r>
    </w:p>
    <w:p w14:paraId="728C1682" w14:textId="04F42843" w:rsidR="000114C8" w:rsidRPr="00FE4BA4" w:rsidRDefault="000114C8">
      <w:pPr>
        <w:jc w:val="both"/>
        <w:rPr>
          <w:rFonts w:ascii="Roboto" w:eastAsia="Roboto" w:hAnsi="Roboto" w:cs="Roboto"/>
          <w:sz w:val="20"/>
          <w:szCs w:val="20"/>
        </w:rPr>
      </w:pPr>
      <w:r w:rsidRPr="00FE4BA4">
        <w:rPr>
          <w:rFonts w:ascii="Roboto" w:eastAsia="Roboto" w:hAnsi="Roboto" w:cs="Roboto"/>
          <w:sz w:val="20"/>
          <w:szCs w:val="20"/>
        </w:rPr>
        <w:t xml:space="preserve">A la Vicerrectoría de Administración y Finanzas de la Universidad </w:t>
      </w:r>
      <w:r w:rsidR="009D0EC4" w:rsidRPr="00FE4BA4">
        <w:rPr>
          <w:rFonts w:ascii="Roboto" w:eastAsia="Roboto" w:hAnsi="Roboto" w:cs="Roboto"/>
          <w:sz w:val="20"/>
          <w:szCs w:val="20"/>
        </w:rPr>
        <w:t>Anáhuac Mayab. A</w:t>
      </w:r>
      <w:r w:rsidR="005E6A94" w:rsidRPr="00FE4BA4">
        <w:rPr>
          <w:rFonts w:ascii="Roboto" w:eastAsia="Roboto" w:hAnsi="Roboto" w:cs="Roboto"/>
          <w:sz w:val="20"/>
          <w:szCs w:val="20"/>
        </w:rPr>
        <w:t xml:space="preserve"> Ghislaine Challamel por su liderazgo y acompañamiento, al igual que al equipo de </w:t>
      </w:r>
      <w:proofErr w:type="spellStart"/>
      <w:r w:rsidR="005E6A94" w:rsidRPr="00FE4BA4">
        <w:rPr>
          <w:rFonts w:ascii="Roboto" w:eastAsia="Roboto" w:hAnsi="Roboto" w:cs="Roboto"/>
          <w:sz w:val="20"/>
          <w:szCs w:val="20"/>
        </w:rPr>
        <w:t>Collective</w:t>
      </w:r>
      <w:proofErr w:type="spellEnd"/>
      <w:r w:rsidR="005E6A94" w:rsidRPr="00FE4BA4">
        <w:rPr>
          <w:rFonts w:ascii="Roboto" w:eastAsia="Roboto" w:hAnsi="Roboto" w:cs="Roboto"/>
          <w:sz w:val="20"/>
          <w:szCs w:val="20"/>
        </w:rPr>
        <w:t xml:space="preserve"> </w:t>
      </w:r>
      <w:proofErr w:type="spellStart"/>
      <w:r w:rsidR="005E6A94" w:rsidRPr="00FE4BA4">
        <w:rPr>
          <w:rFonts w:ascii="Roboto" w:eastAsia="Roboto" w:hAnsi="Roboto" w:cs="Roboto"/>
          <w:sz w:val="20"/>
          <w:szCs w:val="20"/>
        </w:rPr>
        <w:t>Impact</w:t>
      </w:r>
      <w:proofErr w:type="spellEnd"/>
      <w:r w:rsidR="005E6A94" w:rsidRPr="00FE4BA4">
        <w:rPr>
          <w:rFonts w:ascii="Roboto" w:eastAsia="Roboto" w:hAnsi="Roboto" w:cs="Roboto"/>
          <w:sz w:val="20"/>
          <w:szCs w:val="20"/>
        </w:rPr>
        <w:t xml:space="preserve"> por su impulso colaborativo y el acceso a la información. </w:t>
      </w:r>
    </w:p>
    <w:p w14:paraId="6335AFBD" w14:textId="7E2518C7" w:rsidR="00221B4A" w:rsidRDefault="00221B4A">
      <w:pPr>
        <w:jc w:val="both"/>
        <w:rPr>
          <w:rFonts w:ascii="Roboto" w:eastAsia="Roboto" w:hAnsi="Roboto" w:cs="Roboto"/>
          <w:sz w:val="20"/>
          <w:szCs w:val="20"/>
        </w:rPr>
      </w:pPr>
    </w:p>
    <w:p w14:paraId="1DA3D801" w14:textId="25B9334F" w:rsidR="00221B4A" w:rsidRPr="00D267E7" w:rsidRDefault="00A21521">
      <w:pPr>
        <w:jc w:val="both"/>
        <w:rPr>
          <w:rFonts w:ascii="Roboto" w:eastAsia="Roboto" w:hAnsi="Roboto" w:cs="Roboto"/>
          <w:b/>
          <w:sz w:val="20"/>
          <w:szCs w:val="20"/>
          <w:lang w:val="en-US"/>
        </w:rPr>
      </w:pPr>
      <w:r w:rsidRPr="00D267E7">
        <w:rPr>
          <w:rFonts w:ascii="Roboto" w:eastAsia="Roboto" w:hAnsi="Roboto" w:cs="Roboto"/>
          <w:b/>
          <w:sz w:val="20"/>
          <w:szCs w:val="20"/>
          <w:lang w:val="en-US"/>
        </w:rPr>
        <w:t xml:space="preserve">REFERENCIAS </w:t>
      </w:r>
    </w:p>
    <w:p w14:paraId="47E29DEA" w14:textId="14A5FD05" w:rsidR="00E35691" w:rsidRPr="00A73884" w:rsidRDefault="009D0EC4" w:rsidP="009D0EC4">
      <w:pPr>
        <w:jc w:val="both"/>
        <w:rPr>
          <w:lang w:val="en-US"/>
        </w:rPr>
      </w:pPr>
      <w:r w:rsidRPr="009D0EC4">
        <w:rPr>
          <w:rFonts w:ascii="Roboto" w:eastAsia="Roboto" w:hAnsi="Roboto" w:cs="Roboto"/>
          <w:sz w:val="20"/>
          <w:szCs w:val="20"/>
          <w:lang w:val="en-US"/>
        </w:rPr>
        <w:t xml:space="preserve">Bertoldo, J., </w:t>
      </w:r>
      <w:proofErr w:type="spellStart"/>
      <w:r w:rsidRPr="009D0EC4">
        <w:rPr>
          <w:rFonts w:ascii="Roboto" w:eastAsia="Roboto" w:hAnsi="Roboto" w:cs="Roboto"/>
          <w:sz w:val="20"/>
          <w:szCs w:val="20"/>
          <w:lang w:val="en-US"/>
        </w:rPr>
        <w:t>Fammartino</w:t>
      </w:r>
      <w:proofErr w:type="spellEnd"/>
      <w:r w:rsidRPr="009D0EC4">
        <w:rPr>
          <w:rFonts w:ascii="Roboto" w:eastAsia="Roboto" w:hAnsi="Roboto" w:cs="Roboto"/>
          <w:sz w:val="20"/>
          <w:szCs w:val="20"/>
          <w:lang w:val="en-US"/>
        </w:rPr>
        <w:t xml:space="preserve">, A., Egan, S., Neff, R. A., Grekin, R., &amp; Wolfson, J. A. (2024). Evaluating food procurement against the EAT-Lancet planetary health diet in a sample of U.S. universities. </w:t>
      </w:r>
      <w:r w:rsidRPr="009D0EC4">
        <w:rPr>
          <w:rFonts w:ascii="Roboto" w:eastAsia="Roboto" w:hAnsi="Roboto" w:cs="Roboto"/>
          <w:i/>
          <w:iCs/>
          <w:sz w:val="20"/>
          <w:szCs w:val="20"/>
          <w:lang w:val="en-US"/>
        </w:rPr>
        <w:t>International Journal of Environmental Research and Public Health, 21</w:t>
      </w:r>
      <w:r w:rsidRPr="009D0EC4">
        <w:rPr>
          <w:rFonts w:ascii="Roboto" w:eastAsia="Roboto" w:hAnsi="Roboto" w:cs="Roboto"/>
          <w:sz w:val="20"/>
          <w:szCs w:val="20"/>
          <w:lang w:val="en-US"/>
        </w:rPr>
        <w:t xml:space="preserve">(7), 945. </w:t>
      </w:r>
      <w:hyperlink r:id="rId17" w:tgtFrame="_new" w:history="1">
        <w:r w:rsidRPr="009D0EC4">
          <w:rPr>
            <w:rStyle w:val="Hipervnculo"/>
            <w:rFonts w:ascii="Roboto" w:eastAsia="Roboto" w:hAnsi="Roboto" w:cs="Roboto"/>
            <w:sz w:val="20"/>
            <w:szCs w:val="20"/>
            <w:lang w:val="en-US"/>
          </w:rPr>
          <w:t>https://doi.org/10.3390/ijerph21070945</w:t>
        </w:r>
      </w:hyperlink>
    </w:p>
    <w:p w14:paraId="04B0A348" w14:textId="0538FD28" w:rsidR="00A73884" w:rsidRPr="00A73884" w:rsidRDefault="00A73884" w:rsidP="009D0EC4">
      <w:pPr>
        <w:jc w:val="both"/>
        <w:rPr>
          <w:rFonts w:ascii="Roboto" w:eastAsia="Roboto" w:hAnsi="Roboto" w:cs="Roboto"/>
          <w:sz w:val="20"/>
          <w:szCs w:val="20"/>
          <w:lang w:val="en-US"/>
        </w:rPr>
      </w:pPr>
      <w:proofErr w:type="spellStart"/>
      <w:r w:rsidRPr="00A73884">
        <w:rPr>
          <w:rFonts w:ascii="Roboto" w:eastAsia="Roboto" w:hAnsi="Roboto" w:cs="Roboto"/>
          <w:sz w:val="20"/>
          <w:szCs w:val="20"/>
          <w:lang w:val="en-US"/>
        </w:rPr>
        <w:t>Bschaden</w:t>
      </w:r>
      <w:proofErr w:type="spellEnd"/>
      <w:r w:rsidRPr="00A73884">
        <w:rPr>
          <w:rFonts w:ascii="Roboto" w:eastAsia="Roboto" w:hAnsi="Roboto" w:cs="Roboto"/>
          <w:sz w:val="20"/>
          <w:szCs w:val="20"/>
          <w:lang w:val="en-US"/>
        </w:rPr>
        <w:t xml:space="preserve">, A., Bopp, C., Rüdiger, A., Strobel, L., &amp; </w:t>
      </w:r>
      <w:proofErr w:type="spellStart"/>
      <w:r w:rsidRPr="00A73884">
        <w:rPr>
          <w:rFonts w:ascii="Roboto" w:eastAsia="Roboto" w:hAnsi="Roboto" w:cs="Roboto"/>
          <w:sz w:val="20"/>
          <w:szCs w:val="20"/>
          <w:lang w:val="en-US"/>
        </w:rPr>
        <w:t>Stroebele</w:t>
      </w:r>
      <w:proofErr w:type="spellEnd"/>
      <w:r w:rsidRPr="00A73884">
        <w:rPr>
          <w:rFonts w:ascii="Roboto" w:eastAsia="Roboto" w:hAnsi="Roboto" w:cs="Roboto"/>
          <w:sz w:val="20"/>
          <w:szCs w:val="20"/>
          <w:lang w:val="en-US"/>
        </w:rPr>
        <w:t xml:space="preserve">-Benschop, N. (2024). Carbon footprints on the menu: Exploring consumer choices and perceptions across real-world gastronomic settings. Journal of Cleaner Production, 463, 142773. </w:t>
      </w:r>
      <w:hyperlink r:id="rId18" w:history="1">
        <w:r w:rsidRPr="00B207EE">
          <w:rPr>
            <w:rStyle w:val="Hipervnculo"/>
            <w:rFonts w:ascii="Roboto" w:eastAsia="Roboto" w:hAnsi="Roboto" w:cs="Roboto"/>
            <w:sz w:val="20"/>
            <w:szCs w:val="20"/>
            <w:lang w:val="en-US"/>
          </w:rPr>
          <w:t>https://doi.org/10.1016/j.jclepro.2024.142773</w:t>
        </w:r>
      </w:hyperlink>
      <w:r>
        <w:rPr>
          <w:rFonts w:ascii="Roboto" w:eastAsia="Roboto" w:hAnsi="Roboto" w:cs="Roboto"/>
          <w:sz w:val="20"/>
          <w:szCs w:val="20"/>
          <w:lang w:val="en-US"/>
        </w:rPr>
        <w:t xml:space="preserve"> </w:t>
      </w:r>
    </w:p>
    <w:p w14:paraId="10327DF0" w14:textId="77777777" w:rsidR="00E35691" w:rsidRPr="00D76CBA" w:rsidRDefault="00E35691" w:rsidP="00E35691">
      <w:pPr>
        <w:jc w:val="both"/>
        <w:rPr>
          <w:rFonts w:ascii="Roboto" w:eastAsia="Roboto" w:hAnsi="Roboto" w:cs="Roboto"/>
          <w:sz w:val="20"/>
          <w:szCs w:val="20"/>
          <w:lang w:val="it-IT"/>
        </w:rPr>
      </w:pPr>
      <w:r w:rsidRPr="00D76CBA">
        <w:rPr>
          <w:rFonts w:ascii="Roboto" w:eastAsia="Roboto" w:hAnsi="Roboto" w:cs="Roboto"/>
          <w:sz w:val="20"/>
          <w:szCs w:val="20"/>
          <w:lang w:val="it-IT"/>
        </w:rPr>
        <w:t>Crippa, M., Solazzo, E., Guizzardi, D., Monforti-Ferrario, F., Tubiello, F. N., &amp; Leip, A. (2021).</w:t>
      </w:r>
    </w:p>
    <w:p w14:paraId="7E285FD3" w14:textId="36ADBA52" w:rsidR="00E35691" w:rsidRDefault="00E35691" w:rsidP="00E35691">
      <w:pPr>
        <w:jc w:val="both"/>
        <w:rPr>
          <w:rFonts w:ascii="Roboto" w:eastAsia="Roboto" w:hAnsi="Roboto" w:cs="Roboto"/>
          <w:sz w:val="20"/>
          <w:szCs w:val="20"/>
          <w:lang w:val="en-US"/>
        </w:rPr>
      </w:pPr>
      <w:r w:rsidRPr="00E35691">
        <w:rPr>
          <w:rFonts w:ascii="Roboto" w:eastAsia="Roboto" w:hAnsi="Roboto" w:cs="Roboto"/>
          <w:sz w:val="20"/>
          <w:szCs w:val="20"/>
          <w:lang w:val="en-US"/>
        </w:rPr>
        <w:t>Food systems are responsible for a third of global anthropogenic GHG emissions. Nature Food, 2, 198–209.</w:t>
      </w:r>
      <w:r>
        <w:rPr>
          <w:rFonts w:ascii="Roboto" w:eastAsia="Roboto" w:hAnsi="Roboto" w:cs="Roboto"/>
          <w:sz w:val="20"/>
          <w:szCs w:val="20"/>
          <w:lang w:val="en-US"/>
        </w:rPr>
        <w:t xml:space="preserve"> </w:t>
      </w:r>
      <w:hyperlink r:id="rId19" w:history="1">
        <w:r w:rsidRPr="001410CD">
          <w:rPr>
            <w:rStyle w:val="Hipervnculo"/>
            <w:rFonts w:ascii="Roboto" w:eastAsia="Roboto" w:hAnsi="Roboto" w:cs="Roboto"/>
            <w:sz w:val="20"/>
            <w:szCs w:val="20"/>
            <w:lang w:val="en-US"/>
          </w:rPr>
          <w:t>https://doi.org/10.1038/s43016-021-00225-9</w:t>
        </w:r>
      </w:hyperlink>
      <w:r>
        <w:rPr>
          <w:rFonts w:ascii="Roboto" w:eastAsia="Roboto" w:hAnsi="Roboto" w:cs="Roboto"/>
          <w:sz w:val="20"/>
          <w:szCs w:val="20"/>
          <w:lang w:val="en-US"/>
        </w:rPr>
        <w:t xml:space="preserve"> </w:t>
      </w:r>
    </w:p>
    <w:p w14:paraId="65B1049A" w14:textId="77777777" w:rsidR="00455CF1" w:rsidRDefault="00455CF1" w:rsidP="009D0EC4">
      <w:pPr>
        <w:jc w:val="both"/>
        <w:rPr>
          <w:rFonts w:ascii="Roboto" w:eastAsia="Roboto" w:hAnsi="Roboto" w:cs="Roboto"/>
          <w:sz w:val="20"/>
          <w:szCs w:val="20"/>
          <w:lang w:val="en-US"/>
        </w:rPr>
      </w:pPr>
      <w:r w:rsidRPr="00455CF1">
        <w:rPr>
          <w:rFonts w:ascii="Roboto" w:eastAsia="Roboto" w:hAnsi="Roboto" w:cs="Roboto"/>
          <w:sz w:val="20"/>
          <w:szCs w:val="20"/>
          <w:lang w:val="en-US"/>
        </w:rPr>
        <w:t xml:space="preserve">Clark, M. A., Domingo, N. G. G., Colgan, K., Thakrar, S. K., Tilman, D., Lynch, J., Azevedo, I. L., &amp; Hill, J. D. (2020). Global food system emissions could preclude achieving the 1.5° and 2°C climate change targets. </w:t>
      </w:r>
      <w:r w:rsidRPr="00FE4BA4">
        <w:rPr>
          <w:rFonts w:ascii="Roboto" w:eastAsia="Roboto" w:hAnsi="Roboto" w:cs="Roboto"/>
          <w:i/>
          <w:iCs/>
          <w:sz w:val="20"/>
          <w:szCs w:val="20"/>
          <w:lang w:val="en-US"/>
        </w:rPr>
        <w:t>Science, 370</w:t>
      </w:r>
      <w:r w:rsidRPr="00FE4BA4">
        <w:rPr>
          <w:rFonts w:ascii="Roboto" w:eastAsia="Roboto" w:hAnsi="Roboto" w:cs="Roboto"/>
          <w:sz w:val="20"/>
          <w:szCs w:val="20"/>
          <w:lang w:val="en-US"/>
        </w:rPr>
        <w:t xml:space="preserve">(6517), 705–708. </w:t>
      </w:r>
      <w:hyperlink r:id="rId20" w:tgtFrame="_new" w:history="1">
        <w:r w:rsidRPr="00FE4BA4">
          <w:rPr>
            <w:rStyle w:val="Hipervnculo"/>
            <w:rFonts w:ascii="Roboto" w:eastAsia="Roboto" w:hAnsi="Roboto" w:cs="Roboto"/>
            <w:sz w:val="20"/>
            <w:szCs w:val="20"/>
            <w:lang w:val="en-US"/>
          </w:rPr>
          <w:t>https://doi.org/10.1126/science.aba7357</w:t>
        </w:r>
      </w:hyperlink>
    </w:p>
    <w:p w14:paraId="755FC170" w14:textId="100CC4D9" w:rsidR="00E35691" w:rsidRDefault="00E35691" w:rsidP="009D0EC4">
      <w:pPr>
        <w:jc w:val="both"/>
        <w:rPr>
          <w:rFonts w:ascii="Roboto" w:eastAsia="Roboto" w:hAnsi="Roboto" w:cs="Roboto"/>
          <w:sz w:val="20"/>
          <w:szCs w:val="20"/>
        </w:rPr>
      </w:pPr>
      <w:r w:rsidRPr="00E35691">
        <w:rPr>
          <w:rFonts w:ascii="Roboto" w:eastAsia="Roboto" w:hAnsi="Roboto" w:cs="Roboto"/>
          <w:sz w:val="20"/>
          <w:szCs w:val="20"/>
          <w:lang w:val="en-US"/>
        </w:rPr>
        <w:t xml:space="preserve">Kim, B. F., Santo, R. E., Scatterday, A. P., Fry, J. P., </w:t>
      </w:r>
      <w:proofErr w:type="spellStart"/>
      <w:r w:rsidRPr="00E35691">
        <w:rPr>
          <w:rFonts w:ascii="Roboto" w:eastAsia="Roboto" w:hAnsi="Roboto" w:cs="Roboto"/>
          <w:sz w:val="20"/>
          <w:szCs w:val="20"/>
          <w:lang w:val="en-US"/>
        </w:rPr>
        <w:t>Synk</w:t>
      </w:r>
      <w:proofErr w:type="spellEnd"/>
      <w:r w:rsidRPr="00E35691">
        <w:rPr>
          <w:rFonts w:ascii="Roboto" w:eastAsia="Roboto" w:hAnsi="Roboto" w:cs="Roboto"/>
          <w:sz w:val="20"/>
          <w:szCs w:val="20"/>
          <w:lang w:val="en-US"/>
        </w:rPr>
        <w:t xml:space="preserve">, C. M., Cebron, S. R., Mekonnen, M. M., Hoekstra, A. Y., de Pee, S., Bloem, M. W., Neff, R. A., &amp; Nachman, K. E. (2020). Country-specific dietary shifts to mitigate climate and water crises. </w:t>
      </w:r>
      <w:r w:rsidRPr="00E35691">
        <w:rPr>
          <w:rFonts w:ascii="Roboto" w:eastAsia="Roboto" w:hAnsi="Roboto" w:cs="Roboto"/>
          <w:sz w:val="20"/>
          <w:szCs w:val="20"/>
        </w:rPr>
        <w:t xml:space="preserve">Global </w:t>
      </w:r>
      <w:proofErr w:type="spellStart"/>
      <w:r w:rsidRPr="00E35691">
        <w:rPr>
          <w:rFonts w:ascii="Roboto" w:eastAsia="Roboto" w:hAnsi="Roboto" w:cs="Roboto"/>
          <w:sz w:val="20"/>
          <w:szCs w:val="20"/>
        </w:rPr>
        <w:t>Environmental</w:t>
      </w:r>
      <w:proofErr w:type="spellEnd"/>
      <w:r w:rsidRPr="00E35691">
        <w:rPr>
          <w:rFonts w:ascii="Roboto" w:eastAsia="Roboto" w:hAnsi="Roboto" w:cs="Roboto"/>
          <w:sz w:val="20"/>
          <w:szCs w:val="20"/>
        </w:rPr>
        <w:t xml:space="preserve"> Change, 62,101926.</w:t>
      </w:r>
      <w:r>
        <w:rPr>
          <w:rFonts w:ascii="Roboto" w:eastAsia="Roboto" w:hAnsi="Roboto" w:cs="Roboto"/>
          <w:sz w:val="20"/>
          <w:szCs w:val="20"/>
        </w:rPr>
        <w:t xml:space="preserve"> </w:t>
      </w:r>
      <w:hyperlink r:id="rId21" w:history="1">
        <w:r w:rsidRPr="001410CD">
          <w:rPr>
            <w:rStyle w:val="Hipervnculo"/>
            <w:rFonts w:ascii="Roboto" w:eastAsia="Roboto" w:hAnsi="Roboto" w:cs="Roboto"/>
            <w:sz w:val="20"/>
            <w:szCs w:val="20"/>
          </w:rPr>
          <w:t>https://doi.org/10.1016/j.gloenvcha.2019.05.010</w:t>
        </w:r>
      </w:hyperlink>
      <w:r w:rsidRPr="00E35691">
        <w:rPr>
          <w:rFonts w:ascii="Roboto" w:eastAsia="Roboto" w:hAnsi="Roboto" w:cs="Roboto"/>
          <w:sz w:val="20"/>
          <w:szCs w:val="20"/>
        </w:rPr>
        <w:t xml:space="preserve"> </w:t>
      </w:r>
    </w:p>
    <w:p w14:paraId="01B112AA" w14:textId="53119C96" w:rsidR="009D0EC4" w:rsidRPr="009D0EC4" w:rsidRDefault="009D0EC4" w:rsidP="009D0EC4">
      <w:pPr>
        <w:jc w:val="both"/>
        <w:rPr>
          <w:rFonts w:ascii="Roboto" w:eastAsia="Roboto" w:hAnsi="Roboto" w:cs="Roboto"/>
          <w:sz w:val="20"/>
          <w:szCs w:val="20"/>
          <w:lang w:val="en-US"/>
        </w:rPr>
      </w:pPr>
      <w:r w:rsidRPr="009D0EC4">
        <w:rPr>
          <w:rFonts w:ascii="Roboto" w:eastAsia="Roboto" w:hAnsi="Roboto" w:cs="Roboto"/>
          <w:sz w:val="20"/>
          <w:szCs w:val="20"/>
        </w:rPr>
        <w:t xml:space="preserve">Ruiz-Cerrillo, S. (2017). Modelo de cálculo de la huella de carbono para el Sistema Mexicano de Alimentos Equivalentes. </w:t>
      </w:r>
      <w:r w:rsidRPr="009D0EC4">
        <w:rPr>
          <w:rFonts w:ascii="Roboto" w:eastAsia="Roboto" w:hAnsi="Roboto" w:cs="Roboto"/>
          <w:i/>
          <w:iCs/>
          <w:sz w:val="20"/>
          <w:szCs w:val="20"/>
          <w:lang w:val="en-US"/>
        </w:rPr>
        <w:t>Journal of Negative &amp; No Positive Results, 2</w:t>
      </w:r>
      <w:r w:rsidRPr="009D0EC4">
        <w:rPr>
          <w:rFonts w:ascii="Roboto" w:eastAsia="Roboto" w:hAnsi="Roboto" w:cs="Roboto"/>
          <w:sz w:val="20"/>
          <w:szCs w:val="20"/>
          <w:lang w:val="en-US"/>
        </w:rPr>
        <w:t xml:space="preserve">(6), 226–232. </w:t>
      </w:r>
      <w:hyperlink r:id="rId22" w:tgtFrame="_new" w:history="1">
        <w:r w:rsidRPr="009D0EC4">
          <w:rPr>
            <w:rStyle w:val="Hipervnculo"/>
            <w:rFonts w:ascii="Roboto" w:eastAsia="Roboto" w:hAnsi="Roboto" w:cs="Roboto"/>
            <w:sz w:val="20"/>
            <w:szCs w:val="20"/>
            <w:lang w:val="en-US"/>
          </w:rPr>
          <w:t>https://doi.org/10.19230/jonnpr.1240</w:t>
        </w:r>
      </w:hyperlink>
    </w:p>
    <w:p w14:paraId="5C833FDC" w14:textId="52CF9C6E" w:rsidR="00221B4A" w:rsidRPr="009D0EC4" w:rsidRDefault="00221B4A" w:rsidP="009D0EC4">
      <w:pPr>
        <w:jc w:val="both"/>
        <w:rPr>
          <w:rFonts w:ascii="Roboto" w:eastAsia="Roboto" w:hAnsi="Roboto" w:cs="Roboto"/>
          <w:sz w:val="20"/>
          <w:szCs w:val="20"/>
          <w:lang w:val="en-US"/>
        </w:rPr>
      </w:pPr>
    </w:p>
    <w:sectPr w:rsidR="00221B4A" w:rsidRPr="009D0EC4">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357691" w14:textId="77777777" w:rsidR="00B56676" w:rsidRDefault="00B56676">
      <w:r>
        <w:separator/>
      </w:r>
    </w:p>
  </w:endnote>
  <w:endnote w:type="continuationSeparator" w:id="0">
    <w:p w14:paraId="7427D5FD" w14:textId="77777777" w:rsidR="00B56676" w:rsidRDefault="00B566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475A3AC1-479A-4748-A808-7F12452C556D}"/>
  </w:font>
  <w:font w:name="Georgia">
    <w:panose1 w:val="02040502050405020303"/>
    <w:charset w:val="00"/>
    <w:family w:val="roman"/>
    <w:pitch w:val="variable"/>
    <w:sig w:usb0="00000287" w:usb1="00000000" w:usb2="00000000" w:usb3="00000000" w:csb0="0000009F" w:csb1="00000000"/>
    <w:embedRegular r:id="rId2" w:fontKey="{12C01E45-A7EB-408D-9E85-28DA81C7D8FB}"/>
    <w:embedItalic r:id="rId3" w:fontKey="{9684872C-8579-4F6C-B534-3A7BBCD85A70}"/>
  </w:font>
  <w:font w:name="Roboto">
    <w:charset w:val="00"/>
    <w:family w:val="auto"/>
    <w:pitch w:val="variable"/>
    <w:sig w:usb0="E0000AFF" w:usb1="5000217F" w:usb2="00000021" w:usb3="00000000" w:csb0="0000019F" w:csb1="00000000"/>
    <w:embedRegular r:id="rId4" w:fontKey="{6F1B40D8-B807-45E3-B22F-032CCFBE3B57}"/>
    <w:embedBold r:id="rId5" w:fontKey="{ADBBFB59-6C2B-472F-A328-4E200A4C915D}"/>
    <w:embedItalic r:id="rId6" w:fontKey="{B349D0C5-EDDD-4AEA-A910-72D8BDCBA51C}"/>
  </w:font>
  <w:font w:name="Calibri Light">
    <w:panose1 w:val="020F0302020204030204"/>
    <w:charset w:val="00"/>
    <w:family w:val="swiss"/>
    <w:pitch w:val="variable"/>
    <w:sig w:usb0="E4002EFF" w:usb1="C000247B" w:usb2="00000009" w:usb3="00000000" w:csb0="000001FF" w:csb1="00000000"/>
    <w:embedRegular r:id="rId7" w:fontKey="{7211CC81-F5D2-47E0-B11D-0E90E7364F26}"/>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652528" w14:textId="77777777" w:rsidR="00B56676" w:rsidRDefault="00B56676">
      <w:r>
        <w:separator/>
      </w:r>
    </w:p>
  </w:footnote>
  <w:footnote w:type="continuationSeparator" w:id="0">
    <w:p w14:paraId="37E24234" w14:textId="77777777" w:rsidR="00B56676" w:rsidRDefault="00B566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84B118" w14:textId="77777777" w:rsidR="00221B4A" w:rsidRDefault="00221B4A">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221B4A" w14:paraId="31DB5A08" w14:textId="77777777">
      <w:trPr>
        <w:trHeight w:val="345"/>
        <w:jc w:val="center"/>
      </w:trPr>
      <w:tc>
        <w:tcPr>
          <w:tcW w:w="6306" w:type="dxa"/>
          <w:vAlign w:val="center"/>
        </w:tcPr>
        <w:p w14:paraId="268AB1FF" w14:textId="77777777" w:rsidR="00221B4A" w:rsidRDefault="00221B4A">
          <w:pPr>
            <w:jc w:val="center"/>
            <w:rPr>
              <w:i/>
              <w:sz w:val="18"/>
              <w:szCs w:val="18"/>
            </w:rPr>
          </w:pPr>
        </w:p>
      </w:tc>
    </w:tr>
  </w:tbl>
  <w:p w14:paraId="4719A8F1" w14:textId="77777777" w:rsidR="00221B4A" w:rsidRDefault="00221B4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1B4A"/>
    <w:rsid w:val="000114C8"/>
    <w:rsid w:val="00051EAE"/>
    <w:rsid w:val="00221B4A"/>
    <w:rsid w:val="00255402"/>
    <w:rsid w:val="00370EA7"/>
    <w:rsid w:val="00455CF1"/>
    <w:rsid w:val="0047010A"/>
    <w:rsid w:val="004A2C67"/>
    <w:rsid w:val="00594DA4"/>
    <w:rsid w:val="005E6A94"/>
    <w:rsid w:val="006C12CE"/>
    <w:rsid w:val="00734C75"/>
    <w:rsid w:val="00742692"/>
    <w:rsid w:val="008925D2"/>
    <w:rsid w:val="008D6794"/>
    <w:rsid w:val="0091703D"/>
    <w:rsid w:val="009B5A86"/>
    <w:rsid w:val="009C4C51"/>
    <w:rsid w:val="009D0EC4"/>
    <w:rsid w:val="009F4392"/>
    <w:rsid w:val="00A21521"/>
    <w:rsid w:val="00A57DA7"/>
    <w:rsid w:val="00A73884"/>
    <w:rsid w:val="00AC0609"/>
    <w:rsid w:val="00B2204C"/>
    <w:rsid w:val="00B56676"/>
    <w:rsid w:val="00D267E7"/>
    <w:rsid w:val="00D76CBA"/>
    <w:rsid w:val="00E35691"/>
    <w:rsid w:val="00E408BF"/>
    <w:rsid w:val="00F30596"/>
    <w:rsid w:val="00FB33FF"/>
    <w:rsid w:val="00FE4BA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A31142"/>
  <w15:docId w15:val="{17D77D1B-4797-7E44-8D31-639D9163C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character" w:styleId="Hipervnculovisitado">
    <w:name w:val="FollowedHyperlink"/>
    <w:basedOn w:val="Fuentedeprrafopredeter"/>
    <w:uiPriority w:val="99"/>
    <w:semiHidden/>
    <w:unhideWhenUsed/>
    <w:rsid w:val="00FE4BA4"/>
    <w:rPr>
      <w:color w:val="954F72" w:themeColor="followedHyperlink"/>
      <w:u w:val="single"/>
    </w:rPr>
  </w:style>
  <w:style w:type="character" w:styleId="Refdecomentario">
    <w:name w:val="annotation reference"/>
    <w:basedOn w:val="Fuentedeprrafopredeter"/>
    <w:uiPriority w:val="99"/>
    <w:semiHidden/>
    <w:unhideWhenUsed/>
    <w:rsid w:val="009F4392"/>
    <w:rPr>
      <w:sz w:val="16"/>
      <w:szCs w:val="16"/>
    </w:rPr>
  </w:style>
  <w:style w:type="paragraph" w:styleId="Asuntodelcomentario">
    <w:name w:val="annotation subject"/>
    <w:basedOn w:val="Textocomentario"/>
    <w:next w:val="Textocomentario"/>
    <w:link w:val="AsuntodelcomentarioCar"/>
    <w:uiPriority w:val="99"/>
    <w:semiHidden/>
    <w:unhideWhenUsed/>
    <w:rsid w:val="009F4392"/>
    <w:rPr>
      <w:b/>
      <w:bCs/>
    </w:rPr>
  </w:style>
  <w:style w:type="character" w:customStyle="1" w:styleId="AsuntodelcomentarioCar">
    <w:name w:val="Asunto del comentario Car"/>
    <w:basedOn w:val="TextocomentarioCar"/>
    <w:link w:val="Asuntodelcomentario"/>
    <w:uiPriority w:val="99"/>
    <w:semiHidden/>
    <w:rsid w:val="009F4392"/>
    <w:rPr>
      <w:rFonts w:ascii="Times New Roman" w:eastAsia="Times New Roman" w:hAnsi="Times New Roman" w:cs="Times New Roman"/>
      <w:b/>
      <w:bCs/>
      <w:sz w:val="20"/>
      <w:szCs w:val="20"/>
      <w:lang w:val="tr-TR"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6909-0057" TargetMode="External"/><Relationship Id="rId13" Type="http://schemas.openxmlformats.org/officeDocument/2006/relationships/hyperlink" Target="mailto:aurora.porrua@anahuac.mx" TargetMode="External"/><Relationship Id="rId18" Type="http://schemas.openxmlformats.org/officeDocument/2006/relationships/hyperlink" Target="https://doi.org/10.1016/j.jclepro.2024.142773" TargetMode="External"/><Relationship Id="rId3" Type="http://schemas.openxmlformats.org/officeDocument/2006/relationships/styles" Target="styles.xml"/><Relationship Id="rId21" Type="http://schemas.openxmlformats.org/officeDocument/2006/relationships/hyperlink" Target="https://doi.org/10.1016/j.gloenvcha.2019.05.010" TargetMode="External"/><Relationship Id="rId7" Type="http://schemas.openxmlformats.org/officeDocument/2006/relationships/endnotes" Target="endnotes.xml"/><Relationship Id="rId12" Type="http://schemas.openxmlformats.org/officeDocument/2006/relationships/hyperlink" Target="mailto:andres.mendezp@anahuac.mx" TargetMode="External"/><Relationship Id="rId17" Type="http://schemas.openxmlformats.org/officeDocument/2006/relationships/hyperlink" Target="https://doi.org/10.3390/ijerph21070945" TargetMode="Externa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yperlink" Target="https://doi.org/10.1126/science.aba735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orge.ruizr@anahuac.mx"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fontTable" Target="fontTable.xml"/><Relationship Id="rId10" Type="http://schemas.openxmlformats.org/officeDocument/2006/relationships/hyperlink" Target="https://orcid.org/0009-0008-3556-2376" TargetMode="External"/><Relationship Id="rId19" Type="http://schemas.openxmlformats.org/officeDocument/2006/relationships/hyperlink" Target="https://doi.org/10.1038/s43016-021-00225-9" TargetMode="External"/><Relationship Id="rId4" Type="http://schemas.openxmlformats.org/officeDocument/2006/relationships/settings" Target="settings.xml"/><Relationship Id="rId9" Type="http://schemas.openxmlformats.org/officeDocument/2006/relationships/hyperlink" Target="https://orcid.org/0000-0001-8770-8180" TargetMode="External"/><Relationship Id="rId14" Type="http://schemas.openxmlformats.org/officeDocument/2006/relationships/header" Target="header1.xml"/><Relationship Id="rId22" Type="http://schemas.openxmlformats.org/officeDocument/2006/relationships/hyperlink" Target="https://doi.org/10.19230/jonnpr.1240"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7E455D1-4C48-4B92-8E5E-E1FCD5190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1252</Words>
  <Characters>8097</Characters>
  <Application>Microsoft Office Word</Application>
  <DocSecurity>0</DocSecurity>
  <Lines>202</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Jorge Ruiz Ruiz</cp:lastModifiedBy>
  <cp:revision>2</cp:revision>
  <dcterms:created xsi:type="dcterms:W3CDTF">2026-03-01T20:50:00Z</dcterms:created>
  <dcterms:modified xsi:type="dcterms:W3CDTF">2026-03-01T20:50:00Z</dcterms:modified>
</cp:coreProperties>
</file>