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A2181D" w14:textId="09DFA980" w:rsidR="008C3ABE" w:rsidRDefault="00CA6BA6">
      <w:pPr>
        <w:pBdr>
          <w:top w:val="nil"/>
          <w:left w:val="nil"/>
          <w:bottom w:val="nil"/>
          <w:right w:val="nil"/>
          <w:between w:val="nil"/>
        </w:pBdr>
        <w:spacing w:before="120" w:after="120"/>
        <w:jc w:val="center"/>
        <w:rPr>
          <w:rFonts w:ascii="Roboto" w:eastAsia="Roboto" w:hAnsi="Roboto" w:cs="Roboto"/>
          <w:b/>
          <w:bCs/>
          <w:color w:val="000000"/>
        </w:rPr>
      </w:pPr>
      <w:r w:rsidRPr="001C11F5">
        <w:rPr>
          <w:rFonts w:ascii="Roboto" w:eastAsia="Roboto" w:hAnsi="Roboto" w:cs="Roboto"/>
          <w:b/>
          <w:bCs/>
          <w:color w:val="000000"/>
        </w:rPr>
        <w:t xml:space="preserve">Comensalidad y sentido de comunidad en la vida </w:t>
      </w:r>
      <w:r w:rsidR="00AA5529">
        <w:rPr>
          <w:rFonts w:ascii="Roboto" w:eastAsia="Roboto" w:hAnsi="Roboto" w:cs="Roboto"/>
          <w:b/>
          <w:bCs/>
          <w:color w:val="000000"/>
        </w:rPr>
        <w:t>de la Universidad Anáhuac Mayab</w:t>
      </w:r>
      <w:r w:rsidRPr="001C11F5">
        <w:rPr>
          <w:rFonts w:ascii="Roboto" w:eastAsia="Roboto" w:hAnsi="Roboto" w:cs="Roboto"/>
          <w:b/>
          <w:bCs/>
          <w:color w:val="000000"/>
        </w:rPr>
        <w:t xml:space="preserve">: una aproximación etnográfica </w:t>
      </w:r>
      <w:r w:rsidR="00DF555C">
        <w:rPr>
          <w:rFonts w:ascii="Roboto" w:eastAsia="Roboto" w:hAnsi="Roboto" w:cs="Roboto"/>
          <w:b/>
          <w:bCs/>
          <w:color w:val="000000"/>
        </w:rPr>
        <w:t>e</w:t>
      </w:r>
      <w:r w:rsidR="00DF555C" w:rsidRPr="00DF555C">
        <w:rPr>
          <w:rFonts w:ascii="Roboto" w:eastAsia="Roboto" w:hAnsi="Roboto" w:cs="Roboto"/>
          <w:b/>
          <w:bCs/>
          <w:color w:val="000000"/>
        </w:rPr>
        <w:t>n entornos universitarios multiculturales</w:t>
      </w:r>
      <w:r w:rsidR="00DF555C">
        <w:rPr>
          <w:rFonts w:ascii="Roboto" w:eastAsia="Roboto" w:hAnsi="Roboto" w:cs="Roboto"/>
          <w:b/>
          <w:bCs/>
          <w:color w:val="000000"/>
        </w:rPr>
        <w:t>.</w:t>
      </w:r>
    </w:p>
    <w:p w14:paraId="35D679D6" w14:textId="506D0843" w:rsidR="00B03125" w:rsidRDefault="00B03125" w:rsidP="00B03125">
      <w:pPr>
        <w:pBdr>
          <w:top w:val="nil"/>
          <w:left w:val="nil"/>
          <w:bottom w:val="nil"/>
          <w:right w:val="nil"/>
          <w:between w:val="nil"/>
        </w:pBdr>
        <w:spacing w:before="120" w:after="120"/>
        <w:jc w:val="center"/>
        <w:rPr>
          <w:rFonts w:ascii="Roboto" w:eastAsia="Roboto" w:hAnsi="Roboto" w:cs="Roboto"/>
          <w:b/>
          <w:color w:val="000000"/>
          <w:sz w:val="20"/>
          <w:szCs w:val="20"/>
        </w:rPr>
      </w:pPr>
      <w:r>
        <w:rPr>
          <w:rFonts w:ascii="Roboto" w:eastAsia="Roboto" w:hAnsi="Roboto" w:cs="Roboto"/>
          <w:b/>
          <w:color w:val="000000"/>
          <w:sz w:val="20"/>
          <w:szCs w:val="20"/>
        </w:rPr>
        <w:t>Méndez-Palacios-Macedo A.</w:t>
      </w:r>
      <w:r>
        <w:rPr>
          <w:rFonts w:ascii="Roboto" w:eastAsia="Roboto" w:hAnsi="Roboto" w:cs="Roboto"/>
          <w:b/>
          <w:color w:val="000000"/>
          <w:sz w:val="20"/>
          <w:szCs w:val="20"/>
          <w:vertAlign w:val="superscript"/>
        </w:rPr>
        <w:t xml:space="preserve">1*, </w:t>
      </w:r>
      <w:r>
        <w:rPr>
          <w:rFonts w:ascii="Roboto" w:eastAsia="Roboto" w:hAnsi="Roboto" w:cs="Roboto"/>
          <w:b/>
          <w:color w:val="000000"/>
          <w:sz w:val="20"/>
          <w:szCs w:val="20"/>
        </w:rPr>
        <w:t>Ruiz-Ruiz J.C..</w:t>
      </w:r>
      <w:r>
        <w:rPr>
          <w:rFonts w:ascii="Roboto" w:eastAsia="Roboto" w:hAnsi="Roboto" w:cs="Roboto"/>
          <w:b/>
          <w:color w:val="000000"/>
          <w:sz w:val="20"/>
          <w:szCs w:val="20"/>
          <w:vertAlign w:val="superscript"/>
        </w:rPr>
        <w:t>2</w:t>
      </w:r>
      <w:r>
        <w:rPr>
          <w:rFonts w:ascii="Roboto" w:eastAsia="Roboto" w:hAnsi="Roboto" w:cs="Roboto"/>
          <w:b/>
          <w:color w:val="000000"/>
          <w:sz w:val="20"/>
          <w:szCs w:val="20"/>
        </w:rPr>
        <w:t>, y Porrúa-Ardura M.A.</w:t>
      </w:r>
      <w:r>
        <w:rPr>
          <w:rFonts w:ascii="Roboto" w:eastAsia="Roboto" w:hAnsi="Roboto" w:cs="Roboto"/>
          <w:b/>
          <w:color w:val="000000"/>
          <w:sz w:val="20"/>
          <w:szCs w:val="20"/>
          <w:vertAlign w:val="superscript"/>
        </w:rPr>
        <w:t>3</w:t>
      </w:r>
    </w:p>
    <w:p w14:paraId="5884CF89" w14:textId="743E7E24" w:rsidR="00B03125" w:rsidRDefault="00B03125" w:rsidP="00B03125">
      <w:pPr>
        <w:pBdr>
          <w:top w:val="nil"/>
          <w:left w:val="nil"/>
          <w:bottom w:val="nil"/>
          <w:right w:val="nil"/>
          <w:between w:val="nil"/>
        </w:pBdr>
        <w:jc w:val="center"/>
        <w:rPr>
          <w:rFonts w:ascii="Roboto" w:eastAsia="Roboto" w:hAnsi="Roboto" w:cs="Roboto"/>
          <w:color w:val="000000"/>
          <w:sz w:val="18"/>
          <w:szCs w:val="18"/>
          <w:vertAlign w:val="superscript"/>
        </w:rPr>
      </w:pPr>
      <w:r>
        <w:rPr>
          <w:rFonts w:ascii="Roboto" w:eastAsia="Roboto" w:hAnsi="Roboto" w:cs="Roboto"/>
          <w:sz w:val="18"/>
          <w:szCs w:val="18"/>
          <w:vertAlign w:val="superscript"/>
        </w:rPr>
        <w:t>1</w:t>
      </w:r>
      <w:r>
        <w:rPr>
          <w:rFonts w:ascii="Roboto" w:eastAsia="Roboto" w:hAnsi="Roboto" w:cs="Roboto"/>
          <w:color w:val="000000"/>
          <w:sz w:val="18"/>
          <w:szCs w:val="18"/>
        </w:rPr>
        <w:t>Universidad Anáhuac-Mayab</w:t>
      </w:r>
      <w:r>
        <w:rPr>
          <w:rFonts w:ascii="Roboto" w:eastAsia="Roboto" w:hAnsi="Roboto" w:cs="Roboto"/>
          <w:sz w:val="18"/>
          <w:szCs w:val="18"/>
        </w:rPr>
        <w:t xml:space="preserve">, </w:t>
      </w:r>
      <w:hyperlink r:id="rId7" w:history="1">
        <w:r w:rsidRPr="001410CD">
          <w:rPr>
            <w:rStyle w:val="Hipervnculo"/>
            <w:rFonts w:ascii="Roboto" w:eastAsia="Roboto" w:hAnsi="Roboto" w:cs="Roboto"/>
            <w:sz w:val="18"/>
            <w:szCs w:val="18"/>
          </w:rPr>
          <w:t>https://orcid.org/0000-0001-8770-8180</w:t>
        </w:r>
      </w:hyperlink>
    </w:p>
    <w:p w14:paraId="000CC889" w14:textId="7F6395AD" w:rsidR="00B03125" w:rsidRDefault="00B03125" w:rsidP="00B03125">
      <w:pPr>
        <w:pBdr>
          <w:top w:val="nil"/>
          <w:left w:val="nil"/>
          <w:bottom w:val="nil"/>
          <w:right w:val="nil"/>
          <w:between w:val="nil"/>
        </w:pBdr>
        <w:jc w:val="center"/>
        <w:rPr>
          <w:rFonts w:ascii="Roboto" w:eastAsia="Roboto" w:hAnsi="Roboto" w:cs="Roboto"/>
          <w:color w:val="000000"/>
          <w:sz w:val="18"/>
          <w:szCs w:val="18"/>
        </w:rPr>
      </w:pPr>
      <w:r>
        <w:rPr>
          <w:rFonts w:ascii="Roboto" w:eastAsia="Roboto" w:hAnsi="Roboto" w:cs="Roboto"/>
          <w:color w:val="000000"/>
          <w:sz w:val="18"/>
          <w:szCs w:val="18"/>
          <w:vertAlign w:val="superscript"/>
        </w:rPr>
        <w:t>2</w:t>
      </w:r>
      <w:r>
        <w:rPr>
          <w:rFonts w:ascii="Roboto" w:eastAsia="Roboto" w:hAnsi="Roboto" w:cs="Roboto"/>
          <w:color w:val="000000"/>
          <w:sz w:val="18"/>
          <w:szCs w:val="18"/>
        </w:rPr>
        <w:t xml:space="preserve">Universidad Anáhuac-Mayab, </w:t>
      </w:r>
      <w:hyperlink r:id="rId8" w:history="1">
        <w:r w:rsidRPr="001410CD">
          <w:rPr>
            <w:rStyle w:val="Hipervnculo"/>
            <w:rFonts w:ascii="Roboto" w:eastAsia="Roboto" w:hAnsi="Roboto" w:cs="Roboto"/>
            <w:sz w:val="18"/>
            <w:szCs w:val="18"/>
          </w:rPr>
          <w:t>https://orcid.org/0000-0001-6909-0057</w:t>
        </w:r>
      </w:hyperlink>
      <w:r>
        <w:rPr>
          <w:rFonts w:ascii="Roboto" w:eastAsia="Roboto" w:hAnsi="Roboto" w:cs="Roboto"/>
          <w:color w:val="000000"/>
          <w:sz w:val="18"/>
          <w:szCs w:val="18"/>
        </w:rPr>
        <w:t xml:space="preserve"> </w:t>
      </w:r>
      <w:r w:rsidRPr="009C4C51">
        <w:rPr>
          <w:rFonts w:ascii="Roboto" w:eastAsia="Roboto" w:hAnsi="Roboto" w:cs="Roboto"/>
          <w:color w:val="000000"/>
          <w:sz w:val="18"/>
          <w:szCs w:val="18"/>
        </w:rPr>
        <w:t xml:space="preserve"> </w:t>
      </w:r>
    </w:p>
    <w:p w14:paraId="139F1BF7" w14:textId="77777777" w:rsidR="00B03125" w:rsidRDefault="00B03125" w:rsidP="00B03125">
      <w:pPr>
        <w:jc w:val="center"/>
        <w:rPr>
          <w:rFonts w:ascii="Roboto" w:eastAsia="Roboto" w:hAnsi="Roboto" w:cs="Roboto"/>
          <w:sz w:val="18"/>
          <w:szCs w:val="18"/>
        </w:rPr>
      </w:pPr>
      <w:r>
        <w:rPr>
          <w:rFonts w:ascii="Roboto" w:eastAsia="Roboto" w:hAnsi="Roboto" w:cs="Roboto"/>
          <w:sz w:val="18"/>
          <w:szCs w:val="18"/>
          <w:vertAlign w:val="superscript"/>
        </w:rPr>
        <w:t>3</w:t>
      </w:r>
      <w:r>
        <w:rPr>
          <w:rFonts w:ascii="Roboto" w:eastAsia="Roboto" w:hAnsi="Roboto" w:cs="Roboto"/>
          <w:color w:val="000000"/>
          <w:sz w:val="18"/>
          <w:szCs w:val="18"/>
        </w:rPr>
        <w:t>Universidad Anáhuac-Mayab</w:t>
      </w:r>
      <w:r>
        <w:rPr>
          <w:rFonts w:ascii="Roboto" w:eastAsia="Roboto" w:hAnsi="Roboto" w:cs="Roboto"/>
          <w:sz w:val="18"/>
          <w:szCs w:val="18"/>
        </w:rPr>
        <w:t xml:space="preserve">, </w:t>
      </w:r>
      <w:hyperlink r:id="rId9" w:history="1">
        <w:r w:rsidRPr="001410CD">
          <w:rPr>
            <w:rStyle w:val="Hipervnculo"/>
            <w:rFonts w:ascii="Roboto" w:eastAsia="Roboto" w:hAnsi="Roboto" w:cs="Roboto"/>
            <w:sz w:val="18"/>
            <w:szCs w:val="18"/>
          </w:rPr>
          <w:t>https://orcid.org/0009-0008-3556-2376</w:t>
        </w:r>
      </w:hyperlink>
      <w:r>
        <w:rPr>
          <w:rFonts w:ascii="Roboto" w:eastAsia="Roboto" w:hAnsi="Roboto" w:cs="Roboto"/>
          <w:sz w:val="18"/>
          <w:szCs w:val="18"/>
        </w:rPr>
        <w:t xml:space="preserve"> </w:t>
      </w:r>
    </w:p>
    <w:p w14:paraId="5A008314" w14:textId="77777777" w:rsidR="00B03125" w:rsidRDefault="00B03125" w:rsidP="00B03125">
      <w:pPr>
        <w:jc w:val="center"/>
        <w:rPr>
          <w:rFonts w:ascii="Roboto" w:eastAsia="Roboto" w:hAnsi="Roboto" w:cs="Roboto"/>
          <w:sz w:val="18"/>
          <w:szCs w:val="18"/>
        </w:rPr>
      </w:pPr>
      <w:r>
        <w:rPr>
          <w:rFonts w:ascii="Roboto" w:eastAsia="Roboto" w:hAnsi="Roboto" w:cs="Roboto"/>
          <w:sz w:val="18"/>
          <w:szCs w:val="18"/>
        </w:rPr>
        <w:t>*Autor de correspondencia (e-mail:</w:t>
      </w:r>
      <w:r>
        <w:rPr>
          <w:rFonts w:ascii="Roboto" w:eastAsia="Roboto" w:hAnsi="Roboto" w:cs="Roboto"/>
          <w:sz w:val="18"/>
          <w:szCs w:val="18"/>
          <w:highlight w:val="white"/>
        </w:rPr>
        <w:t xml:space="preserve"> </w:t>
      </w:r>
      <w:r>
        <w:rPr>
          <w:rFonts w:ascii="Roboto" w:eastAsia="Roboto" w:hAnsi="Roboto" w:cs="Roboto"/>
          <w:sz w:val="18"/>
          <w:szCs w:val="18"/>
        </w:rPr>
        <w:t>andres.mendezp@anahuac.mx)</w:t>
      </w:r>
    </w:p>
    <w:p w14:paraId="72402427" w14:textId="77777777" w:rsidR="008C3ABE" w:rsidRDefault="008E1269">
      <w:pPr>
        <w:spacing w:before="60"/>
        <w:jc w:val="center"/>
        <w:rPr>
          <w:rFonts w:ascii="Roboto" w:eastAsia="Roboto" w:hAnsi="Roboto" w:cs="Roboto"/>
          <w:sz w:val="18"/>
          <w:szCs w:val="18"/>
        </w:rPr>
        <w:sectPr w:rsidR="008C3ABE">
          <w:headerReference w:type="default" r:id="rId10"/>
          <w:pgSz w:w="11906" w:h="16838"/>
          <w:pgMar w:top="851" w:right="851" w:bottom="828" w:left="851" w:header="357" w:footer="720" w:gutter="0"/>
          <w:pgNumType w:start="1"/>
          <w:cols w:space="720"/>
        </w:sectPr>
      </w:pPr>
      <w:r>
        <w:rPr>
          <w:noProof/>
        </w:rPr>
        <w:pict w14:anchorId="210DDC7A">
          <v:rect id="_x0000_i1025" alt="" style="width:441.9pt;height:.05pt;mso-width-percent:0;mso-height-percent:0;mso-width-percent:0;mso-height-percent:0" o:hralign="center" o:hrstd="t" o:hr="t" fillcolor="#a0a0a0" stroked="f"/>
        </w:pict>
      </w:r>
    </w:p>
    <w:p w14:paraId="21B7D06D" w14:textId="3976F171" w:rsidR="008C3ABE" w:rsidRDefault="00704074">
      <w:pPr>
        <w:pBdr>
          <w:top w:val="nil"/>
          <w:left w:val="nil"/>
          <w:bottom w:val="nil"/>
          <w:right w:val="nil"/>
          <w:between w:val="nil"/>
        </w:pBdr>
        <w:spacing w:before="60"/>
        <w:jc w:val="both"/>
        <w:rPr>
          <w:rFonts w:ascii="Roboto" w:eastAsia="Roboto" w:hAnsi="Roboto" w:cs="Roboto"/>
          <w:b/>
          <w:bCs/>
          <w:color w:val="000000"/>
          <w:sz w:val="20"/>
          <w:szCs w:val="20"/>
        </w:rPr>
      </w:pPr>
      <w:r>
        <w:rPr>
          <w:rFonts w:ascii="Roboto" w:eastAsia="Roboto" w:hAnsi="Roboto" w:cs="Roboto"/>
          <w:b/>
          <w:bCs/>
          <w:color w:val="000000"/>
          <w:sz w:val="20"/>
          <w:szCs w:val="20"/>
        </w:rPr>
        <w:t>INTRODUCCIÓN</w:t>
      </w:r>
    </w:p>
    <w:p w14:paraId="0CFFE4D7" w14:textId="42EAEC82" w:rsidR="00CA6BA6" w:rsidRPr="00CA6BA6" w:rsidRDefault="00CA6BA6" w:rsidP="00CA6BA6">
      <w:pPr>
        <w:pBdr>
          <w:top w:val="nil"/>
          <w:left w:val="nil"/>
          <w:bottom w:val="nil"/>
          <w:right w:val="nil"/>
          <w:between w:val="nil"/>
        </w:pBdr>
        <w:jc w:val="both"/>
        <w:rPr>
          <w:rFonts w:ascii="Roboto" w:eastAsia="Roboto" w:hAnsi="Roboto" w:cs="Roboto"/>
          <w:color w:val="000000"/>
          <w:sz w:val="20"/>
          <w:szCs w:val="20"/>
        </w:rPr>
      </w:pPr>
      <w:r w:rsidRPr="00CA6BA6">
        <w:rPr>
          <w:rFonts w:ascii="Roboto" w:eastAsia="Roboto" w:hAnsi="Roboto" w:cs="Roboto"/>
          <w:color w:val="000000"/>
          <w:sz w:val="20"/>
          <w:szCs w:val="20"/>
        </w:rPr>
        <w:t xml:space="preserve">La alimentación constituye una práctica cultural </w:t>
      </w:r>
      <w:r w:rsidR="00AA5529">
        <w:rPr>
          <w:rFonts w:ascii="Roboto" w:eastAsia="Roboto" w:hAnsi="Roboto" w:cs="Roboto"/>
          <w:color w:val="000000"/>
          <w:sz w:val="20"/>
          <w:szCs w:val="20"/>
        </w:rPr>
        <w:t xml:space="preserve">donde se imbrican </w:t>
      </w:r>
      <w:r w:rsidRPr="00CA6BA6">
        <w:rPr>
          <w:rFonts w:ascii="Roboto" w:eastAsia="Roboto" w:hAnsi="Roboto" w:cs="Roboto"/>
          <w:color w:val="000000"/>
          <w:sz w:val="20"/>
          <w:szCs w:val="20"/>
        </w:rPr>
        <w:t>identidad, pertenencia y relaciones sociales.</w:t>
      </w:r>
      <w:r w:rsidR="00255B52">
        <w:rPr>
          <w:rFonts w:ascii="Roboto" w:eastAsia="Roboto" w:hAnsi="Roboto" w:cs="Roboto"/>
          <w:color w:val="000000"/>
          <w:sz w:val="20"/>
          <w:szCs w:val="20"/>
        </w:rPr>
        <w:t xml:space="preserve"> E</w:t>
      </w:r>
      <w:r w:rsidRPr="00CA6BA6">
        <w:rPr>
          <w:rFonts w:ascii="Roboto" w:eastAsia="Roboto" w:hAnsi="Roboto" w:cs="Roboto"/>
          <w:color w:val="000000"/>
          <w:sz w:val="20"/>
          <w:szCs w:val="20"/>
        </w:rPr>
        <w:t>l acto de comer opera como un mediador entre lo material</w:t>
      </w:r>
      <w:r w:rsidR="00255B52">
        <w:rPr>
          <w:rFonts w:ascii="Roboto" w:eastAsia="Roboto" w:hAnsi="Roboto" w:cs="Roboto"/>
          <w:color w:val="000000"/>
          <w:sz w:val="20"/>
          <w:szCs w:val="20"/>
        </w:rPr>
        <w:t>-biológico</w:t>
      </w:r>
      <w:r w:rsidRPr="00CA6BA6">
        <w:rPr>
          <w:rFonts w:ascii="Roboto" w:eastAsia="Roboto" w:hAnsi="Roboto" w:cs="Roboto"/>
          <w:color w:val="000000"/>
          <w:sz w:val="20"/>
          <w:szCs w:val="20"/>
        </w:rPr>
        <w:t xml:space="preserve"> y lo simbólico, integrando normas, valores y memorias colectivas que se aprenden y reproducen socialmente (Mintz, 2001). En este sentido, la comensalidad</w:t>
      </w:r>
      <w:r w:rsidR="00AA5529">
        <w:rPr>
          <w:rFonts w:ascii="Roboto" w:eastAsia="Roboto" w:hAnsi="Roboto" w:cs="Roboto"/>
          <w:color w:val="000000"/>
          <w:sz w:val="20"/>
          <w:szCs w:val="20"/>
        </w:rPr>
        <w:t xml:space="preserve">, o </w:t>
      </w:r>
      <w:r w:rsidRPr="00CA6BA6">
        <w:rPr>
          <w:rFonts w:ascii="Roboto" w:eastAsia="Roboto" w:hAnsi="Roboto" w:cs="Roboto"/>
          <w:color w:val="000000"/>
          <w:sz w:val="20"/>
          <w:szCs w:val="20"/>
        </w:rPr>
        <w:t>el hecho de comer con otros</w:t>
      </w:r>
      <w:r w:rsidR="00AA5529">
        <w:rPr>
          <w:rFonts w:ascii="Roboto" w:eastAsia="Roboto" w:hAnsi="Roboto" w:cs="Roboto"/>
          <w:color w:val="000000"/>
          <w:sz w:val="20"/>
          <w:szCs w:val="20"/>
        </w:rPr>
        <w:t xml:space="preserve">, </w:t>
      </w:r>
      <w:r w:rsidRPr="00CA6BA6">
        <w:rPr>
          <w:rFonts w:ascii="Roboto" w:eastAsia="Roboto" w:hAnsi="Roboto" w:cs="Roboto"/>
          <w:color w:val="000000"/>
          <w:sz w:val="20"/>
          <w:szCs w:val="20"/>
        </w:rPr>
        <w:t>se configura como un</w:t>
      </w:r>
      <w:r w:rsidR="00D978A8">
        <w:rPr>
          <w:rFonts w:ascii="Roboto" w:eastAsia="Roboto" w:hAnsi="Roboto" w:cs="Roboto"/>
          <w:color w:val="000000"/>
          <w:sz w:val="20"/>
          <w:szCs w:val="20"/>
        </w:rPr>
        <w:t xml:space="preserve"> </w:t>
      </w:r>
      <w:r w:rsidRPr="00D978A8">
        <w:rPr>
          <w:rFonts w:ascii="Roboto" w:eastAsia="Roboto" w:hAnsi="Roboto" w:cs="Roboto"/>
          <w:i/>
          <w:iCs/>
          <w:color w:val="000000"/>
          <w:sz w:val="20"/>
          <w:szCs w:val="20"/>
        </w:rPr>
        <w:t>estructura</w:t>
      </w:r>
      <w:r w:rsidR="00D978A8" w:rsidRPr="00D978A8">
        <w:rPr>
          <w:rFonts w:ascii="Roboto" w:eastAsia="Roboto" w:hAnsi="Roboto" w:cs="Roboto"/>
          <w:i/>
          <w:iCs/>
          <w:color w:val="000000"/>
          <w:sz w:val="20"/>
          <w:szCs w:val="20"/>
        </w:rPr>
        <w:t>nte</w:t>
      </w:r>
      <w:r w:rsidR="00D978A8">
        <w:rPr>
          <w:rStyle w:val="Refdenotaalpie"/>
          <w:rFonts w:ascii="Roboto" w:eastAsia="Roboto" w:hAnsi="Roboto" w:cs="Roboto"/>
          <w:i/>
          <w:iCs/>
          <w:color w:val="000000"/>
          <w:sz w:val="20"/>
          <w:szCs w:val="20"/>
        </w:rPr>
        <w:footnoteReference w:id="1"/>
      </w:r>
      <w:r w:rsidRPr="00CA6BA6">
        <w:rPr>
          <w:rFonts w:ascii="Roboto" w:eastAsia="Roboto" w:hAnsi="Roboto" w:cs="Roboto"/>
          <w:color w:val="000000"/>
          <w:sz w:val="20"/>
          <w:szCs w:val="20"/>
        </w:rPr>
        <w:t xml:space="preserve"> social</w:t>
      </w:r>
      <w:r w:rsidR="00D978A8">
        <w:rPr>
          <w:rFonts w:ascii="Roboto" w:eastAsia="Roboto" w:hAnsi="Roboto" w:cs="Roboto"/>
          <w:color w:val="000000"/>
          <w:sz w:val="20"/>
          <w:szCs w:val="20"/>
        </w:rPr>
        <w:t xml:space="preserve"> (Bordieu, 1988)</w:t>
      </w:r>
      <w:r w:rsidRPr="00CA6BA6">
        <w:rPr>
          <w:rFonts w:ascii="Roboto" w:eastAsia="Roboto" w:hAnsi="Roboto" w:cs="Roboto"/>
          <w:color w:val="000000"/>
          <w:sz w:val="20"/>
          <w:szCs w:val="20"/>
        </w:rPr>
        <w:t xml:space="preserve"> que organiza tiempos, vínculos y formas de interacción (Poulain, 2002).</w:t>
      </w:r>
    </w:p>
    <w:p w14:paraId="6A9AAC00" w14:textId="1F7624EE" w:rsidR="00255B52" w:rsidRDefault="00CA6BA6" w:rsidP="00CA6BA6">
      <w:pPr>
        <w:pBdr>
          <w:top w:val="nil"/>
          <w:left w:val="nil"/>
          <w:bottom w:val="nil"/>
          <w:right w:val="nil"/>
          <w:between w:val="nil"/>
        </w:pBdr>
        <w:jc w:val="both"/>
        <w:rPr>
          <w:rFonts w:ascii="Roboto" w:eastAsia="Roboto" w:hAnsi="Roboto" w:cs="Roboto"/>
          <w:color w:val="000000"/>
          <w:sz w:val="20"/>
          <w:szCs w:val="20"/>
        </w:rPr>
      </w:pPr>
      <w:r w:rsidRPr="00CA6BA6">
        <w:rPr>
          <w:rFonts w:ascii="Roboto" w:eastAsia="Roboto" w:hAnsi="Roboto" w:cs="Roboto"/>
          <w:color w:val="000000"/>
          <w:sz w:val="20"/>
          <w:szCs w:val="20"/>
        </w:rPr>
        <w:t xml:space="preserve">Desde la antropología de la alimentación, se ha señalado que las prácticas alimentarias no sólo reflejan preferencias individuales, sino que se inscriben en sistemas culturales que delimitan lo comestible, lo deseable y lo moralmente aceptable (Fischler, 1988). </w:t>
      </w:r>
      <w:r w:rsidR="00255B52">
        <w:rPr>
          <w:rFonts w:ascii="Roboto" w:eastAsia="Roboto" w:hAnsi="Roboto" w:cs="Roboto"/>
          <w:color w:val="000000"/>
          <w:sz w:val="20"/>
          <w:szCs w:val="20"/>
        </w:rPr>
        <w:t xml:space="preserve"> </w:t>
      </w:r>
      <w:r w:rsidRPr="00CA6BA6">
        <w:rPr>
          <w:rFonts w:ascii="Roboto" w:eastAsia="Roboto" w:hAnsi="Roboto" w:cs="Roboto"/>
          <w:color w:val="000000"/>
          <w:sz w:val="20"/>
          <w:szCs w:val="20"/>
        </w:rPr>
        <w:t xml:space="preserve">Asimismo, la organización social del consumo alimentario no se restringe a unidades domésticas tradicionales, sino que puede </w:t>
      </w:r>
      <w:r w:rsidR="00D978A8">
        <w:rPr>
          <w:rFonts w:ascii="Roboto" w:eastAsia="Roboto" w:hAnsi="Roboto" w:cs="Roboto"/>
          <w:color w:val="000000"/>
          <w:sz w:val="20"/>
          <w:szCs w:val="20"/>
        </w:rPr>
        <w:t xml:space="preserve">configurarse </w:t>
      </w:r>
      <w:r w:rsidRPr="00CA6BA6">
        <w:rPr>
          <w:rFonts w:ascii="Roboto" w:eastAsia="Roboto" w:hAnsi="Roboto" w:cs="Roboto"/>
          <w:color w:val="000000"/>
          <w:sz w:val="20"/>
          <w:szCs w:val="20"/>
        </w:rPr>
        <w:t>en torno a grupos funcionales que comparten recursos</w:t>
      </w:r>
      <w:r w:rsidR="00D978A8">
        <w:rPr>
          <w:rFonts w:ascii="Roboto" w:eastAsia="Roboto" w:hAnsi="Roboto" w:cs="Roboto"/>
          <w:color w:val="000000"/>
          <w:sz w:val="20"/>
          <w:szCs w:val="20"/>
        </w:rPr>
        <w:t>, espacios</w:t>
      </w:r>
      <w:r w:rsidRPr="00CA6BA6">
        <w:rPr>
          <w:rFonts w:ascii="Roboto" w:eastAsia="Roboto" w:hAnsi="Roboto" w:cs="Roboto"/>
          <w:color w:val="000000"/>
          <w:sz w:val="20"/>
          <w:szCs w:val="20"/>
        </w:rPr>
        <w:t xml:space="preserve"> y prácticas de alimentación (Messer, 1983). </w:t>
      </w:r>
    </w:p>
    <w:p w14:paraId="62EA9969" w14:textId="321855A7" w:rsidR="00CA6BA6" w:rsidRPr="00CA6BA6" w:rsidRDefault="00CA6BA6" w:rsidP="00CA6BA6">
      <w:pPr>
        <w:pBdr>
          <w:top w:val="nil"/>
          <w:left w:val="nil"/>
          <w:bottom w:val="nil"/>
          <w:right w:val="nil"/>
          <w:between w:val="nil"/>
        </w:pBdr>
        <w:jc w:val="both"/>
        <w:rPr>
          <w:rFonts w:ascii="Roboto" w:eastAsia="Roboto" w:hAnsi="Roboto" w:cs="Roboto"/>
          <w:color w:val="000000"/>
          <w:sz w:val="20"/>
          <w:szCs w:val="20"/>
        </w:rPr>
      </w:pPr>
      <w:r w:rsidRPr="00CA6BA6">
        <w:rPr>
          <w:rFonts w:ascii="Roboto" w:eastAsia="Roboto" w:hAnsi="Roboto" w:cs="Roboto"/>
          <w:color w:val="000000"/>
          <w:sz w:val="20"/>
          <w:szCs w:val="20"/>
        </w:rPr>
        <w:t>En contextos contemporáneos, caracterizados por la fragmentación de los tiempos sociales, se observa una creciente desestructuración del comer, donde la alimentación tiende a desplazarse hacia formas rápidas e individualizadas (Poulain, 2002).</w:t>
      </w:r>
    </w:p>
    <w:p w14:paraId="5D0C32D9" w14:textId="35F8A8F2" w:rsidR="00CA6BA6" w:rsidRPr="00CA6BA6" w:rsidRDefault="00CA6BA6" w:rsidP="00F731E7">
      <w:pPr>
        <w:keepNext/>
        <w:jc w:val="both"/>
        <w:rPr>
          <w:rFonts w:ascii="Roboto" w:eastAsia="Roboto" w:hAnsi="Roboto" w:cs="Roboto"/>
          <w:color w:val="000000"/>
          <w:sz w:val="20"/>
          <w:szCs w:val="20"/>
        </w:rPr>
      </w:pPr>
      <w:r w:rsidRPr="00CA6BA6">
        <w:rPr>
          <w:rFonts w:ascii="Roboto" w:eastAsia="Roboto" w:hAnsi="Roboto" w:cs="Roboto"/>
          <w:color w:val="000000"/>
          <w:sz w:val="20"/>
          <w:szCs w:val="20"/>
        </w:rPr>
        <w:t xml:space="preserve">Las instituciones de educación superior constituyen espacios privilegiados para observar estas transformaciones, al reunir poblaciones </w:t>
      </w:r>
      <w:r w:rsidR="00725599">
        <w:rPr>
          <w:rFonts w:ascii="Roboto" w:eastAsia="Roboto" w:hAnsi="Roboto" w:cs="Roboto"/>
          <w:color w:val="000000"/>
          <w:sz w:val="20"/>
          <w:szCs w:val="20"/>
        </w:rPr>
        <w:t>multiculturales</w:t>
      </w:r>
      <w:r w:rsidRPr="00CA6BA6">
        <w:rPr>
          <w:rFonts w:ascii="Roboto" w:eastAsia="Roboto" w:hAnsi="Roboto" w:cs="Roboto"/>
          <w:color w:val="000000"/>
          <w:sz w:val="20"/>
          <w:szCs w:val="20"/>
        </w:rPr>
        <w:t xml:space="preserve"> en </w:t>
      </w:r>
      <w:r w:rsidR="00DF555C">
        <w:rPr>
          <w:rFonts w:ascii="Roboto" w:eastAsia="Roboto" w:hAnsi="Roboto" w:cs="Roboto"/>
          <w:color w:val="000000"/>
          <w:sz w:val="20"/>
          <w:szCs w:val="20"/>
        </w:rPr>
        <w:t xml:space="preserve">momentos específicos </w:t>
      </w:r>
      <w:r w:rsidR="00255B52">
        <w:rPr>
          <w:rFonts w:ascii="Roboto" w:eastAsia="Roboto" w:hAnsi="Roboto" w:cs="Roboto"/>
          <w:color w:val="000000"/>
          <w:sz w:val="20"/>
          <w:szCs w:val="20"/>
        </w:rPr>
        <w:t>de</w:t>
      </w:r>
      <w:r w:rsidR="00DF555C">
        <w:rPr>
          <w:rFonts w:ascii="Roboto" w:eastAsia="Roboto" w:hAnsi="Roboto" w:cs="Roboto"/>
          <w:color w:val="000000"/>
          <w:sz w:val="20"/>
          <w:szCs w:val="20"/>
        </w:rPr>
        <w:t xml:space="preserve"> sus trayectorias </w:t>
      </w:r>
      <w:r w:rsidRPr="00CA6BA6">
        <w:rPr>
          <w:rFonts w:ascii="Roboto" w:eastAsia="Roboto" w:hAnsi="Roboto" w:cs="Roboto"/>
          <w:color w:val="000000"/>
          <w:sz w:val="20"/>
          <w:szCs w:val="20"/>
        </w:rPr>
        <w:t>vital</w:t>
      </w:r>
      <w:r w:rsidR="00DF555C">
        <w:rPr>
          <w:rFonts w:ascii="Roboto" w:eastAsia="Roboto" w:hAnsi="Roboto" w:cs="Roboto"/>
          <w:color w:val="000000"/>
          <w:sz w:val="20"/>
          <w:szCs w:val="20"/>
        </w:rPr>
        <w:t>es</w:t>
      </w:r>
      <w:r w:rsidRPr="00CA6BA6">
        <w:rPr>
          <w:rFonts w:ascii="Roboto" w:eastAsia="Roboto" w:hAnsi="Roboto" w:cs="Roboto"/>
          <w:color w:val="000000"/>
          <w:sz w:val="20"/>
          <w:szCs w:val="20"/>
        </w:rPr>
        <w:t xml:space="preserve">. </w:t>
      </w:r>
      <w:r w:rsidR="00DF555C">
        <w:rPr>
          <w:rFonts w:ascii="Roboto" w:eastAsia="Roboto" w:hAnsi="Roboto" w:cs="Roboto"/>
          <w:color w:val="000000"/>
          <w:sz w:val="20"/>
          <w:szCs w:val="20"/>
        </w:rPr>
        <w:t>E</w:t>
      </w:r>
      <w:r w:rsidRPr="00CA6BA6">
        <w:rPr>
          <w:rFonts w:ascii="Roboto" w:eastAsia="Roboto" w:hAnsi="Roboto" w:cs="Roboto"/>
          <w:color w:val="000000"/>
          <w:sz w:val="20"/>
          <w:szCs w:val="20"/>
        </w:rPr>
        <w:t xml:space="preserve">l crecimiento de la movilidad estudiantil </w:t>
      </w:r>
      <w:r w:rsidR="00725599">
        <w:rPr>
          <w:rFonts w:ascii="Roboto" w:eastAsia="Roboto" w:hAnsi="Roboto" w:cs="Roboto"/>
          <w:color w:val="000000"/>
          <w:sz w:val="20"/>
          <w:szCs w:val="20"/>
        </w:rPr>
        <w:t xml:space="preserve">internacional produce a su vez, múltiples </w:t>
      </w:r>
      <w:r w:rsidRPr="00CA6BA6">
        <w:rPr>
          <w:rFonts w:ascii="Roboto" w:eastAsia="Roboto" w:hAnsi="Roboto" w:cs="Roboto"/>
          <w:color w:val="000000"/>
          <w:sz w:val="20"/>
          <w:szCs w:val="20"/>
        </w:rPr>
        <w:t xml:space="preserve">dinámicas de </w:t>
      </w:r>
      <w:r w:rsidR="00725599">
        <w:rPr>
          <w:rFonts w:ascii="Roboto" w:eastAsia="Roboto" w:hAnsi="Roboto" w:cs="Roboto"/>
          <w:color w:val="000000"/>
          <w:sz w:val="20"/>
          <w:szCs w:val="20"/>
        </w:rPr>
        <w:t>interacción</w:t>
      </w:r>
      <w:r w:rsidRPr="00CA6BA6">
        <w:rPr>
          <w:rFonts w:ascii="Roboto" w:eastAsia="Roboto" w:hAnsi="Roboto" w:cs="Roboto"/>
          <w:color w:val="000000"/>
          <w:sz w:val="20"/>
          <w:szCs w:val="20"/>
        </w:rPr>
        <w:t xml:space="preserve"> donde la alimentación puede desempeñar un papel relevante como mediadora de integración</w:t>
      </w:r>
      <w:r w:rsidR="00725599">
        <w:rPr>
          <w:rFonts w:ascii="Roboto" w:eastAsia="Roboto" w:hAnsi="Roboto" w:cs="Roboto"/>
          <w:color w:val="000000"/>
          <w:sz w:val="20"/>
          <w:szCs w:val="20"/>
        </w:rPr>
        <w:t xml:space="preserve"> y por ende, de generación de pertenencia (Pérez-Wilson, 2019</w:t>
      </w:r>
      <w:r w:rsidR="00F731E7">
        <w:rPr>
          <w:rFonts w:ascii="Roboto" w:eastAsia="Roboto" w:hAnsi="Roboto" w:cs="Roboto"/>
          <w:color w:val="000000"/>
          <w:sz w:val="20"/>
          <w:szCs w:val="20"/>
        </w:rPr>
        <w:t xml:space="preserve">; </w:t>
      </w:r>
      <w:r w:rsidR="00F731E7" w:rsidRPr="00F731E7">
        <w:rPr>
          <w:rFonts w:ascii="Roboto" w:eastAsia="Roboto" w:hAnsi="Roboto" w:cs="Roboto"/>
          <w:color w:val="000000"/>
          <w:sz w:val="20"/>
          <w:szCs w:val="20"/>
        </w:rPr>
        <w:t>Herrán, Parra y Varela, 2025</w:t>
      </w:r>
      <w:r w:rsidR="00F731E7">
        <w:rPr>
          <w:rFonts w:ascii="Roboto" w:eastAsia="Roboto" w:hAnsi="Roboto" w:cs="Roboto"/>
          <w:color w:val="000000"/>
          <w:sz w:val="20"/>
          <w:szCs w:val="20"/>
        </w:rPr>
        <w:t xml:space="preserve">; </w:t>
      </w:r>
      <w:r w:rsidR="00F731E7" w:rsidRPr="00F731E7">
        <w:rPr>
          <w:rFonts w:ascii="Roboto" w:eastAsia="Roboto" w:hAnsi="Roboto" w:cs="Roboto"/>
          <w:color w:val="000000"/>
          <w:sz w:val="20"/>
          <w:szCs w:val="20"/>
        </w:rPr>
        <w:t>Ambrosi &amp; Grisotti, 2025</w:t>
      </w:r>
      <w:r w:rsidR="00725599">
        <w:rPr>
          <w:rFonts w:ascii="Roboto" w:eastAsia="Roboto" w:hAnsi="Roboto" w:cs="Roboto"/>
          <w:color w:val="000000"/>
          <w:sz w:val="20"/>
          <w:szCs w:val="20"/>
        </w:rPr>
        <w:t>)</w:t>
      </w:r>
      <w:r w:rsidRPr="00CA6BA6">
        <w:rPr>
          <w:rFonts w:ascii="Roboto" w:eastAsia="Roboto" w:hAnsi="Roboto" w:cs="Roboto"/>
          <w:color w:val="000000"/>
          <w:sz w:val="20"/>
          <w:szCs w:val="20"/>
        </w:rPr>
        <w:t>.</w:t>
      </w:r>
    </w:p>
    <w:p w14:paraId="07FD40E3" w14:textId="7F53AF5A" w:rsidR="00725599" w:rsidRDefault="00CA6BA6">
      <w:pPr>
        <w:pBdr>
          <w:top w:val="nil"/>
          <w:left w:val="nil"/>
          <w:bottom w:val="nil"/>
          <w:right w:val="nil"/>
          <w:between w:val="nil"/>
        </w:pBdr>
        <w:jc w:val="both"/>
        <w:rPr>
          <w:rFonts w:ascii="Roboto" w:eastAsia="Roboto" w:hAnsi="Roboto" w:cs="Roboto"/>
          <w:color w:val="FF0000"/>
          <w:sz w:val="20"/>
          <w:szCs w:val="20"/>
          <w:u w:val="single"/>
        </w:rPr>
      </w:pPr>
      <w:r w:rsidRPr="001C11F5">
        <w:rPr>
          <w:rFonts w:ascii="Roboto" w:eastAsia="Roboto" w:hAnsi="Roboto" w:cs="Roboto"/>
          <w:color w:val="000000"/>
          <w:sz w:val="20"/>
          <w:szCs w:val="20"/>
        </w:rPr>
        <w:t xml:space="preserve">Desde el enfoque de Universidades Promotoras de la Salud, el desarrollo del sentido de comunidad ha sido propuesto como un recurso que favorece la participación y el bienestar dentro del campus (Pérez-Wilson et al., 2019). En este marco, el entorno alimentario puede entenderse no sólo como </w:t>
      </w:r>
      <w:r w:rsidR="00725599">
        <w:rPr>
          <w:rFonts w:ascii="Roboto" w:eastAsia="Roboto" w:hAnsi="Roboto" w:cs="Roboto"/>
          <w:color w:val="000000"/>
          <w:sz w:val="20"/>
          <w:szCs w:val="20"/>
        </w:rPr>
        <w:t>recurso</w:t>
      </w:r>
      <w:r w:rsidRPr="001C11F5">
        <w:rPr>
          <w:rFonts w:ascii="Roboto" w:eastAsia="Roboto" w:hAnsi="Roboto" w:cs="Roboto"/>
          <w:color w:val="000000"/>
          <w:sz w:val="20"/>
          <w:szCs w:val="20"/>
        </w:rPr>
        <w:t xml:space="preserve">, sino como un espacio potencial de interacción social que influye en la forma en que las personas habitan </w:t>
      </w:r>
      <w:r w:rsidR="00725599">
        <w:rPr>
          <w:rFonts w:ascii="Roboto" w:eastAsia="Roboto" w:hAnsi="Roboto" w:cs="Roboto"/>
          <w:color w:val="000000"/>
          <w:sz w:val="20"/>
          <w:szCs w:val="20"/>
        </w:rPr>
        <w:t xml:space="preserve">y recrean </w:t>
      </w:r>
      <w:r w:rsidRPr="001C11F5">
        <w:rPr>
          <w:rFonts w:ascii="Roboto" w:eastAsia="Roboto" w:hAnsi="Roboto" w:cs="Roboto"/>
          <w:color w:val="000000"/>
          <w:sz w:val="20"/>
          <w:szCs w:val="20"/>
        </w:rPr>
        <w:t>la vida universitaria.</w:t>
      </w:r>
    </w:p>
    <w:p w14:paraId="16C0EB94" w14:textId="77777777" w:rsidR="00F731E7" w:rsidRPr="00F731E7" w:rsidRDefault="00F731E7">
      <w:pPr>
        <w:pBdr>
          <w:top w:val="nil"/>
          <w:left w:val="nil"/>
          <w:bottom w:val="nil"/>
          <w:right w:val="nil"/>
          <w:between w:val="nil"/>
        </w:pBdr>
        <w:jc w:val="both"/>
        <w:rPr>
          <w:rFonts w:ascii="Roboto" w:eastAsia="Roboto" w:hAnsi="Roboto" w:cs="Roboto"/>
          <w:color w:val="FF0000"/>
          <w:sz w:val="20"/>
          <w:szCs w:val="20"/>
          <w:u w:val="single"/>
        </w:rPr>
      </w:pPr>
    </w:p>
    <w:p w14:paraId="278B35D3" w14:textId="59990B2C" w:rsidR="008C3ABE" w:rsidRDefault="0070407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OBJETIVO</w:t>
      </w:r>
    </w:p>
    <w:p w14:paraId="70CA10D9" w14:textId="67BF55D3" w:rsidR="008C3ABE" w:rsidRDefault="00CA6BA6">
      <w:pPr>
        <w:pBdr>
          <w:top w:val="nil"/>
          <w:left w:val="nil"/>
          <w:bottom w:val="nil"/>
          <w:right w:val="nil"/>
          <w:between w:val="nil"/>
        </w:pBdr>
        <w:jc w:val="both"/>
        <w:rPr>
          <w:rFonts w:ascii="Roboto" w:eastAsia="Roboto" w:hAnsi="Roboto" w:cs="Roboto"/>
          <w:color w:val="000000"/>
          <w:sz w:val="20"/>
          <w:szCs w:val="20"/>
        </w:rPr>
      </w:pPr>
      <w:r w:rsidRPr="00CA6BA6">
        <w:rPr>
          <w:rFonts w:ascii="Roboto" w:eastAsia="Roboto" w:hAnsi="Roboto" w:cs="Roboto"/>
          <w:color w:val="000000"/>
          <w:sz w:val="20"/>
          <w:szCs w:val="20"/>
        </w:rPr>
        <w:t xml:space="preserve">Analizar </w:t>
      </w:r>
      <w:r w:rsidR="00725599">
        <w:rPr>
          <w:rFonts w:ascii="Roboto" w:eastAsia="Roboto" w:hAnsi="Roboto" w:cs="Roboto"/>
          <w:color w:val="000000"/>
          <w:sz w:val="20"/>
          <w:szCs w:val="20"/>
        </w:rPr>
        <w:t xml:space="preserve">la influencia de </w:t>
      </w:r>
      <w:r w:rsidRPr="00CA6BA6">
        <w:rPr>
          <w:rFonts w:ascii="Roboto" w:eastAsia="Roboto" w:hAnsi="Roboto" w:cs="Roboto"/>
          <w:color w:val="000000"/>
          <w:sz w:val="20"/>
          <w:szCs w:val="20"/>
        </w:rPr>
        <w:t xml:space="preserve">las prácticas de comensalidad </w:t>
      </w:r>
      <w:r w:rsidR="00725599">
        <w:rPr>
          <w:rFonts w:ascii="Roboto" w:eastAsia="Roboto" w:hAnsi="Roboto" w:cs="Roboto"/>
          <w:color w:val="000000"/>
          <w:sz w:val="20"/>
          <w:szCs w:val="20"/>
        </w:rPr>
        <w:t xml:space="preserve">en la </w:t>
      </w:r>
      <w:r w:rsidRPr="00CA6BA6">
        <w:rPr>
          <w:rFonts w:ascii="Roboto" w:eastAsia="Roboto" w:hAnsi="Roboto" w:cs="Roboto"/>
          <w:color w:val="000000"/>
          <w:sz w:val="20"/>
          <w:szCs w:val="20"/>
        </w:rPr>
        <w:t>configura</w:t>
      </w:r>
      <w:r w:rsidR="00725599">
        <w:rPr>
          <w:rFonts w:ascii="Roboto" w:eastAsia="Roboto" w:hAnsi="Roboto" w:cs="Roboto"/>
          <w:color w:val="000000"/>
          <w:sz w:val="20"/>
          <w:szCs w:val="20"/>
        </w:rPr>
        <w:t>ción de</w:t>
      </w:r>
      <w:r w:rsidRPr="00CA6BA6">
        <w:rPr>
          <w:rFonts w:ascii="Roboto" w:eastAsia="Roboto" w:hAnsi="Roboto" w:cs="Roboto"/>
          <w:color w:val="000000"/>
          <w:sz w:val="20"/>
          <w:szCs w:val="20"/>
        </w:rPr>
        <w:t xml:space="preserve"> experiencia</w:t>
      </w:r>
      <w:r w:rsidR="00725599">
        <w:rPr>
          <w:rFonts w:ascii="Roboto" w:eastAsia="Roboto" w:hAnsi="Roboto" w:cs="Roboto"/>
          <w:color w:val="000000"/>
          <w:sz w:val="20"/>
          <w:szCs w:val="20"/>
        </w:rPr>
        <w:t>s</w:t>
      </w:r>
      <w:r w:rsidRPr="00CA6BA6">
        <w:rPr>
          <w:rFonts w:ascii="Roboto" w:eastAsia="Roboto" w:hAnsi="Roboto" w:cs="Roboto"/>
          <w:color w:val="000000"/>
          <w:sz w:val="20"/>
          <w:szCs w:val="20"/>
        </w:rPr>
        <w:t xml:space="preserve"> de pertenencia y </w:t>
      </w:r>
      <w:r w:rsidR="00725599">
        <w:rPr>
          <w:rFonts w:ascii="Roboto" w:eastAsia="Roboto" w:hAnsi="Roboto" w:cs="Roboto"/>
          <w:color w:val="000000"/>
          <w:sz w:val="20"/>
          <w:szCs w:val="20"/>
        </w:rPr>
        <w:t>sentido de comunidad</w:t>
      </w:r>
      <w:r w:rsidRPr="00CA6BA6">
        <w:rPr>
          <w:rFonts w:ascii="Roboto" w:eastAsia="Roboto" w:hAnsi="Roboto" w:cs="Roboto"/>
          <w:color w:val="000000"/>
          <w:sz w:val="20"/>
          <w:szCs w:val="20"/>
        </w:rPr>
        <w:t>.</w:t>
      </w:r>
    </w:p>
    <w:p w14:paraId="12F553EA" w14:textId="07161277" w:rsidR="008C3ABE" w:rsidRDefault="0070407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METODOLOGÍA</w:t>
      </w:r>
    </w:p>
    <w:p w14:paraId="5EBD6951" w14:textId="07A79D66" w:rsidR="00CA6BA6" w:rsidRPr="00CA6BA6" w:rsidRDefault="00CA6BA6" w:rsidP="00CA6BA6">
      <w:pPr>
        <w:pBdr>
          <w:top w:val="nil"/>
          <w:left w:val="nil"/>
          <w:bottom w:val="nil"/>
          <w:right w:val="nil"/>
          <w:between w:val="nil"/>
        </w:pBdr>
        <w:jc w:val="both"/>
        <w:rPr>
          <w:rFonts w:ascii="Roboto" w:eastAsia="Roboto" w:hAnsi="Roboto" w:cs="Roboto"/>
          <w:color w:val="000000"/>
          <w:sz w:val="20"/>
          <w:szCs w:val="20"/>
        </w:rPr>
      </w:pPr>
      <w:r w:rsidRPr="00CA6BA6">
        <w:rPr>
          <w:rFonts w:ascii="Roboto" w:eastAsia="Roboto" w:hAnsi="Roboto" w:cs="Roboto"/>
          <w:color w:val="000000"/>
          <w:sz w:val="20"/>
          <w:szCs w:val="20"/>
        </w:rPr>
        <w:t>El estudio se desarrolló desde una perspectiva interpretativa que reconoce el carácter cultural de las prácticas alimentarias, entendiendo el acto de comer como una experiencia socialmente situada que articula identidad, relaciones y significados dentro de la vida universitaria.</w:t>
      </w:r>
      <w:r w:rsidR="00695B72">
        <w:rPr>
          <w:rFonts w:ascii="Roboto" w:eastAsia="Roboto" w:hAnsi="Roboto" w:cs="Roboto"/>
          <w:color w:val="000000"/>
          <w:sz w:val="20"/>
          <w:szCs w:val="20"/>
        </w:rPr>
        <w:t xml:space="preserve"> </w:t>
      </w:r>
      <w:r w:rsidRPr="00CA6BA6">
        <w:rPr>
          <w:rFonts w:ascii="Roboto" w:eastAsia="Roboto" w:hAnsi="Roboto" w:cs="Roboto"/>
          <w:color w:val="000000"/>
          <w:sz w:val="20"/>
          <w:szCs w:val="20"/>
        </w:rPr>
        <w:t>Se empleó un</w:t>
      </w:r>
      <w:r w:rsidR="00695B72">
        <w:rPr>
          <w:rFonts w:ascii="Roboto" w:eastAsia="Roboto" w:hAnsi="Roboto" w:cs="Roboto"/>
          <w:color w:val="000000"/>
          <w:sz w:val="20"/>
          <w:szCs w:val="20"/>
        </w:rPr>
        <w:t>a</w:t>
      </w:r>
      <w:r w:rsidRPr="00CA6BA6">
        <w:rPr>
          <w:rFonts w:ascii="Roboto" w:eastAsia="Roboto" w:hAnsi="Roboto" w:cs="Roboto"/>
          <w:color w:val="000000"/>
          <w:sz w:val="20"/>
          <w:szCs w:val="20"/>
        </w:rPr>
        <w:t xml:space="preserve"> </w:t>
      </w:r>
      <w:r w:rsidR="00695B72">
        <w:rPr>
          <w:rFonts w:ascii="Roboto" w:eastAsia="Roboto" w:hAnsi="Roboto" w:cs="Roboto"/>
          <w:color w:val="000000"/>
          <w:sz w:val="20"/>
          <w:szCs w:val="20"/>
        </w:rPr>
        <w:t xml:space="preserve">aproximación </w:t>
      </w:r>
      <w:r w:rsidRPr="00CA6BA6">
        <w:rPr>
          <w:rFonts w:ascii="Roboto" w:eastAsia="Roboto" w:hAnsi="Roboto" w:cs="Roboto"/>
          <w:color w:val="000000"/>
          <w:sz w:val="20"/>
          <w:szCs w:val="20"/>
        </w:rPr>
        <w:t>etnográfic</w:t>
      </w:r>
      <w:r w:rsidR="00695B72">
        <w:rPr>
          <w:rFonts w:ascii="Roboto" w:eastAsia="Roboto" w:hAnsi="Roboto" w:cs="Roboto"/>
          <w:color w:val="000000"/>
          <w:sz w:val="20"/>
          <w:szCs w:val="20"/>
        </w:rPr>
        <w:t>a</w:t>
      </w:r>
      <w:r w:rsidRPr="00CA6BA6">
        <w:rPr>
          <w:rFonts w:ascii="Roboto" w:eastAsia="Roboto" w:hAnsi="Roboto" w:cs="Roboto"/>
          <w:color w:val="000000"/>
          <w:sz w:val="20"/>
          <w:szCs w:val="20"/>
        </w:rPr>
        <w:t xml:space="preserve"> orientad</w:t>
      </w:r>
      <w:r w:rsidR="00695B72">
        <w:rPr>
          <w:rFonts w:ascii="Roboto" w:eastAsia="Roboto" w:hAnsi="Roboto" w:cs="Roboto"/>
          <w:color w:val="000000"/>
          <w:sz w:val="20"/>
          <w:szCs w:val="20"/>
        </w:rPr>
        <w:t>a</w:t>
      </w:r>
      <w:r w:rsidRPr="00CA6BA6">
        <w:rPr>
          <w:rFonts w:ascii="Roboto" w:eastAsia="Roboto" w:hAnsi="Roboto" w:cs="Roboto"/>
          <w:color w:val="000000"/>
          <w:sz w:val="20"/>
          <w:szCs w:val="20"/>
        </w:rPr>
        <w:t xml:space="preserve"> a comprender la experiencia </w:t>
      </w:r>
      <w:r w:rsidR="00695B72">
        <w:rPr>
          <w:rFonts w:ascii="Roboto" w:eastAsia="Roboto" w:hAnsi="Roboto" w:cs="Roboto"/>
          <w:color w:val="000000"/>
          <w:sz w:val="20"/>
          <w:szCs w:val="20"/>
        </w:rPr>
        <w:t xml:space="preserve">de vida universitaria entre </w:t>
      </w:r>
      <w:r w:rsidRPr="00CA6BA6">
        <w:rPr>
          <w:rFonts w:ascii="Roboto" w:eastAsia="Roboto" w:hAnsi="Roboto" w:cs="Roboto"/>
          <w:color w:val="000000"/>
          <w:sz w:val="20"/>
          <w:szCs w:val="20"/>
        </w:rPr>
        <w:t>estudiantes</w:t>
      </w:r>
      <w:r w:rsidR="00695B72">
        <w:rPr>
          <w:rFonts w:ascii="Roboto" w:eastAsia="Roboto" w:hAnsi="Roboto" w:cs="Roboto"/>
          <w:color w:val="000000"/>
          <w:sz w:val="20"/>
          <w:szCs w:val="20"/>
        </w:rPr>
        <w:t>, particularmente</w:t>
      </w:r>
      <w:r w:rsidRPr="00CA6BA6">
        <w:rPr>
          <w:rFonts w:ascii="Roboto" w:eastAsia="Roboto" w:hAnsi="Roboto" w:cs="Roboto"/>
          <w:color w:val="000000"/>
          <w:sz w:val="20"/>
          <w:szCs w:val="20"/>
        </w:rPr>
        <w:t xml:space="preserve"> en su interacción con el entorno alimentario universitario.</w:t>
      </w:r>
    </w:p>
    <w:p w14:paraId="237E2A0F" w14:textId="12739036" w:rsidR="00CA6BA6" w:rsidRPr="00CA6BA6" w:rsidRDefault="00CA6BA6" w:rsidP="00CA6BA6">
      <w:pPr>
        <w:pBdr>
          <w:top w:val="nil"/>
          <w:left w:val="nil"/>
          <w:bottom w:val="nil"/>
          <w:right w:val="nil"/>
          <w:between w:val="nil"/>
        </w:pBdr>
        <w:jc w:val="both"/>
        <w:rPr>
          <w:rFonts w:ascii="Roboto" w:eastAsia="Roboto" w:hAnsi="Roboto" w:cs="Roboto"/>
          <w:color w:val="000000"/>
          <w:sz w:val="20"/>
          <w:szCs w:val="20"/>
        </w:rPr>
      </w:pPr>
      <w:r w:rsidRPr="00CA6BA6">
        <w:rPr>
          <w:rFonts w:ascii="Roboto" w:eastAsia="Roboto" w:hAnsi="Roboto" w:cs="Roboto"/>
          <w:color w:val="000000"/>
          <w:sz w:val="20"/>
          <w:szCs w:val="20"/>
        </w:rPr>
        <w:t xml:space="preserve">Se realizaron </w:t>
      </w:r>
      <w:r w:rsidR="00695B72">
        <w:rPr>
          <w:rFonts w:ascii="Roboto" w:eastAsia="Roboto" w:hAnsi="Roboto" w:cs="Roboto"/>
          <w:color w:val="000000"/>
          <w:sz w:val="20"/>
          <w:szCs w:val="20"/>
        </w:rPr>
        <w:t>quince</w:t>
      </w:r>
      <w:r w:rsidRPr="00CA6BA6">
        <w:rPr>
          <w:rFonts w:ascii="Roboto" w:eastAsia="Roboto" w:hAnsi="Roboto" w:cs="Roboto"/>
          <w:color w:val="000000"/>
          <w:sz w:val="20"/>
          <w:szCs w:val="20"/>
        </w:rPr>
        <w:t xml:space="preserve"> entrevistas semiestructuradas, </w:t>
      </w:r>
      <w:r w:rsidR="00641D54">
        <w:rPr>
          <w:rFonts w:ascii="Roboto" w:eastAsia="Roboto" w:hAnsi="Roboto" w:cs="Roboto"/>
          <w:color w:val="000000"/>
          <w:sz w:val="20"/>
          <w:szCs w:val="20"/>
        </w:rPr>
        <w:t xml:space="preserve">construyendo una muestra por bola de nieve y </w:t>
      </w:r>
      <w:r w:rsidRPr="00CA6BA6">
        <w:rPr>
          <w:rFonts w:ascii="Roboto" w:eastAsia="Roboto" w:hAnsi="Roboto" w:cs="Roboto"/>
          <w:color w:val="000000"/>
          <w:sz w:val="20"/>
          <w:szCs w:val="20"/>
        </w:rPr>
        <w:t xml:space="preserve">llevadas a cabo en condiciones que favorecieran la confianza y la tranquilidad de las personas participantes. </w:t>
      </w:r>
    </w:p>
    <w:p w14:paraId="00D2C196" w14:textId="309940D0" w:rsidR="008C3ABE" w:rsidRDefault="00CA6BA6">
      <w:pPr>
        <w:pBdr>
          <w:top w:val="nil"/>
          <w:left w:val="nil"/>
          <w:bottom w:val="nil"/>
          <w:right w:val="nil"/>
          <w:between w:val="nil"/>
        </w:pBdr>
        <w:jc w:val="both"/>
        <w:rPr>
          <w:rFonts w:ascii="Roboto" w:eastAsia="Roboto" w:hAnsi="Roboto" w:cs="Roboto"/>
          <w:color w:val="000000"/>
          <w:sz w:val="20"/>
          <w:szCs w:val="20"/>
        </w:rPr>
      </w:pPr>
      <w:r w:rsidRPr="00CA6BA6">
        <w:rPr>
          <w:rFonts w:ascii="Roboto" w:eastAsia="Roboto" w:hAnsi="Roboto" w:cs="Roboto"/>
          <w:color w:val="000000"/>
          <w:sz w:val="20"/>
          <w:szCs w:val="20"/>
        </w:rPr>
        <w:t>Todas las entrevistas fueron transcritas íntegramente</w:t>
      </w:r>
      <w:r w:rsidR="00372D0B">
        <w:rPr>
          <w:rFonts w:ascii="Roboto" w:eastAsia="Roboto" w:hAnsi="Roboto" w:cs="Roboto"/>
          <w:color w:val="000000"/>
          <w:sz w:val="20"/>
          <w:szCs w:val="20"/>
        </w:rPr>
        <w:t xml:space="preserve"> buscando mantener la narrativa original para favorecer una interpretación basada en la descripción densa (Geertz, 2003)</w:t>
      </w:r>
      <w:r w:rsidRPr="00CA6BA6">
        <w:rPr>
          <w:rFonts w:ascii="Roboto" w:eastAsia="Roboto" w:hAnsi="Roboto" w:cs="Roboto"/>
          <w:color w:val="000000"/>
          <w:sz w:val="20"/>
          <w:szCs w:val="20"/>
        </w:rPr>
        <w:t xml:space="preserve">. El análisis se realizó mediante técnicas narrativas, organizando la información en torno a cuatro categorías analíticas: vida universitaria, experiencias de alimentación, comensalidad y </w:t>
      </w:r>
      <w:r w:rsidR="00372D0B">
        <w:rPr>
          <w:rFonts w:ascii="Roboto" w:eastAsia="Roboto" w:hAnsi="Roboto" w:cs="Roboto"/>
          <w:color w:val="000000"/>
          <w:sz w:val="20"/>
          <w:szCs w:val="20"/>
        </w:rPr>
        <w:t>sentido de comunidad y pertenencia</w:t>
      </w:r>
      <w:r w:rsidRPr="00CA6BA6">
        <w:rPr>
          <w:rFonts w:ascii="Roboto" w:eastAsia="Roboto" w:hAnsi="Roboto" w:cs="Roboto"/>
          <w:color w:val="000000"/>
          <w:sz w:val="20"/>
          <w:szCs w:val="20"/>
        </w:rPr>
        <w:t>.</w:t>
      </w:r>
      <w:r w:rsidR="00641D54">
        <w:rPr>
          <w:rFonts w:ascii="Roboto" w:eastAsia="Roboto" w:hAnsi="Roboto" w:cs="Roboto"/>
          <w:color w:val="000000"/>
          <w:sz w:val="20"/>
          <w:szCs w:val="20"/>
        </w:rPr>
        <w:t xml:space="preserve"> Para el análisis se dividió a la muestra entre estudiantes </w:t>
      </w:r>
      <w:r w:rsidR="00641D54" w:rsidRPr="00641D54">
        <w:rPr>
          <w:rFonts w:ascii="Roboto" w:eastAsia="Roboto" w:hAnsi="Roboto" w:cs="Roboto"/>
          <w:i/>
          <w:iCs/>
          <w:color w:val="000000"/>
          <w:sz w:val="20"/>
          <w:szCs w:val="20"/>
        </w:rPr>
        <w:t>foráneos</w:t>
      </w:r>
      <w:r w:rsidR="00641D54">
        <w:rPr>
          <w:rFonts w:ascii="Roboto" w:eastAsia="Roboto" w:hAnsi="Roboto" w:cs="Roboto"/>
          <w:color w:val="000000"/>
          <w:sz w:val="20"/>
          <w:szCs w:val="20"/>
        </w:rPr>
        <w:t xml:space="preserve"> y no foráneos, sin embargo no se consideró el lugar de nacimiento sino a contar con familia corresidente en Mérida.</w:t>
      </w:r>
    </w:p>
    <w:p w14:paraId="305939BC" w14:textId="77777777" w:rsidR="008C3ABE" w:rsidRDefault="008C3ABE">
      <w:pPr>
        <w:pBdr>
          <w:top w:val="nil"/>
          <w:left w:val="nil"/>
          <w:bottom w:val="nil"/>
          <w:right w:val="nil"/>
          <w:between w:val="nil"/>
        </w:pBdr>
        <w:jc w:val="both"/>
        <w:rPr>
          <w:rFonts w:ascii="Roboto" w:eastAsia="Roboto" w:hAnsi="Roboto" w:cs="Roboto"/>
          <w:color w:val="000000"/>
          <w:sz w:val="20"/>
          <w:szCs w:val="20"/>
        </w:rPr>
      </w:pPr>
    </w:p>
    <w:p w14:paraId="6A08BB82" w14:textId="5C7552BD" w:rsidR="008C3ABE" w:rsidRDefault="00704074">
      <w:pPr>
        <w:pBdr>
          <w:top w:val="nil"/>
          <w:left w:val="nil"/>
          <w:bottom w:val="nil"/>
          <w:right w:val="nil"/>
          <w:between w:val="nil"/>
        </w:pBdr>
        <w:jc w:val="both"/>
        <w:rPr>
          <w:rFonts w:ascii="Roboto" w:eastAsia="Roboto" w:hAnsi="Roboto" w:cs="Roboto"/>
          <w:b/>
          <w:bCs/>
          <w:color w:val="000000"/>
          <w:sz w:val="20"/>
          <w:szCs w:val="20"/>
        </w:rPr>
      </w:pPr>
      <w:r>
        <w:rPr>
          <w:rFonts w:ascii="Roboto" w:eastAsia="Roboto" w:hAnsi="Roboto" w:cs="Roboto"/>
          <w:b/>
          <w:bCs/>
          <w:color w:val="000000"/>
          <w:sz w:val="20"/>
          <w:szCs w:val="20"/>
        </w:rPr>
        <w:t>RESULTADOS</w:t>
      </w:r>
    </w:p>
    <w:p w14:paraId="23E03129" w14:textId="1E74B6A8" w:rsidR="00CA6BA6" w:rsidRPr="00CA6BA6" w:rsidRDefault="00F731E7" w:rsidP="00CA6BA6">
      <w:pPr>
        <w:keepNext/>
        <w:jc w:val="both"/>
        <w:rPr>
          <w:rFonts w:ascii="Roboto" w:eastAsia="Roboto" w:hAnsi="Roboto" w:cs="Roboto"/>
          <w:color w:val="000000"/>
          <w:sz w:val="20"/>
          <w:szCs w:val="20"/>
        </w:rPr>
      </w:pPr>
      <w:r>
        <w:rPr>
          <w:rFonts w:ascii="Roboto" w:eastAsia="Roboto" w:hAnsi="Roboto" w:cs="Roboto"/>
          <w:color w:val="000000"/>
          <w:sz w:val="20"/>
          <w:szCs w:val="20"/>
        </w:rPr>
        <w:t xml:space="preserve">La Tabla 1 muestra el perfil de las personas participantes, mientras que la Tabla 2 concentra ls resultados relacionados con cada categoría analítica. </w:t>
      </w:r>
      <w:r w:rsidR="00CA6BA6" w:rsidRPr="00CA6BA6">
        <w:rPr>
          <w:rFonts w:ascii="Roboto" w:eastAsia="Roboto" w:hAnsi="Roboto" w:cs="Roboto"/>
          <w:color w:val="000000"/>
          <w:sz w:val="20"/>
          <w:szCs w:val="20"/>
        </w:rPr>
        <w:t>Los hallazgos muestran diferencias en el significado atribuido al entorno alimentario universitario.</w:t>
      </w:r>
      <w:r w:rsidR="00695B72">
        <w:rPr>
          <w:rFonts w:ascii="Roboto" w:eastAsia="Roboto" w:hAnsi="Roboto" w:cs="Roboto"/>
          <w:color w:val="000000"/>
          <w:sz w:val="20"/>
          <w:szCs w:val="20"/>
        </w:rPr>
        <w:t xml:space="preserve"> </w:t>
      </w:r>
      <w:r w:rsidR="00CA6BA6" w:rsidRPr="00CA6BA6">
        <w:rPr>
          <w:rFonts w:ascii="Roboto" w:eastAsia="Roboto" w:hAnsi="Roboto" w:cs="Roboto"/>
          <w:color w:val="000000"/>
          <w:sz w:val="20"/>
          <w:szCs w:val="20"/>
        </w:rPr>
        <w:t xml:space="preserve">En estudiantes locales, la alimentación dentro del campus se configura predominantemente como una práctica funcional. Las cafeterías son utilizadas como recursos de emergencia ante la falta de alternativas, privilegiando </w:t>
      </w:r>
      <w:r w:rsidR="00695B72">
        <w:rPr>
          <w:rFonts w:ascii="Roboto" w:eastAsia="Roboto" w:hAnsi="Roboto" w:cs="Roboto"/>
          <w:color w:val="000000"/>
          <w:sz w:val="20"/>
          <w:szCs w:val="20"/>
        </w:rPr>
        <w:t xml:space="preserve">la elección de </w:t>
      </w:r>
      <w:r w:rsidR="00CA6BA6" w:rsidRPr="00CA6BA6">
        <w:rPr>
          <w:rFonts w:ascii="Roboto" w:eastAsia="Roboto" w:hAnsi="Roboto" w:cs="Roboto"/>
          <w:i/>
          <w:iCs/>
          <w:color w:val="000000"/>
          <w:sz w:val="20"/>
          <w:szCs w:val="20"/>
        </w:rPr>
        <w:t>snacks</w:t>
      </w:r>
      <w:r w:rsidR="00CA6BA6" w:rsidRPr="00CA6BA6">
        <w:rPr>
          <w:rFonts w:ascii="Roboto" w:eastAsia="Roboto" w:hAnsi="Roboto" w:cs="Roboto"/>
          <w:color w:val="000000"/>
          <w:sz w:val="20"/>
          <w:szCs w:val="20"/>
        </w:rPr>
        <w:t xml:space="preserve"> y alimentos rápidos</w:t>
      </w:r>
      <w:r w:rsidR="00695B72">
        <w:rPr>
          <w:rFonts w:ascii="Roboto" w:eastAsia="Roboto" w:hAnsi="Roboto" w:cs="Roboto"/>
          <w:color w:val="000000"/>
          <w:sz w:val="20"/>
          <w:szCs w:val="20"/>
        </w:rPr>
        <w:t xml:space="preserve">. Sin embargo, este consumo se asocia con </w:t>
      </w:r>
      <w:r w:rsidR="00CA6BA6" w:rsidRPr="00CA6BA6">
        <w:rPr>
          <w:rFonts w:ascii="Roboto" w:eastAsia="Roboto" w:hAnsi="Roboto" w:cs="Roboto"/>
          <w:color w:val="000000"/>
          <w:sz w:val="20"/>
          <w:szCs w:val="20"/>
        </w:rPr>
        <w:t>normativ</w:t>
      </w:r>
      <w:r w:rsidR="00695B72">
        <w:rPr>
          <w:rFonts w:ascii="Roboto" w:eastAsia="Roboto" w:hAnsi="Roboto" w:cs="Roboto"/>
          <w:color w:val="000000"/>
          <w:sz w:val="20"/>
          <w:szCs w:val="20"/>
        </w:rPr>
        <w:t xml:space="preserve">a dietéticas </w:t>
      </w:r>
      <w:r w:rsidR="00CA6BA6" w:rsidRPr="00CA6BA6">
        <w:rPr>
          <w:rFonts w:ascii="Roboto" w:eastAsia="Roboto" w:hAnsi="Roboto" w:cs="Roboto"/>
          <w:color w:val="000000"/>
          <w:sz w:val="20"/>
          <w:szCs w:val="20"/>
        </w:rPr>
        <w:t>sobre lo que “debe” o “no debe” consumirse</w:t>
      </w:r>
      <w:r w:rsidR="00695B72">
        <w:rPr>
          <w:rFonts w:ascii="Roboto" w:eastAsia="Roboto" w:hAnsi="Roboto" w:cs="Roboto"/>
          <w:color w:val="000000"/>
          <w:sz w:val="20"/>
          <w:szCs w:val="20"/>
        </w:rPr>
        <w:t>, generando una culpabilización artificial</w:t>
      </w:r>
      <w:r w:rsidR="00CA6BA6" w:rsidRPr="00CA6BA6">
        <w:rPr>
          <w:rFonts w:ascii="Roboto" w:eastAsia="Roboto" w:hAnsi="Roboto" w:cs="Roboto"/>
          <w:color w:val="000000"/>
          <w:sz w:val="20"/>
          <w:szCs w:val="20"/>
        </w:rPr>
        <w:t>. En este grupo, el entorno alimentario no emerge como espacio de convivencia ni como estructurador de la experiencia universitaria.</w:t>
      </w:r>
      <w:r w:rsidR="00641D54">
        <w:rPr>
          <w:rFonts w:ascii="Roboto" w:eastAsia="Roboto" w:hAnsi="Roboto" w:cs="Roboto"/>
          <w:color w:val="000000"/>
          <w:sz w:val="20"/>
          <w:szCs w:val="20"/>
        </w:rPr>
        <w:t xml:space="preserve"> </w:t>
      </w:r>
      <w:r w:rsidR="00CA6BA6" w:rsidRPr="00CA6BA6">
        <w:rPr>
          <w:rFonts w:ascii="Roboto" w:eastAsia="Roboto" w:hAnsi="Roboto" w:cs="Roboto"/>
          <w:color w:val="000000"/>
          <w:sz w:val="20"/>
          <w:szCs w:val="20"/>
        </w:rPr>
        <w:t xml:space="preserve">Este patrón </w:t>
      </w:r>
      <w:r w:rsidR="00524DFB">
        <w:rPr>
          <w:rFonts w:ascii="Roboto" w:eastAsia="Roboto" w:hAnsi="Roboto" w:cs="Roboto"/>
          <w:color w:val="000000"/>
          <w:sz w:val="20"/>
          <w:szCs w:val="20"/>
        </w:rPr>
        <w:t xml:space="preserve">representa una fragmentación de la ritualidad alimentaria, al igual que en otros </w:t>
      </w:r>
      <w:r w:rsidR="00CA6BA6" w:rsidRPr="00CA6BA6">
        <w:rPr>
          <w:rFonts w:ascii="Roboto" w:eastAsia="Roboto" w:hAnsi="Roboto" w:cs="Roboto"/>
          <w:color w:val="000000"/>
          <w:sz w:val="20"/>
          <w:szCs w:val="20"/>
        </w:rPr>
        <w:t>contextos contemporáneos (Poulain, 2002)</w:t>
      </w:r>
      <w:r w:rsidR="00524DFB">
        <w:rPr>
          <w:rFonts w:ascii="Roboto" w:eastAsia="Roboto" w:hAnsi="Roboto" w:cs="Roboto"/>
          <w:color w:val="000000"/>
          <w:sz w:val="20"/>
          <w:szCs w:val="20"/>
        </w:rPr>
        <w:t>:</w:t>
      </w:r>
      <w:r w:rsidR="00CA6BA6" w:rsidRPr="00CA6BA6">
        <w:rPr>
          <w:rFonts w:ascii="Roboto" w:eastAsia="Roboto" w:hAnsi="Roboto" w:cs="Roboto"/>
          <w:color w:val="000000"/>
          <w:sz w:val="20"/>
          <w:szCs w:val="20"/>
        </w:rPr>
        <w:t xml:space="preserve"> </w:t>
      </w:r>
      <w:r w:rsidR="00524DFB">
        <w:rPr>
          <w:rFonts w:ascii="Roboto" w:eastAsia="Roboto" w:hAnsi="Roboto" w:cs="Roboto"/>
          <w:color w:val="000000"/>
          <w:sz w:val="20"/>
          <w:szCs w:val="20"/>
        </w:rPr>
        <w:t>l</w:t>
      </w:r>
      <w:r w:rsidR="00CA6BA6" w:rsidRPr="00CA6BA6">
        <w:rPr>
          <w:rFonts w:ascii="Roboto" w:eastAsia="Roboto" w:hAnsi="Roboto" w:cs="Roboto"/>
          <w:color w:val="000000"/>
          <w:sz w:val="20"/>
          <w:szCs w:val="20"/>
        </w:rPr>
        <w:t>a comida deja de operar como práctica social y se desplaza hacia una lógica individualizada de resolución de necesidades.</w:t>
      </w:r>
    </w:p>
    <w:p w14:paraId="0052E458" w14:textId="288DE49C" w:rsidR="00CA6BA6" w:rsidRPr="00CA6BA6" w:rsidRDefault="00CA6BA6" w:rsidP="00CA6BA6">
      <w:pPr>
        <w:keepNext/>
        <w:jc w:val="both"/>
        <w:rPr>
          <w:rFonts w:ascii="Roboto" w:eastAsia="Roboto" w:hAnsi="Roboto" w:cs="Roboto"/>
          <w:color w:val="000000"/>
          <w:sz w:val="20"/>
          <w:szCs w:val="20"/>
        </w:rPr>
      </w:pPr>
      <w:r w:rsidRPr="00CA6BA6">
        <w:rPr>
          <w:rFonts w:ascii="Roboto" w:eastAsia="Roboto" w:hAnsi="Roboto" w:cs="Roboto"/>
          <w:color w:val="000000"/>
          <w:sz w:val="20"/>
          <w:szCs w:val="20"/>
        </w:rPr>
        <w:t xml:space="preserve">En contraste, para estudiantes foráneos, la universidad se presenta como un entorno de vida donde la alimentación cumple funciones de adaptación </w:t>
      </w:r>
      <w:r w:rsidRPr="00CA6BA6">
        <w:rPr>
          <w:rFonts w:ascii="Roboto" w:eastAsia="Roboto" w:hAnsi="Roboto" w:cs="Roboto"/>
          <w:color w:val="000000"/>
          <w:sz w:val="20"/>
          <w:szCs w:val="20"/>
        </w:rPr>
        <w:lastRenderedPageBreak/>
        <w:t>cotidiana. Comer dentro del campus sustituye prácticas domésticas, organiza la rutina y favorece la permanencia en el espacio, contribuyendo a procesos de instalación en el nuevo contexto.</w:t>
      </w:r>
      <w:r w:rsidR="00406111">
        <w:rPr>
          <w:rFonts w:ascii="Roboto" w:eastAsia="Roboto" w:hAnsi="Roboto" w:cs="Roboto"/>
          <w:color w:val="000000"/>
          <w:sz w:val="20"/>
          <w:szCs w:val="20"/>
        </w:rPr>
        <w:t xml:space="preserve"> L</w:t>
      </w:r>
      <w:r w:rsidRPr="00CA6BA6">
        <w:rPr>
          <w:rFonts w:ascii="Roboto" w:eastAsia="Roboto" w:hAnsi="Roboto" w:cs="Roboto"/>
          <w:color w:val="000000"/>
          <w:sz w:val="20"/>
          <w:szCs w:val="20"/>
        </w:rPr>
        <w:t>a comensalidad adquiere un carácter mediador que facilita la construcción de vínculos y formas de pertenencia, en consonancia con la idea de que las prácticas alimentarias participan en la formación de identidades sociales (Fischler, 1988; Mintz &amp; Du Bois, 2002</w:t>
      </w:r>
      <w:r w:rsidR="00F731E7">
        <w:rPr>
          <w:rFonts w:ascii="Roboto" w:eastAsia="Roboto" w:hAnsi="Roboto" w:cs="Roboto"/>
          <w:color w:val="000000"/>
          <w:sz w:val="20"/>
          <w:szCs w:val="20"/>
        </w:rPr>
        <w:t xml:space="preserve">; </w:t>
      </w:r>
      <w:r w:rsidR="00F731E7" w:rsidRPr="00F731E7">
        <w:rPr>
          <w:rFonts w:ascii="Roboto" w:eastAsia="Roboto" w:hAnsi="Roboto" w:cs="Roboto"/>
          <w:color w:val="000000"/>
          <w:sz w:val="20"/>
          <w:szCs w:val="20"/>
        </w:rPr>
        <w:t>Herrán, Parra y Varela, 2025</w:t>
      </w:r>
      <w:r w:rsidR="00F731E7">
        <w:rPr>
          <w:rFonts w:ascii="Roboto" w:eastAsia="Roboto" w:hAnsi="Roboto" w:cs="Roboto"/>
          <w:color w:val="000000"/>
          <w:sz w:val="20"/>
          <w:szCs w:val="20"/>
        </w:rPr>
        <w:t>)</w:t>
      </w:r>
    </w:p>
    <w:p w14:paraId="2526409A" w14:textId="4A9ADD7E" w:rsidR="00F731E7" w:rsidRPr="00F731E7" w:rsidRDefault="00641D54" w:rsidP="00F731E7">
      <w:pPr>
        <w:keepNext/>
        <w:jc w:val="both"/>
        <w:rPr>
          <w:rFonts w:ascii="Roboto" w:eastAsia="Roboto" w:hAnsi="Roboto" w:cs="Roboto"/>
          <w:color w:val="000000"/>
          <w:sz w:val="20"/>
          <w:szCs w:val="20"/>
        </w:rPr>
      </w:pPr>
      <w:r>
        <w:rPr>
          <w:rFonts w:ascii="Roboto" w:eastAsia="Roboto" w:hAnsi="Roboto" w:cs="Roboto"/>
          <w:color w:val="000000"/>
          <w:sz w:val="20"/>
          <w:szCs w:val="20"/>
        </w:rPr>
        <w:t>Las</w:t>
      </w:r>
      <w:r w:rsidR="00CA6BA6" w:rsidRPr="00CA6BA6">
        <w:rPr>
          <w:rFonts w:ascii="Roboto" w:eastAsia="Roboto" w:hAnsi="Roboto" w:cs="Roboto"/>
          <w:color w:val="000000"/>
          <w:sz w:val="20"/>
          <w:szCs w:val="20"/>
        </w:rPr>
        <w:t xml:space="preserve"> diferencias</w:t>
      </w:r>
      <w:r>
        <w:rPr>
          <w:rFonts w:ascii="Roboto" w:eastAsia="Roboto" w:hAnsi="Roboto" w:cs="Roboto"/>
          <w:color w:val="000000"/>
          <w:sz w:val="20"/>
          <w:szCs w:val="20"/>
        </w:rPr>
        <w:t xml:space="preserve"> entre los grupos de estudiantes</w:t>
      </w:r>
      <w:r w:rsidR="00CA6BA6" w:rsidRPr="00CA6BA6">
        <w:rPr>
          <w:rFonts w:ascii="Roboto" w:eastAsia="Roboto" w:hAnsi="Roboto" w:cs="Roboto"/>
          <w:color w:val="000000"/>
          <w:sz w:val="20"/>
          <w:szCs w:val="20"/>
        </w:rPr>
        <w:t xml:space="preserve"> sugieren que el entorno alimentario puede operar de manera diferenciada según la posición de quienes lo utilizan</w:t>
      </w:r>
      <w:r w:rsidR="00F731E7">
        <w:rPr>
          <w:rFonts w:ascii="Roboto" w:eastAsia="Roboto" w:hAnsi="Roboto" w:cs="Roboto"/>
          <w:color w:val="000000"/>
          <w:sz w:val="20"/>
          <w:szCs w:val="20"/>
        </w:rPr>
        <w:t xml:space="preserve"> (</w:t>
      </w:r>
      <w:r w:rsidR="00F731E7" w:rsidRPr="00F731E7">
        <w:rPr>
          <w:rFonts w:ascii="Roboto" w:eastAsia="Roboto" w:hAnsi="Roboto" w:cs="Roboto"/>
          <w:color w:val="000000"/>
          <w:sz w:val="20"/>
          <w:szCs w:val="20"/>
        </w:rPr>
        <w:t>Ambrosi &amp; Grisotti, 2025</w:t>
      </w:r>
      <w:r w:rsidR="00F731E7" w:rsidRPr="00CA6BA6">
        <w:rPr>
          <w:rFonts w:ascii="Roboto" w:eastAsia="Roboto" w:hAnsi="Roboto" w:cs="Roboto"/>
          <w:color w:val="000000"/>
          <w:sz w:val="20"/>
          <w:szCs w:val="20"/>
        </w:rPr>
        <w:t>)</w:t>
      </w:r>
      <w:r w:rsidR="00CA6BA6" w:rsidRPr="00CA6BA6">
        <w:rPr>
          <w:rFonts w:ascii="Roboto" w:eastAsia="Roboto" w:hAnsi="Roboto" w:cs="Roboto"/>
          <w:color w:val="000000"/>
          <w:sz w:val="20"/>
          <w:szCs w:val="20"/>
        </w:rPr>
        <w:t xml:space="preserve">: como servicio en el caso de estudiantes locales, y como soporte de vida cotidiana en el caso de estudiantes foráneos. </w:t>
      </w:r>
      <w:r w:rsidR="00695B72">
        <w:rPr>
          <w:rFonts w:ascii="Roboto" w:eastAsia="Roboto" w:hAnsi="Roboto" w:cs="Roboto"/>
          <w:color w:val="000000"/>
          <w:sz w:val="20"/>
          <w:szCs w:val="20"/>
        </w:rPr>
        <w:t xml:space="preserve">Este hallazgo representa un considerable reto para promover la salud, pues </w:t>
      </w:r>
      <w:r w:rsidR="00CA6BA6" w:rsidRPr="00CA6BA6">
        <w:rPr>
          <w:rFonts w:ascii="Roboto" w:eastAsia="Roboto" w:hAnsi="Roboto" w:cs="Roboto"/>
          <w:color w:val="000000"/>
          <w:sz w:val="20"/>
          <w:szCs w:val="20"/>
        </w:rPr>
        <w:t xml:space="preserve">refuerza la necesidad de considerar el desarrollo del sentido de comunidad como un elemento clave en la configuración de entornos </w:t>
      </w:r>
      <w:r w:rsidR="00695B72">
        <w:rPr>
          <w:rFonts w:ascii="Roboto" w:eastAsia="Roboto" w:hAnsi="Roboto" w:cs="Roboto"/>
          <w:color w:val="000000"/>
          <w:sz w:val="20"/>
          <w:szCs w:val="20"/>
        </w:rPr>
        <w:t>salutogénicos</w:t>
      </w:r>
      <w:r w:rsidR="00CA6BA6" w:rsidRPr="00CA6BA6">
        <w:rPr>
          <w:rFonts w:ascii="Roboto" w:eastAsia="Roboto" w:hAnsi="Roboto" w:cs="Roboto"/>
          <w:color w:val="000000"/>
          <w:sz w:val="20"/>
          <w:szCs w:val="20"/>
        </w:rPr>
        <w:t xml:space="preserve"> (Pérez-Wilson et al., 2019</w:t>
      </w:r>
      <w:r w:rsidR="00F731E7">
        <w:rPr>
          <w:rFonts w:ascii="Roboto" w:eastAsia="Roboto" w:hAnsi="Roboto" w:cs="Roboto"/>
          <w:color w:val="000000"/>
          <w:sz w:val="20"/>
          <w:szCs w:val="20"/>
        </w:rPr>
        <w:t>)</w:t>
      </w:r>
    </w:p>
    <w:p w14:paraId="4C1CBA73" w14:textId="77777777" w:rsidR="008C3ABE" w:rsidRDefault="008C3ABE">
      <w:pPr>
        <w:keepNext/>
        <w:jc w:val="both"/>
        <w:rPr>
          <w:rFonts w:ascii="Roboto" w:eastAsia="Roboto" w:hAnsi="Roboto" w:cs="Roboto"/>
          <w:b/>
          <w:bCs/>
          <w:sz w:val="20"/>
          <w:szCs w:val="20"/>
        </w:rPr>
      </w:pPr>
    </w:p>
    <w:p w14:paraId="0529AC31" w14:textId="5ADADD01" w:rsidR="008C3ABE" w:rsidRDefault="00000000">
      <w:pPr>
        <w:keepNext/>
        <w:jc w:val="both"/>
        <w:rPr>
          <w:rFonts w:ascii="Roboto" w:eastAsia="Roboto" w:hAnsi="Roboto" w:cs="Roboto"/>
          <w:sz w:val="20"/>
          <w:szCs w:val="20"/>
        </w:rPr>
      </w:pPr>
      <w:r>
        <w:rPr>
          <w:rFonts w:ascii="Roboto" w:eastAsia="Roboto" w:hAnsi="Roboto" w:cs="Roboto"/>
          <w:b/>
          <w:bCs/>
          <w:sz w:val="20"/>
          <w:szCs w:val="20"/>
        </w:rPr>
        <w:t>Tabla 1.</w:t>
      </w:r>
      <w:r>
        <w:rPr>
          <w:rFonts w:ascii="Roboto" w:eastAsia="Roboto" w:hAnsi="Roboto" w:cs="Roboto"/>
          <w:sz w:val="20"/>
          <w:szCs w:val="20"/>
        </w:rPr>
        <w:t xml:space="preserve"> </w:t>
      </w:r>
      <w:r w:rsidR="00CA6BA6" w:rsidRPr="00CA6BA6">
        <w:rPr>
          <w:rFonts w:ascii="Roboto" w:eastAsia="Roboto" w:hAnsi="Roboto" w:cs="Roboto"/>
          <w:sz w:val="20"/>
          <w:szCs w:val="20"/>
        </w:rPr>
        <w:t xml:space="preserve">Perfil de </w:t>
      </w:r>
      <w:r w:rsidR="00CA6BA6">
        <w:rPr>
          <w:rFonts w:ascii="Roboto" w:eastAsia="Roboto" w:hAnsi="Roboto" w:cs="Roboto"/>
          <w:sz w:val="20"/>
          <w:szCs w:val="20"/>
        </w:rPr>
        <w:t>interlocutores</w:t>
      </w:r>
      <w:r w:rsidR="00CA6BA6" w:rsidRPr="00CA6BA6">
        <w:rPr>
          <w:rFonts w:ascii="Roboto" w:eastAsia="Roboto" w:hAnsi="Roboto" w:cs="Roboto"/>
          <w:sz w:val="20"/>
          <w:szCs w:val="20"/>
        </w:rPr>
        <w:t xml:space="preserve"> y sentido de pertenencia percibido en la Universidad Anáhuac Mayab, 2026</w:t>
      </w:r>
    </w:p>
    <w:tbl>
      <w:tblPr>
        <w:tblStyle w:val="Tablaconcuadrcula"/>
        <w:tblW w:w="5000" w:type="pct"/>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636"/>
        <w:gridCol w:w="941"/>
        <w:gridCol w:w="956"/>
        <w:gridCol w:w="1359"/>
        <w:gridCol w:w="850"/>
      </w:tblGrid>
      <w:tr w:rsidR="00F731E7" w:rsidRPr="00CA6BA6" w14:paraId="051BA567" w14:textId="77777777" w:rsidTr="00F731E7">
        <w:tc>
          <w:tcPr>
            <w:tcW w:w="671" w:type="pct"/>
            <w:tcBorders>
              <w:bottom w:val="single" w:sz="4" w:space="0" w:color="auto"/>
            </w:tcBorders>
          </w:tcPr>
          <w:p w14:paraId="6967D144" w14:textId="76D94C8D" w:rsidR="00F731E7" w:rsidRPr="00CA6BA6" w:rsidRDefault="00F731E7">
            <w:pPr>
              <w:keepNext/>
              <w:jc w:val="both"/>
              <w:rPr>
                <w:rFonts w:ascii="Roboto" w:eastAsia="Roboto" w:hAnsi="Roboto" w:cs="Roboto"/>
                <w:b/>
                <w:bCs/>
                <w:sz w:val="18"/>
                <w:szCs w:val="18"/>
              </w:rPr>
            </w:pPr>
            <w:r w:rsidRPr="00CA6BA6">
              <w:rPr>
                <w:rFonts w:ascii="Roboto" w:eastAsia="Roboto" w:hAnsi="Roboto" w:cs="Roboto"/>
                <w:b/>
                <w:bCs/>
                <w:sz w:val="18"/>
                <w:szCs w:val="18"/>
              </w:rPr>
              <w:t>#</w:t>
            </w:r>
          </w:p>
        </w:tc>
        <w:tc>
          <w:tcPr>
            <w:tcW w:w="992" w:type="pct"/>
            <w:tcBorders>
              <w:bottom w:val="single" w:sz="4" w:space="0" w:color="auto"/>
            </w:tcBorders>
          </w:tcPr>
          <w:p w14:paraId="4ED40C99" w14:textId="701EFC79" w:rsidR="00F731E7" w:rsidRPr="00CA6BA6" w:rsidRDefault="00F731E7">
            <w:pPr>
              <w:keepNext/>
              <w:jc w:val="both"/>
              <w:rPr>
                <w:rFonts w:ascii="Roboto" w:eastAsia="Roboto" w:hAnsi="Roboto" w:cs="Roboto"/>
                <w:b/>
                <w:bCs/>
                <w:sz w:val="18"/>
                <w:szCs w:val="18"/>
              </w:rPr>
            </w:pPr>
            <w:r w:rsidRPr="00CA6BA6">
              <w:rPr>
                <w:rFonts w:ascii="Roboto" w:eastAsia="Roboto" w:hAnsi="Roboto" w:cs="Roboto"/>
                <w:b/>
                <w:bCs/>
                <w:sz w:val="18"/>
                <w:szCs w:val="18"/>
              </w:rPr>
              <w:t>Sexo</w:t>
            </w:r>
          </w:p>
        </w:tc>
        <w:tc>
          <w:tcPr>
            <w:tcW w:w="1008" w:type="pct"/>
            <w:tcBorders>
              <w:bottom w:val="single" w:sz="4" w:space="0" w:color="auto"/>
            </w:tcBorders>
          </w:tcPr>
          <w:p w14:paraId="37F41CD4" w14:textId="4B1A2B82" w:rsidR="00F731E7" w:rsidRPr="00CA6BA6" w:rsidRDefault="00F731E7">
            <w:pPr>
              <w:keepNext/>
              <w:jc w:val="both"/>
              <w:rPr>
                <w:rFonts w:ascii="Roboto" w:eastAsia="Roboto" w:hAnsi="Roboto" w:cs="Roboto"/>
                <w:b/>
                <w:bCs/>
                <w:sz w:val="18"/>
                <w:szCs w:val="18"/>
              </w:rPr>
            </w:pPr>
            <w:r w:rsidRPr="00CA6BA6">
              <w:rPr>
                <w:rFonts w:ascii="Roboto" w:eastAsia="Roboto" w:hAnsi="Roboto" w:cs="Roboto"/>
                <w:b/>
                <w:bCs/>
                <w:sz w:val="18"/>
                <w:szCs w:val="18"/>
              </w:rPr>
              <w:t>Edad</w:t>
            </w:r>
          </w:p>
        </w:tc>
        <w:tc>
          <w:tcPr>
            <w:tcW w:w="1433" w:type="pct"/>
            <w:tcBorders>
              <w:bottom w:val="single" w:sz="4" w:space="0" w:color="auto"/>
            </w:tcBorders>
          </w:tcPr>
          <w:p w14:paraId="240AB24B" w14:textId="659F350D" w:rsidR="00F731E7" w:rsidRPr="00CA6BA6" w:rsidRDefault="00F731E7">
            <w:pPr>
              <w:keepNext/>
              <w:jc w:val="both"/>
              <w:rPr>
                <w:rFonts w:ascii="Roboto" w:eastAsia="Roboto" w:hAnsi="Roboto" w:cs="Roboto"/>
                <w:b/>
                <w:bCs/>
                <w:sz w:val="18"/>
                <w:szCs w:val="18"/>
              </w:rPr>
            </w:pPr>
            <w:r w:rsidRPr="00CA6BA6">
              <w:rPr>
                <w:rFonts w:ascii="Roboto" w:eastAsia="Roboto" w:hAnsi="Roboto" w:cs="Roboto"/>
                <w:b/>
                <w:bCs/>
                <w:sz w:val="18"/>
                <w:szCs w:val="18"/>
              </w:rPr>
              <w:t>Foráneo</w:t>
            </w:r>
          </w:p>
        </w:tc>
        <w:tc>
          <w:tcPr>
            <w:tcW w:w="896" w:type="pct"/>
            <w:tcBorders>
              <w:bottom w:val="single" w:sz="4" w:space="0" w:color="auto"/>
            </w:tcBorders>
          </w:tcPr>
          <w:p w14:paraId="4966BADE" w14:textId="39D71B30" w:rsidR="00F731E7" w:rsidRPr="00CA6BA6" w:rsidRDefault="00F731E7">
            <w:pPr>
              <w:keepNext/>
              <w:jc w:val="both"/>
              <w:rPr>
                <w:rFonts w:ascii="Roboto" w:eastAsia="Roboto" w:hAnsi="Roboto" w:cs="Roboto"/>
                <w:b/>
                <w:bCs/>
                <w:sz w:val="18"/>
                <w:szCs w:val="18"/>
              </w:rPr>
            </w:pPr>
            <w:r w:rsidRPr="00CA6BA6">
              <w:rPr>
                <w:rFonts w:ascii="Roboto" w:eastAsia="Roboto" w:hAnsi="Roboto" w:cs="Roboto"/>
                <w:b/>
                <w:bCs/>
                <w:sz w:val="18"/>
                <w:szCs w:val="18"/>
              </w:rPr>
              <w:t>SPU</w:t>
            </w:r>
            <w:r>
              <w:rPr>
                <w:rFonts w:ascii="Roboto" w:eastAsia="Roboto" w:hAnsi="Roboto" w:cs="Roboto"/>
                <w:b/>
                <w:bCs/>
                <w:sz w:val="18"/>
                <w:szCs w:val="18"/>
              </w:rPr>
              <w:t>*</w:t>
            </w:r>
          </w:p>
        </w:tc>
      </w:tr>
      <w:tr w:rsidR="00F731E7" w:rsidRPr="00CA6BA6" w14:paraId="1D62ABEF" w14:textId="77777777" w:rsidTr="00F731E7">
        <w:tc>
          <w:tcPr>
            <w:tcW w:w="671" w:type="pct"/>
            <w:tcBorders>
              <w:top w:val="single" w:sz="4" w:space="0" w:color="auto"/>
              <w:bottom w:val="nil"/>
            </w:tcBorders>
          </w:tcPr>
          <w:p w14:paraId="10A5103A" w14:textId="195D454F"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1</w:t>
            </w:r>
          </w:p>
        </w:tc>
        <w:tc>
          <w:tcPr>
            <w:tcW w:w="992" w:type="pct"/>
            <w:tcBorders>
              <w:top w:val="single" w:sz="4" w:space="0" w:color="auto"/>
              <w:bottom w:val="nil"/>
            </w:tcBorders>
          </w:tcPr>
          <w:p w14:paraId="276C3034" w14:textId="3135D571"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single" w:sz="4" w:space="0" w:color="auto"/>
              <w:bottom w:val="nil"/>
            </w:tcBorders>
            <w:vAlign w:val="center"/>
          </w:tcPr>
          <w:p w14:paraId="7C81F807" w14:textId="6C31B93E"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ND</w:t>
            </w:r>
          </w:p>
        </w:tc>
        <w:tc>
          <w:tcPr>
            <w:tcW w:w="1433" w:type="pct"/>
            <w:tcBorders>
              <w:top w:val="single" w:sz="4" w:space="0" w:color="auto"/>
              <w:bottom w:val="nil"/>
            </w:tcBorders>
            <w:vAlign w:val="center"/>
          </w:tcPr>
          <w:p w14:paraId="447176A6" w14:textId="3FFEA4AC"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single" w:sz="4" w:space="0" w:color="auto"/>
              <w:bottom w:val="nil"/>
            </w:tcBorders>
            <w:vAlign w:val="center"/>
          </w:tcPr>
          <w:p w14:paraId="4FE19D77" w14:textId="3CBE6147"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3</w:t>
            </w:r>
          </w:p>
        </w:tc>
      </w:tr>
      <w:tr w:rsidR="00F731E7" w:rsidRPr="00CA6BA6" w14:paraId="2D440AEC" w14:textId="77777777" w:rsidTr="00F731E7">
        <w:tc>
          <w:tcPr>
            <w:tcW w:w="671" w:type="pct"/>
            <w:tcBorders>
              <w:top w:val="nil"/>
              <w:bottom w:val="nil"/>
            </w:tcBorders>
          </w:tcPr>
          <w:p w14:paraId="6D6AB129" w14:textId="2A38A84A"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2</w:t>
            </w:r>
          </w:p>
        </w:tc>
        <w:tc>
          <w:tcPr>
            <w:tcW w:w="992" w:type="pct"/>
            <w:tcBorders>
              <w:top w:val="nil"/>
              <w:bottom w:val="nil"/>
            </w:tcBorders>
          </w:tcPr>
          <w:p w14:paraId="311B5AB8" w14:textId="794A2B89"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0174232F" w14:textId="2C9D27EC"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5CB9A8B7" w14:textId="6EA6AFC4"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598A64A6" w14:textId="0BB1DD47"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3</w:t>
            </w:r>
          </w:p>
        </w:tc>
      </w:tr>
      <w:tr w:rsidR="00F731E7" w:rsidRPr="00CA6BA6" w14:paraId="74C0B5BF" w14:textId="77777777" w:rsidTr="00F731E7">
        <w:tc>
          <w:tcPr>
            <w:tcW w:w="671" w:type="pct"/>
            <w:tcBorders>
              <w:top w:val="nil"/>
              <w:bottom w:val="nil"/>
            </w:tcBorders>
          </w:tcPr>
          <w:p w14:paraId="2663D8AD" w14:textId="5A9CE863"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3</w:t>
            </w:r>
          </w:p>
        </w:tc>
        <w:tc>
          <w:tcPr>
            <w:tcW w:w="992" w:type="pct"/>
            <w:tcBorders>
              <w:top w:val="nil"/>
              <w:bottom w:val="nil"/>
            </w:tcBorders>
          </w:tcPr>
          <w:p w14:paraId="5F7C2FA0" w14:textId="2D751EA8"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3A3BF19B" w14:textId="24115563"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18B8FC49" w14:textId="4182B600"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0BB33339" w14:textId="4E8CE33C"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w:t>
            </w:r>
          </w:p>
        </w:tc>
      </w:tr>
      <w:tr w:rsidR="00F731E7" w:rsidRPr="00CA6BA6" w14:paraId="227CB51B" w14:textId="77777777" w:rsidTr="00F731E7">
        <w:tc>
          <w:tcPr>
            <w:tcW w:w="671" w:type="pct"/>
            <w:tcBorders>
              <w:top w:val="nil"/>
              <w:bottom w:val="nil"/>
            </w:tcBorders>
          </w:tcPr>
          <w:p w14:paraId="20094864" w14:textId="508BFF12"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4</w:t>
            </w:r>
          </w:p>
        </w:tc>
        <w:tc>
          <w:tcPr>
            <w:tcW w:w="992" w:type="pct"/>
            <w:tcBorders>
              <w:top w:val="nil"/>
              <w:bottom w:val="nil"/>
            </w:tcBorders>
          </w:tcPr>
          <w:p w14:paraId="1F2ADC4D" w14:textId="0125DE7D"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4A5243BF" w14:textId="480589D6"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37492ECA" w14:textId="0DF64858"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0D94DA05" w14:textId="3C421FC0"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3</w:t>
            </w:r>
          </w:p>
        </w:tc>
      </w:tr>
      <w:tr w:rsidR="00F731E7" w:rsidRPr="00CA6BA6" w14:paraId="2B976856" w14:textId="77777777" w:rsidTr="00F731E7">
        <w:tc>
          <w:tcPr>
            <w:tcW w:w="671" w:type="pct"/>
            <w:tcBorders>
              <w:top w:val="nil"/>
              <w:bottom w:val="nil"/>
            </w:tcBorders>
          </w:tcPr>
          <w:p w14:paraId="253C84A2" w14:textId="25C53EF7"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5</w:t>
            </w:r>
          </w:p>
        </w:tc>
        <w:tc>
          <w:tcPr>
            <w:tcW w:w="992" w:type="pct"/>
            <w:tcBorders>
              <w:top w:val="nil"/>
              <w:bottom w:val="nil"/>
            </w:tcBorders>
          </w:tcPr>
          <w:p w14:paraId="1DB8FAB1" w14:textId="24D51184"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5C7628D9" w14:textId="1785AC8A"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23</w:t>
            </w:r>
          </w:p>
        </w:tc>
        <w:tc>
          <w:tcPr>
            <w:tcW w:w="1433" w:type="pct"/>
            <w:tcBorders>
              <w:top w:val="nil"/>
              <w:bottom w:val="nil"/>
            </w:tcBorders>
            <w:vAlign w:val="center"/>
          </w:tcPr>
          <w:p w14:paraId="646734B2" w14:textId="4FC8E30A"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665D7D29" w14:textId="68BACBC0"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4</w:t>
            </w:r>
          </w:p>
        </w:tc>
      </w:tr>
      <w:tr w:rsidR="00F731E7" w:rsidRPr="00CA6BA6" w14:paraId="78DC1B36" w14:textId="77777777" w:rsidTr="00F731E7">
        <w:tc>
          <w:tcPr>
            <w:tcW w:w="671" w:type="pct"/>
            <w:tcBorders>
              <w:top w:val="nil"/>
              <w:bottom w:val="nil"/>
            </w:tcBorders>
          </w:tcPr>
          <w:p w14:paraId="6A8A67EF" w14:textId="1B0D5303"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6</w:t>
            </w:r>
          </w:p>
        </w:tc>
        <w:tc>
          <w:tcPr>
            <w:tcW w:w="992" w:type="pct"/>
            <w:tcBorders>
              <w:top w:val="nil"/>
              <w:bottom w:val="nil"/>
            </w:tcBorders>
          </w:tcPr>
          <w:p w14:paraId="5AC21A9B" w14:textId="1D0DBFF6"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6383A3E4" w14:textId="7E38DCC8"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69AF254D" w14:textId="61276BC6"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7F36EAD6" w14:textId="405E81C4"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3</w:t>
            </w:r>
          </w:p>
        </w:tc>
      </w:tr>
      <w:tr w:rsidR="00F731E7" w:rsidRPr="00CA6BA6" w14:paraId="227C46B5" w14:textId="77777777" w:rsidTr="00F731E7">
        <w:tc>
          <w:tcPr>
            <w:tcW w:w="671" w:type="pct"/>
            <w:tcBorders>
              <w:top w:val="nil"/>
              <w:bottom w:val="nil"/>
            </w:tcBorders>
          </w:tcPr>
          <w:p w14:paraId="2F0CD00B" w14:textId="63AF00A3"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7</w:t>
            </w:r>
          </w:p>
        </w:tc>
        <w:tc>
          <w:tcPr>
            <w:tcW w:w="992" w:type="pct"/>
            <w:tcBorders>
              <w:top w:val="nil"/>
              <w:bottom w:val="nil"/>
            </w:tcBorders>
          </w:tcPr>
          <w:p w14:paraId="1995FF5B" w14:textId="3389F887"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2A71F2DE" w14:textId="667ADCC4"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5247CE2C" w14:textId="04A51931"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27BD413B" w14:textId="4CC4303C"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3</w:t>
            </w:r>
          </w:p>
        </w:tc>
      </w:tr>
      <w:tr w:rsidR="00F731E7" w:rsidRPr="00CA6BA6" w14:paraId="1F4796A1" w14:textId="77777777" w:rsidTr="00F731E7">
        <w:tc>
          <w:tcPr>
            <w:tcW w:w="671" w:type="pct"/>
            <w:tcBorders>
              <w:top w:val="nil"/>
              <w:bottom w:val="nil"/>
            </w:tcBorders>
          </w:tcPr>
          <w:p w14:paraId="537359A9" w14:textId="186A5FFB"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8</w:t>
            </w:r>
          </w:p>
        </w:tc>
        <w:tc>
          <w:tcPr>
            <w:tcW w:w="992" w:type="pct"/>
            <w:tcBorders>
              <w:top w:val="nil"/>
              <w:bottom w:val="nil"/>
            </w:tcBorders>
          </w:tcPr>
          <w:p w14:paraId="0B43823D" w14:textId="4F101F0F"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37E80978" w14:textId="12742BA4"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73B1A6C5" w14:textId="1D7B59EC"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0157C5B0" w14:textId="20356A55"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3</w:t>
            </w:r>
          </w:p>
        </w:tc>
      </w:tr>
      <w:tr w:rsidR="00F731E7" w:rsidRPr="00CA6BA6" w14:paraId="666F1065" w14:textId="77777777" w:rsidTr="00F731E7">
        <w:tc>
          <w:tcPr>
            <w:tcW w:w="671" w:type="pct"/>
            <w:tcBorders>
              <w:top w:val="nil"/>
              <w:bottom w:val="nil"/>
            </w:tcBorders>
          </w:tcPr>
          <w:p w14:paraId="592913AE" w14:textId="6923B20A"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9</w:t>
            </w:r>
          </w:p>
        </w:tc>
        <w:tc>
          <w:tcPr>
            <w:tcW w:w="992" w:type="pct"/>
            <w:tcBorders>
              <w:top w:val="nil"/>
              <w:bottom w:val="nil"/>
            </w:tcBorders>
          </w:tcPr>
          <w:p w14:paraId="17E4E62F" w14:textId="388453A3"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435F6919" w14:textId="0DBADD4A"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142A58ED" w14:textId="3C3D102D"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37A23F9C" w14:textId="0DA26B43"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4</w:t>
            </w:r>
          </w:p>
        </w:tc>
      </w:tr>
      <w:tr w:rsidR="00F731E7" w:rsidRPr="00CA6BA6" w14:paraId="7A183210" w14:textId="77777777" w:rsidTr="00F731E7">
        <w:tc>
          <w:tcPr>
            <w:tcW w:w="671" w:type="pct"/>
            <w:tcBorders>
              <w:top w:val="nil"/>
              <w:bottom w:val="nil"/>
            </w:tcBorders>
          </w:tcPr>
          <w:p w14:paraId="7B3E20CF" w14:textId="4982A205"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10</w:t>
            </w:r>
          </w:p>
        </w:tc>
        <w:tc>
          <w:tcPr>
            <w:tcW w:w="992" w:type="pct"/>
            <w:tcBorders>
              <w:top w:val="nil"/>
              <w:bottom w:val="nil"/>
            </w:tcBorders>
          </w:tcPr>
          <w:p w14:paraId="197D9C90" w14:textId="47895387"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02EC016E" w14:textId="54C827E3"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21</w:t>
            </w:r>
          </w:p>
        </w:tc>
        <w:tc>
          <w:tcPr>
            <w:tcW w:w="1433" w:type="pct"/>
            <w:tcBorders>
              <w:top w:val="nil"/>
              <w:bottom w:val="nil"/>
            </w:tcBorders>
            <w:vAlign w:val="center"/>
          </w:tcPr>
          <w:p w14:paraId="0FD86095" w14:textId="2AF9A5CF"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No</w:t>
            </w:r>
          </w:p>
        </w:tc>
        <w:tc>
          <w:tcPr>
            <w:tcW w:w="896" w:type="pct"/>
            <w:tcBorders>
              <w:top w:val="nil"/>
              <w:bottom w:val="nil"/>
            </w:tcBorders>
            <w:vAlign w:val="center"/>
          </w:tcPr>
          <w:p w14:paraId="7AFDEA73" w14:textId="465AC014"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4</w:t>
            </w:r>
          </w:p>
        </w:tc>
      </w:tr>
      <w:tr w:rsidR="00F731E7" w:rsidRPr="00CA6BA6" w14:paraId="08F82B28" w14:textId="77777777" w:rsidTr="00F731E7">
        <w:tc>
          <w:tcPr>
            <w:tcW w:w="671" w:type="pct"/>
            <w:tcBorders>
              <w:top w:val="nil"/>
              <w:bottom w:val="nil"/>
            </w:tcBorders>
          </w:tcPr>
          <w:p w14:paraId="217DFE06" w14:textId="7C7334A1"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11</w:t>
            </w:r>
          </w:p>
        </w:tc>
        <w:tc>
          <w:tcPr>
            <w:tcW w:w="992" w:type="pct"/>
            <w:tcBorders>
              <w:top w:val="nil"/>
              <w:bottom w:val="nil"/>
            </w:tcBorders>
          </w:tcPr>
          <w:p w14:paraId="7986DDC7" w14:textId="7A564E89"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M</w:t>
            </w:r>
          </w:p>
        </w:tc>
        <w:tc>
          <w:tcPr>
            <w:tcW w:w="1008" w:type="pct"/>
            <w:tcBorders>
              <w:top w:val="nil"/>
              <w:bottom w:val="nil"/>
            </w:tcBorders>
            <w:vAlign w:val="center"/>
          </w:tcPr>
          <w:p w14:paraId="45F724F0" w14:textId="1DAF1EA9"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19</w:t>
            </w:r>
          </w:p>
        </w:tc>
        <w:tc>
          <w:tcPr>
            <w:tcW w:w="1433" w:type="pct"/>
            <w:tcBorders>
              <w:top w:val="nil"/>
              <w:bottom w:val="nil"/>
            </w:tcBorders>
            <w:vAlign w:val="center"/>
          </w:tcPr>
          <w:p w14:paraId="7991E4AE" w14:textId="22879CDA"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Sí</w:t>
            </w:r>
          </w:p>
        </w:tc>
        <w:tc>
          <w:tcPr>
            <w:tcW w:w="896" w:type="pct"/>
            <w:tcBorders>
              <w:top w:val="nil"/>
              <w:bottom w:val="nil"/>
            </w:tcBorders>
            <w:vAlign w:val="center"/>
          </w:tcPr>
          <w:p w14:paraId="6CFEE084" w14:textId="47992C04"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4</w:t>
            </w:r>
          </w:p>
        </w:tc>
      </w:tr>
      <w:tr w:rsidR="00F731E7" w:rsidRPr="00CA6BA6" w14:paraId="5BB3F6A0" w14:textId="77777777" w:rsidTr="00F731E7">
        <w:tc>
          <w:tcPr>
            <w:tcW w:w="671" w:type="pct"/>
            <w:tcBorders>
              <w:top w:val="nil"/>
              <w:bottom w:val="nil"/>
            </w:tcBorders>
          </w:tcPr>
          <w:p w14:paraId="5C3795C4" w14:textId="092218BA"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12</w:t>
            </w:r>
          </w:p>
        </w:tc>
        <w:tc>
          <w:tcPr>
            <w:tcW w:w="992" w:type="pct"/>
            <w:tcBorders>
              <w:top w:val="nil"/>
              <w:bottom w:val="nil"/>
            </w:tcBorders>
          </w:tcPr>
          <w:p w14:paraId="5B795A7E" w14:textId="5C0FDE92"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nil"/>
            </w:tcBorders>
            <w:vAlign w:val="center"/>
          </w:tcPr>
          <w:p w14:paraId="599168E4" w14:textId="62380226"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18</w:t>
            </w:r>
          </w:p>
        </w:tc>
        <w:tc>
          <w:tcPr>
            <w:tcW w:w="1433" w:type="pct"/>
            <w:tcBorders>
              <w:top w:val="nil"/>
              <w:bottom w:val="nil"/>
            </w:tcBorders>
            <w:vAlign w:val="center"/>
          </w:tcPr>
          <w:p w14:paraId="3CBF7708" w14:textId="5A3A609B"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Sí</w:t>
            </w:r>
          </w:p>
        </w:tc>
        <w:tc>
          <w:tcPr>
            <w:tcW w:w="896" w:type="pct"/>
            <w:tcBorders>
              <w:top w:val="nil"/>
              <w:bottom w:val="nil"/>
            </w:tcBorders>
            <w:vAlign w:val="center"/>
          </w:tcPr>
          <w:p w14:paraId="18464AE5" w14:textId="0C98FB45"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3</w:t>
            </w:r>
          </w:p>
        </w:tc>
      </w:tr>
      <w:tr w:rsidR="00F731E7" w:rsidRPr="00CA6BA6" w14:paraId="1CA10AB0" w14:textId="77777777" w:rsidTr="00F731E7">
        <w:tc>
          <w:tcPr>
            <w:tcW w:w="671" w:type="pct"/>
            <w:tcBorders>
              <w:top w:val="nil"/>
              <w:bottom w:val="nil"/>
            </w:tcBorders>
          </w:tcPr>
          <w:p w14:paraId="106BBF0F" w14:textId="48F3DED1"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13</w:t>
            </w:r>
          </w:p>
        </w:tc>
        <w:tc>
          <w:tcPr>
            <w:tcW w:w="992" w:type="pct"/>
            <w:tcBorders>
              <w:top w:val="nil"/>
              <w:bottom w:val="nil"/>
            </w:tcBorders>
          </w:tcPr>
          <w:p w14:paraId="108D50E8" w14:textId="67DA6A2B"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M</w:t>
            </w:r>
          </w:p>
        </w:tc>
        <w:tc>
          <w:tcPr>
            <w:tcW w:w="1008" w:type="pct"/>
            <w:tcBorders>
              <w:top w:val="nil"/>
              <w:bottom w:val="nil"/>
            </w:tcBorders>
            <w:vAlign w:val="center"/>
          </w:tcPr>
          <w:p w14:paraId="18659F70" w14:textId="19B753F5"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20</w:t>
            </w:r>
          </w:p>
        </w:tc>
        <w:tc>
          <w:tcPr>
            <w:tcW w:w="1433" w:type="pct"/>
            <w:tcBorders>
              <w:top w:val="nil"/>
              <w:bottom w:val="nil"/>
            </w:tcBorders>
            <w:vAlign w:val="center"/>
          </w:tcPr>
          <w:p w14:paraId="256F13A5" w14:textId="63EC3B30"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Sí</w:t>
            </w:r>
          </w:p>
        </w:tc>
        <w:tc>
          <w:tcPr>
            <w:tcW w:w="896" w:type="pct"/>
            <w:tcBorders>
              <w:top w:val="nil"/>
              <w:bottom w:val="nil"/>
            </w:tcBorders>
            <w:vAlign w:val="center"/>
          </w:tcPr>
          <w:p w14:paraId="31517277" w14:textId="78A79852"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4</w:t>
            </w:r>
          </w:p>
        </w:tc>
      </w:tr>
      <w:tr w:rsidR="00F731E7" w:rsidRPr="00CA6BA6" w14:paraId="3C2E8B6A" w14:textId="77777777" w:rsidTr="00F731E7">
        <w:tc>
          <w:tcPr>
            <w:tcW w:w="671" w:type="pct"/>
            <w:tcBorders>
              <w:top w:val="nil"/>
              <w:bottom w:val="nil"/>
            </w:tcBorders>
          </w:tcPr>
          <w:p w14:paraId="05C3A750" w14:textId="7BF74962"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14</w:t>
            </w:r>
          </w:p>
        </w:tc>
        <w:tc>
          <w:tcPr>
            <w:tcW w:w="992" w:type="pct"/>
            <w:tcBorders>
              <w:top w:val="nil"/>
              <w:bottom w:val="nil"/>
            </w:tcBorders>
          </w:tcPr>
          <w:p w14:paraId="3DF6656E" w14:textId="4127D960"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M</w:t>
            </w:r>
          </w:p>
        </w:tc>
        <w:tc>
          <w:tcPr>
            <w:tcW w:w="1008" w:type="pct"/>
            <w:tcBorders>
              <w:top w:val="nil"/>
              <w:bottom w:val="nil"/>
            </w:tcBorders>
            <w:vAlign w:val="center"/>
          </w:tcPr>
          <w:p w14:paraId="309DFDBC" w14:textId="291CA3EA"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ND</w:t>
            </w:r>
          </w:p>
        </w:tc>
        <w:tc>
          <w:tcPr>
            <w:tcW w:w="1433" w:type="pct"/>
            <w:tcBorders>
              <w:top w:val="nil"/>
              <w:bottom w:val="nil"/>
            </w:tcBorders>
            <w:vAlign w:val="center"/>
          </w:tcPr>
          <w:p w14:paraId="21983010" w14:textId="508B739B"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Sí</w:t>
            </w:r>
          </w:p>
        </w:tc>
        <w:tc>
          <w:tcPr>
            <w:tcW w:w="896" w:type="pct"/>
            <w:tcBorders>
              <w:top w:val="nil"/>
              <w:bottom w:val="nil"/>
            </w:tcBorders>
            <w:vAlign w:val="center"/>
          </w:tcPr>
          <w:p w14:paraId="66789D11" w14:textId="10DED7DB"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4</w:t>
            </w:r>
          </w:p>
        </w:tc>
      </w:tr>
      <w:tr w:rsidR="00F731E7" w:rsidRPr="00CA6BA6" w14:paraId="3C7C5F65" w14:textId="77777777" w:rsidTr="00F731E7">
        <w:tc>
          <w:tcPr>
            <w:tcW w:w="671" w:type="pct"/>
            <w:tcBorders>
              <w:top w:val="nil"/>
              <w:bottom w:val="single" w:sz="4" w:space="0" w:color="auto"/>
            </w:tcBorders>
          </w:tcPr>
          <w:p w14:paraId="64368697" w14:textId="6AA99261"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15</w:t>
            </w:r>
          </w:p>
        </w:tc>
        <w:tc>
          <w:tcPr>
            <w:tcW w:w="992" w:type="pct"/>
            <w:tcBorders>
              <w:top w:val="nil"/>
              <w:bottom w:val="single" w:sz="4" w:space="0" w:color="auto"/>
            </w:tcBorders>
          </w:tcPr>
          <w:p w14:paraId="1AD62B52" w14:textId="30CB04FA" w:rsidR="00F731E7" w:rsidRPr="00CA6BA6" w:rsidRDefault="00F731E7" w:rsidP="00CA6BA6">
            <w:pPr>
              <w:keepNext/>
              <w:jc w:val="both"/>
              <w:rPr>
                <w:rFonts w:ascii="Roboto" w:eastAsia="Roboto" w:hAnsi="Roboto" w:cs="Roboto"/>
                <w:sz w:val="18"/>
                <w:szCs w:val="18"/>
              </w:rPr>
            </w:pPr>
            <w:r w:rsidRPr="00CA6BA6">
              <w:rPr>
                <w:rFonts w:ascii="Roboto" w:eastAsia="Roboto" w:hAnsi="Roboto" w:cs="Roboto"/>
                <w:sz w:val="18"/>
                <w:szCs w:val="18"/>
              </w:rPr>
              <w:t>F</w:t>
            </w:r>
          </w:p>
        </w:tc>
        <w:tc>
          <w:tcPr>
            <w:tcW w:w="1008" w:type="pct"/>
            <w:tcBorders>
              <w:top w:val="nil"/>
              <w:bottom w:val="single" w:sz="4" w:space="0" w:color="auto"/>
            </w:tcBorders>
            <w:vAlign w:val="center"/>
          </w:tcPr>
          <w:p w14:paraId="2548A1D0" w14:textId="4AC90D8A"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18</w:t>
            </w:r>
          </w:p>
        </w:tc>
        <w:tc>
          <w:tcPr>
            <w:tcW w:w="1433" w:type="pct"/>
            <w:tcBorders>
              <w:top w:val="nil"/>
              <w:bottom w:val="single" w:sz="4" w:space="0" w:color="auto"/>
            </w:tcBorders>
            <w:vAlign w:val="center"/>
          </w:tcPr>
          <w:p w14:paraId="024C0E2D" w14:textId="500B982B"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Sí</w:t>
            </w:r>
          </w:p>
        </w:tc>
        <w:tc>
          <w:tcPr>
            <w:tcW w:w="896" w:type="pct"/>
            <w:tcBorders>
              <w:top w:val="nil"/>
              <w:bottom w:val="single" w:sz="4" w:space="0" w:color="auto"/>
            </w:tcBorders>
            <w:vAlign w:val="center"/>
          </w:tcPr>
          <w:p w14:paraId="3AC89802" w14:textId="67D97885" w:rsidR="00F731E7" w:rsidRPr="00CA6BA6" w:rsidRDefault="00F731E7" w:rsidP="00CA6BA6">
            <w:pPr>
              <w:keepNext/>
              <w:jc w:val="both"/>
              <w:rPr>
                <w:rFonts w:ascii="Roboto" w:eastAsia="Roboto" w:hAnsi="Roboto" w:cs="Roboto"/>
                <w:sz w:val="18"/>
                <w:szCs w:val="18"/>
              </w:rPr>
            </w:pPr>
            <w:r w:rsidRPr="009E13E7">
              <w:rPr>
                <w:rFonts w:ascii="Roboto" w:hAnsi="Roboto"/>
                <w:sz w:val="18"/>
                <w:szCs w:val="18"/>
              </w:rPr>
              <w:t>4</w:t>
            </w:r>
          </w:p>
        </w:tc>
      </w:tr>
      <w:tr w:rsidR="00F731E7" w:rsidRPr="00CA6BA6" w14:paraId="0E27900D" w14:textId="77777777" w:rsidTr="00F731E7">
        <w:tc>
          <w:tcPr>
            <w:tcW w:w="5000" w:type="pct"/>
            <w:gridSpan w:val="5"/>
            <w:tcBorders>
              <w:top w:val="single" w:sz="4" w:space="0" w:color="auto"/>
              <w:bottom w:val="single" w:sz="4" w:space="0" w:color="auto"/>
            </w:tcBorders>
          </w:tcPr>
          <w:p w14:paraId="0E3E7BFF" w14:textId="7EDCF5F3" w:rsidR="00F731E7" w:rsidRPr="009E13E7" w:rsidRDefault="00F731E7" w:rsidP="00CA6BA6">
            <w:pPr>
              <w:keepNext/>
              <w:jc w:val="both"/>
              <w:rPr>
                <w:rFonts w:ascii="Roboto" w:hAnsi="Roboto"/>
                <w:sz w:val="18"/>
                <w:szCs w:val="18"/>
              </w:rPr>
            </w:pPr>
            <w:r w:rsidRPr="00F731E7">
              <w:rPr>
                <w:rFonts w:ascii="Roboto" w:eastAsia="Roboto" w:hAnsi="Roboto" w:cs="Roboto"/>
                <w:sz w:val="16"/>
                <w:szCs w:val="16"/>
              </w:rPr>
              <w:t>*SPU: Sentido de pertenencia universitaria. Reconstruido a partir de narrativas sobre valoración de espacios y servicios. ND: No disponible. Sexo: M (masculino), F (Femenino)</w:t>
            </w:r>
          </w:p>
        </w:tc>
      </w:tr>
    </w:tbl>
    <w:p w14:paraId="6D8A94A6" w14:textId="7808A633" w:rsidR="00F731E7" w:rsidRDefault="00F731E7">
      <w:pPr>
        <w:keepNext/>
        <w:jc w:val="both"/>
        <w:rPr>
          <w:rFonts w:ascii="Roboto" w:eastAsia="Roboto" w:hAnsi="Roboto" w:cs="Roboto"/>
          <w:sz w:val="20"/>
          <w:szCs w:val="20"/>
        </w:rPr>
      </w:pPr>
    </w:p>
    <w:p w14:paraId="53AD2EF2" w14:textId="1A1ED2C7" w:rsidR="008C3ABE" w:rsidRDefault="00CA6BA6" w:rsidP="00B03125">
      <w:pPr>
        <w:tabs>
          <w:tab w:val="left" w:pos="284"/>
        </w:tabs>
        <w:ind w:left="284" w:hanging="284"/>
        <w:jc w:val="both"/>
        <w:rPr>
          <w:rFonts w:ascii="Roboto" w:eastAsia="Roboto" w:hAnsi="Roboto" w:cs="Roboto"/>
          <w:b/>
          <w:bCs/>
          <w:sz w:val="20"/>
          <w:szCs w:val="20"/>
        </w:rPr>
      </w:pPr>
      <w:r w:rsidRPr="009E13E7">
        <w:rPr>
          <w:rFonts w:ascii="Roboto" w:eastAsia="Roboto" w:hAnsi="Roboto" w:cs="Roboto"/>
          <w:b/>
          <w:bCs/>
          <w:sz w:val="20"/>
          <w:szCs w:val="20"/>
        </w:rPr>
        <w:t xml:space="preserve">Tabla 2. </w:t>
      </w:r>
      <w:r w:rsidRPr="009E13E7">
        <w:rPr>
          <w:rFonts w:ascii="Roboto" w:eastAsia="Roboto" w:hAnsi="Roboto" w:cs="Roboto"/>
          <w:sz w:val="20"/>
          <w:szCs w:val="20"/>
        </w:rPr>
        <w:t>Categorías analíticas, hallazgos y fragmentos narrativos en estudiantes de la Universidad Anáhuac Mayab, 2026</w:t>
      </w:r>
    </w:p>
    <w:tbl>
      <w:tblPr>
        <w:tblStyle w:val="Tablaconcuadrcula"/>
        <w:tblW w:w="4844" w:type="dxa"/>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1368"/>
        <w:gridCol w:w="1746"/>
        <w:gridCol w:w="1730"/>
      </w:tblGrid>
      <w:tr w:rsidR="00B03125" w:rsidRPr="00524DFB" w14:paraId="7DE8A1DE" w14:textId="77777777" w:rsidTr="00B03125">
        <w:tc>
          <w:tcPr>
            <w:tcW w:w="1246" w:type="dxa"/>
            <w:vAlign w:val="center"/>
          </w:tcPr>
          <w:p w14:paraId="59BA2295" w14:textId="130980B3" w:rsidR="00B03125" w:rsidRPr="00524DFB" w:rsidRDefault="00B03125" w:rsidP="00B03125">
            <w:pPr>
              <w:jc w:val="both"/>
              <w:rPr>
                <w:rFonts w:ascii="Roboto" w:eastAsia="Roboto" w:hAnsi="Roboto" w:cs="Roboto"/>
                <w:color w:val="000000"/>
                <w:sz w:val="18"/>
                <w:szCs w:val="18"/>
              </w:rPr>
            </w:pPr>
            <w:r w:rsidRPr="00524DFB">
              <w:rPr>
                <w:rFonts w:ascii="Roboto" w:hAnsi="Roboto"/>
                <w:b/>
                <w:bCs/>
                <w:sz w:val="18"/>
                <w:szCs w:val="18"/>
              </w:rPr>
              <w:t>Categoría</w:t>
            </w:r>
          </w:p>
        </w:tc>
        <w:tc>
          <w:tcPr>
            <w:tcW w:w="1799" w:type="dxa"/>
            <w:vAlign w:val="center"/>
          </w:tcPr>
          <w:p w14:paraId="54CD9D06" w14:textId="29589599" w:rsidR="00B03125" w:rsidRPr="00524DFB" w:rsidRDefault="00B03125" w:rsidP="00B03125">
            <w:pPr>
              <w:jc w:val="both"/>
              <w:rPr>
                <w:rFonts w:ascii="Roboto" w:eastAsia="Roboto" w:hAnsi="Roboto" w:cs="Roboto"/>
                <w:color w:val="000000"/>
                <w:sz w:val="18"/>
                <w:szCs w:val="18"/>
              </w:rPr>
            </w:pPr>
            <w:r w:rsidRPr="00524DFB">
              <w:rPr>
                <w:rFonts w:ascii="Roboto" w:hAnsi="Roboto"/>
                <w:b/>
                <w:bCs/>
                <w:sz w:val="18"/>
                <w:szCs w:val="18"/>
              </w:rPr>
              <w:t>Micro-hallazgo</w:t>
            </w:r>
          </w:p>
        </w:tc>
        <w:tc>
          <w:tcPr>
            <w:tcW w:w="1799" w:type="dxa"/>
            <w:vAlign w:val="center"/>
          </w:tcPr>
          <w:p w14:paraId="6F0DC26C" w14:textId="466FCB0D" w:rsidR="00B03125" w:rsidRPr="00524DFB" w:rsidRDefault="00B03125" w:rsidP="00B03125">
            <w:pPr>
              <w:jc w:val="both"/>
              <w:rPr>
                <w:rFonts w:ascii="Roboto" w:eastAsia="Roboto" w:hAnsi="Roboto" w:cs="Roboto"/>
                <w:color w:val="000000"/>
                <w:sz w:val="18"/>
                <w:szCs w:val="18"/>
              </w:rPr>
            </w:pPr>
            <w:r w:rsidRPr="00524DFB">
              <w:rPr>
                <w:rFonts w:ascii="Roboto" w:hAnsi="Roboto"/>
                <w:b/>
                <w:bCs/>
                <w:sz w:val="18"/>
                <w:szCs w:val="18"/>
              </w:rPr>
              <w:t>Fragmento clave</w:t>
            </w:r>
          </w:p>
        </w:tc>
      </w:tr>
      <w:tr w:rsidR="00B03125" w:rsidRPr="00524DFB" w14:paraId="3E4424C2" w14:textId="77777777" w:rsidTr="00B03125">
        <w:tc>
          <w:tcPr>
            <w:tcW w:w="1246" w:type="dxa"/>
            <w:vAlign w:val="center"/>
          </w:tcPr>
          <w:p w14:paraId="6096AC6B" w14:textId="49CD7B9A"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Vida universitaria</w:t>
            </w:r>
          </w:p>
        </w:tc>
        <w:tc>
          <w:tcPr>
            <w:tcW w:w="1799" w:type="dxa"/>
            <w:vAlign w:val="center"/>
          </w:tcPr>
          <w:p w14:paraId="0F617EEF" w14:textId="6B0BA087"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El campus se usa como espacio de tránsito (locales) o instalación (foráneos)</w:t>
            </w:r>
          </w:p>
        </w:tc>
        <w:tc>
          <w:tcPr>
            <w:tcW w:w="1799" w:type="dxa"/>
            <w:vAlign w:val="center"/>
          </w:tcPr>
          <w:p w14:paraId="2A4F462E" w14:textId="381A563A"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“Uso la universidad para descansar, dormir o comer” / “Aquí como porque en mi casa no hay comida”</w:t>
            </w:r>
          </w:p>
        </w:tc>
      </w:tr>
      <w:tr w:rsidR="00B03125" w:rsidRPr="00524DFB" w14:paraId="42B1EA70" w14:textId="77777777" w:rsidTr="00B03125">
        <w:tc>
          <w:tcPr>
            <w:tcW w:w="1246" w:type="dxa"/>
            <w:vAlign w:val="center"/>
          </w:tcPr>
          <w:p w14:paraId="5742FC58" w14:textId="656ABA39"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Experiencias de alimentación</w:t>
            </w:r>
          </w:p>
        </w:tc>
        <w:tc>
          <w:tcPr>
            <w:tcW w:w="1799" w:type="dxa"/>
            <w:vAlign w:val="center"/>
          </w:tcPr>
          <w:p w14:paraId="3FD79BF4" w14:textId="4A76FDAA"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Predomina el consumo rápido en locales y el consumo estructurante en foráneos</w:t>
            </w:r>
          </w:p>
        </w:tc>
        <w:tc>
          <w:tcPr>
            <w:tcW w:w="1799" w:type="dxa"/>
            <w:vAlign w:val="center"/>
          </w:tcPr>
          <w:p w14:paraId="4D86AD44" w14:textId="51EE3E3F"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“En la escuela como sólo snacks” / “Como aquí casi toda la semana”</w:t>
            </w:r>
          </w:p>
        </w:tc>
      </w:tr>
      <w:tr w:rsidR="00B03125" w:rsidRPr="00524DFB" w14:paraId="46C96620" w14:textId="77777777" w:rsidTr="00B03125">
        <w:tc>
          <w:tcPr>
            <w:tcW w:w="1246" w:type="dxa"/>
            <w:vAlign w:val="center"/>
          </w:tcPr>
          <w:p w14:paraId="3E7B9145" w14:textId="3BD6C869"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Comensalidad</w:t>
            </w:r>
          </w:p>
        </w:tc>
        <w:tc>
          <w:tcPr>
            <w:tcW w:w="1799" w:type="dxa"/>
            <w:vAlign w:val="center"/>
          </w:tcPr>
          <w:p w14:paraId="2580E1F4" w14:textId="39D32F99"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Escasa ritualidad en locales; potencial de convivencia en foráneos</w:t>
            </w:r>
          </w:p>
        </w:tc>
        <w:tc>
          <w:tcPr>
            <w:tcW w:w="1799" w:type="dxa"/>
            <w:vAlign w:val="center"/>
          </w:tcPr>
          <w:p w14:paraId="5C6917F8" w14:textId="75D5D70C"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“Sólo como lo que me llene” / “Me quedo a comer aquí”</w:t>
            </w:r>
          </w:p>
        </w:tc>
      </w:tr>
      <w:tr w:rsidR="00B03125" w:rsidRPr="00524DFB" w14:paraId="299DBC3F" w14:textId="77777777" w:rsidTr="00B03125">
        <w:tc>
          <w:tcPr>
            <w:tcW w:w="1246" w:type="dxa"/>
            <w:vAlign w:val="center"/>
          </w:tcPr>
          <w:p w14:paraId="375FBC15" w14:textId="77842DA0" w:rsidR="00B03125" w:rsidRPr="00524DFB" w:rsidRDefault="00372D0B" w:rsidP="00B03125">
            <w:pPr>
              <w:jc w:val="both"/>
              <w:rPr>
                <w:rFonts w:ascii="Roboto" w:eastAsia="Roboto" w:hAnsi="Roboto" w:cs="Roboto"/>
                <w:color w:val="000000"/>
                <w:sz w:val="18"/>
                <w:szCs w:val="18"/>
              </w:rPr>
            </w:pPr>
            <w:r w:rsidRPr="00524DFB">
              <w:rPr>
                <w:rFonts w:ascii="Roboto" w:hAnsi="Roboto"/>
                <w:sz w:val="18"/>
                <w:szCs w:val="18"/>
              </w:rPr>
              <w:t>Sentido de comunidad y pertenencia.</w:t>
            </w:r>
          </w:p>
        </w:tc>
        <w:tc>
          <w:tcPr>
            <w:tcW w:w="1799" w:type="dxa"/>
            <w:vAlign w:val="center"/>
          </w:tcPr>
          <w:p w14:paraId="6EBF3F07" w14:textId="6D322AAA"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Cafeterías como recurso de emergencia (locales) o soporte cotidiano (foráneos)</w:t>
            </w:r>
          </w:p>
        </w:tc>
        <w:tc>
          <w:tcPr>
            <w:tcW w:w="1799" w:type="dxa"/>
            <w:vAlign w:val="center"/>
          </w:tcPr>
          <w:p w14:paraId="39E1E1BC" w14:textId="389BA675" w:rsidR="00B03125" w:rsidRPr="00524DFB" w:rsidRDefault="00B03125" w:rsidP="00B03125">
            <w:pPr>
              <w:jc w:val="both"/>
              <w:rPr>
                <w:rFonts w:ascii="Roboto" w:eastAsia="Roboto" w:hAnsi="Roboto" w:cs="Roboto"/>
                <w:color w:val="000000"/>
                <w:sz w:val="18"/>
                <w:szCs w:val="18"/>
              </w:rPr>
            </w:pPr>
            <w:r w:rsidRPr="00524DFB">
              <w:rPr>
                <w:rFonts w:ascii="Roboto" w:hAnsi="Roboto"/>
                <w:sz w:val="18"/>
                <w:szCs w:val="18"/>
              </w:rPr>
              <w:t>“Las cafeterías son para cuando no hay otra cosa” / “Como aquí porque me queda cerca”</w:t>
            </w:r>
          </w:p>
        </w:tc>
      </w:tr>
    </w:tbl>
    <w:p w14:paraId="70F02438" w14:textId="77777777" w:rsidR="00B03125" w:rsidRDefault="00B03125">
      <w:pPr>
        <w:pBdr>
          <w:top w:val="nil"/>
          <w:left w:val="nil"/>
          <w:bottom w:val="nil"/>
          <w:right w:val="nil"/>
          <w:between w:val="nil"/>
        </w:pBdr>
        <w:jc w:val="both"/>
        <w:rPr>
          <w:rFonts w:ascii="Roboto" w:eastAsia="Roboto" w:hAnsi="Roboto" w:cs="Roboto"/>
          <w:color w:val="000000"/>
          <w:sz w:val="20"/>
          <w:szCs w:val="20"/>
        </w:rPr>
      </w:pPr>
    </w:p>
    <w:p w14:paraId="35EEEB35" w14:textId="6F82E00A" w:rsidR="008C3ABE" w:rsidRDefault="00704074">
      <w:pPr>
        <w:jc w:val="both"/>
        <w:rPr>
          <w:rFonts w:ascii="Roboto" w:eastAsia="Roboto" w:hAnsi="Roboto" w:cs="Roboto"/>
          <w:b/>
          <w:bCs/>
          <w:sz w:val="20"/>
          <w:szCs w:val="20"/>
        </w:rPr>
      </w:pPr>
      <w:r>
        <w:rPr>
          <w:rFonts w:ascii="Roboto" w:eastAsia="Roboto" w:hAnsi="Roboto" w:cs="Roboto"/>
          <w:b/>
          <w:bCs/>
          <w:sz w:val="20"/>
          <w:szCs w:val="20"/>
        </w:rPr>
        <w:t>CONCLUSIONES</w:t>
      </w:r>
    </w:p>
    <w:p w14:paraId="672FE9B3" w14:textId="55E2B997" w:rsidR="00CA6BA6" w:rsidRPr="00CA6BA6" w:rsidRDefault="00CA6BA6" w:rsidP="00CA6BA6">
      <w:pPr>
        <w:jc w:val="both"/>
        <w:rPr>
          <w:rFonts w:ascii="Roboto" w:eastAsia="Roboto" w:hAnsi="Roboto" w:cs="Roboto"/>
          <w:sz w:val="20"/>
          <w:szCs w:val="20"/>
        </w:rPr>
      </w:pPr>
      <w:r w:rsidRPr="00CA6BA6">
        <w:rPr>
          <w:rFonts w:ascii="Roboto" w:eastAsia="Roboto" w:hAnsi="Roboto" w:cs="Roboto"/>
          <w:sz w:val="20"/>
          <w:szCs w:val="20"/>
        </w:rPr>
        <w:t>La comensalidad universitaria no constituye un espacio de integración, pero puede funcionar como mediación para la construcción del sentido de comunidad en poblaciones que dependen del campus como entorno de vida.</w:t>
      </w:r>
      <w:r w:rsidR="00406111">
        <w:rPr>
          <w:rFonts w:ascii="Roboto" w:eastAsia="Roboto" w:hAnsi="Roboto" w:cs="Roboto"/>
          <w:sz w:val="20"/>
          <w:szCs w:val="20"/>
        </w:rPr>
        <w:t xml:space="preserve"> </w:t>
      </w:r>
      <w:r w:rsidRPr="00CA6BA6">
        <w:rPr>
          <w:rFonts w:ascii="Roboto" w:eastAsia="Roboto" w:hAnsi="Roboto" w:cs="Roboto"/>
          <w:sz w:val="20"/>
          <w:szCs w:val="20"/>
        </w:rPr>
        <w:t xml:space="preserve">Los hallazgos </w:t>
      </w:r>
      <w:r w:rsidR="005D5CB2">
        <w:rPr>
          <w:rFonts w:ascii="Roboto" w:eastAsia="Roboto" w:hAnsi="Roboto" w:cs="Roboto"/>
          <w:sz w:val="20"/>
          <w:szCs w:val="20"/>
        </w:rPr>
        <w:t>c</w:t>
      </w:r>
      <w:r w:rsidRPr="00CA6BA6">
        <w:rPr>
          <w:rFonts w:ascii="Roboto" w:eastAsia="Roboto" w:hAnsi="Roboto" w:cs="Roboto"/>
          <w:sz w:val="20"/>
          <w:szCs w:val="20"/>
        </w:rPr>
        <w:t>orresponden a una primera fase centrada en estudiantes</w:t>
      </w:r>
      <w:r w:rsidR="005D5CB2">
        <w:rPr>
          <w:rFonts w:ascii="Roboto" w:eastAsia="Roboto" w:hAnsi="Roboto" w:cs="Roboto"/>
          <w:sz w:val="20"/>
          <w:szCs w:val="20"/>
        </w:rPr>
        <w:t xml:space="preserve"> mexicanos, pero se busca continuar el proyecto entre</w:t>
      </w:r>
      <w:r w:rsidRPr="00CA6BA6">
        <w:rPr>
          <w:rFonts w:ascii="Roboto" w:eastAsia="Roboto" w:hAnsi="Roboto" w:cs="Roboto"/>
          <w:sz w:val="20"/>
          <w:szCs w:val="20"/>
        </w:rPr>
        <w:t xml:space="preserve"> foráneos </w:t>
      </w:r>
      <w:r w:rsidR="005D5CB2">
        <w:rPr>
          <w:rFonts w:ascii="Roboto" w:eastAsia="Roboto" w:hAnsi="Roboto" w:cs="Roboto"/>
          <w:sz w:val="20"/>
          <w:szCs w:val="20"/>
        </w:rPr>
        <w:t xml:space="preserve">internacionales con el fin de </w:t>
      </w:r>
      <w:r w:rsidRPr="00CA6BA6">
        <w:rPr>
          <w:rFonts w:ascii="Roboto" w:eastAsia="Roboto" w:hAnsi="Roboto" w:cs="Roboto"/>
          <w:sz w:val="20"/>
          <w:szCs w:val="20"/>
        </w:rPr>
        <w:t>identificar</w:t>
      </w:r>
      <w:r w:rsidR="005D5CB2">
        <w:rPr>
          <w:rFonts w:ascii="Roboto" w:eastAsia="Roboto" w:hAnsi="Roboto" w:cs="Roboto"/>
          <w:sz w:val="20"/>
          <w:szCs w:val="20"/>
        </w:rPr>
        <w:t xml:space="preserve"> las formas en</w:t>
      </w:r>
      <w:r w:rsidRPr="00CA6BA6">
        <w:rPr>
          <w:rFonts w:ascii="Roboto" w:eastAsia="Roboto" w:hAnsi="Roboto" w:cs="Roboto"/>
          <w:sz w:val="20"/>
          <w:szCs w:val="20"/>
        </w:rPr>
        <w:t xml:space="preserve"> que el entorno alimentario puede adquirir significados diferenciados según la condición de quienes lo habitan.</w:t>
      </w:r>
    </w:p>
    <w:p w14:paraId="342577A2" w14:textId="3F7EF70A" w:rsidR="00CA6BA6" w:rsidRPr="00CA6BA6" w:rsidRDefault="00CA6BA6" w:rsidP="00CA6BA6">
      <w:pPr>
        <w:jc w:val="both"/>
        <w:rPr>
          <w:rFonts w:ascii="Roboto" w:eastAsia="Roboto" w:hAnsi="Roboto" w:cs="Roboto"/>
          <w:sz w:val="20"/>
          <w:szCs w:val="20"/>
        </w:rPr>
      </w:pPr>
      <w:r w:rsidRPr="00CA6BA6">
        <w:rPr>
          <w:rFonts w:ascii="Roboto" w:eastAsia="Roboto" w:hAnsi="Roboto" w:cs="Roboto"/>
          <w:sz w:val="20"/>
          <w:szCs w:val="20"/>
        </w:rPr>
        <w:t xml:space="preserve">Debe señalarse como limitación que la muestra se compone mayoritariamente de mujeres y de estudiantes de áreas afines a la </w:t>
      </w:r>
      <w:r w:rsidR="00406111">
        <w:rPr>
          <w:rFonts w:ascii="Roboto" w:eastAsia="Roboto" w:hAnsi="Roboto" w:cs="Roboto"/>
          <w:sz w:val="20"/>
          <w:szCs w:val="20"/>
        </w:rPr>
        <w:t>salud</w:t>
      </w:r>
      <w:r w:rsidRPr="00CA6BA6">
        <w:rPr>
          <w:rFonts w:ascii="Roboto" w:eastAsia="Roboto" w:hAnsi="Roboto" w:cs="Roboto"/>
          <w:sz w:val="20"/>
          <w:szCs w:val="20"/>
        </w:rPr>
        <w:t>, lo cual puede influir en la forma en que se narran y valoran las prácticas alimentarias. No obstante, en estudios cualitativos el objetivo no es la representatividad estadística, sino la comprensión situada de experiencias y significados, por lo que estos resultados deben leerse como aproximaciones interpretativas más que como generalizaciones poblacionales.</w:t>
      </w:r>
    </w:p>
    <w:p w14:paraId="74C3264D" w14:textId="77777777" w:rsidR="00CA6BA6" w:rsidRDefault="00CA6BA6" w:rsidP="00CA6BA6">
      <w:pPr>
        <w:jc w:val="both"/>
        <w:rPr>
          <w:rFonts w:ascii="Roboto" w:eastAsia="Roboto" w:hAnsi="Roboto" w:cs="Roboto"/>
          <w:sz w:val="20"/>
          <w:szCs w:val="20"/>
        </w:rPr>
      </w:pPr>
    </w:p>
    <w:p w14:paraId="15A735D7" w14:textId="04DD49BA" w:rsidR="008C3ABE" w:rsidRDefault="00000000">
      <w:pPr>
        <w:jc w:val="both"/>
        <w:rPr>
          <w:rFonts w:ascii="Roboto" w:eastAsia="Roboto" w:hAnsi="Roboto" w:cs="Roboto"/>
          <w:b/>
          <w:bCs/>
          <w:sz w:val="20"/>
          <w:szCs w:val="20"/>
        </w:rPr>
      </w:pPr>
      <w:r>
        <w:rPr>
          <w:rFonts w:ascii="Roboto" w:eastAsia="Roboto" w:hAnsi="Roboto" w:cs="Roboto"/>
          <w:b/>
          <w:bCs/>
          <w:sz w:val="20"/>
          <w:szCs w:val="20"/>
        </w:rPr>
        <w:t>AGRADECIMIENTOS</w:t>
      </w:r>
    </w:p>
    <w:p w14:paraId="4AC928C2" w14:textId="6EB02B38" w:rsidR="008C3ABE" w:rsidRDefault="00000000">
      <w:pPr>
        <w:jc w:val="both"/>
        <w:rPr>
          <w:rFonts w:ascii="Roboto" w:eastAsia="Roboto" w:hAnsi="Roboto" w:cs="Roboto"/>
          <w:sz w:val="20"/>
          <w:szCs w:val="20"/>
        </w:rPr>
      </w:pPr>
      <w:r>
        <w:rPr>
          <w:rFonts w:ascii="Roboto" w:eastAsia="Roboto" w:hAnsi="Roboto" w:cs="Roboto"/>
          <w:sz w:val="20"/>
          <w:szCs w:val="20"/>
        </w:rPr>
        <w:t xml:space="preserve">Los </w:t>
      </w:r>
      <w:r w:rsidR="00CA6BA6">
        <w:rPr>
          <w:rFonts w:ascii="Roboto" w:eastAsia="Roboto" w:hAnsi="Roboto" w:cs="Roboto"/>
          <w:sz w:val="20"/>
          <w:szCs w:val="20"/>
        </w:rPr>
        <w:t xml:space="preserve">autores agradecen el apoyo de los becarios </w:t>
      </w:r>
      <w:r w:rsidR="00B03125">
        <w:rPr>
          <w:rFonts w:ascii="Roboto" w:eastAsia="Roboto" w:hAnsi="Roboto" w:cs="Roboto"/>
          <w:sz w:val="20"/>
          <w:szCs w:val="20"/>
        </w:rPr>
        <w:t xml:space="preserve">Laura Vallejo Arzaba y David Remes Alonso en el trabajo de campo y manejo de información. </w:t>
      </w:r>
    </w:p>
    <w:p w14:paraId="222D8866" w14:textId="77777777" w:rsidR="008C3ABE" w:rsidRDefault="008C3ABE">
      <w:pPr>
        <w:jc w:val="both"/>
        <w:rPr>
          <w:rFonts w:ascii="Roboto" w:eastAsia="Roboto" w:hAnsi="Roboto" w:cs="Roboto"/>
          <w:sz w:val="20"/>
          <w:szCs w:val="20"/>
        </w:rPr>
      </w:pPr>
    </w:p>
    <w:p w14:paraId="47D67670" w14:textId="77777777" w:rsidR="008C3ABE" w:rsidRDefault="00000000">
      <w:pPr>
        <w:jc w:val="both"/>
        <w:rPr>
          <w:rFonts w:ascii="Roboto" w:eastAsia="Roboto" w:hAnsi="Roboto" w:cs="Roboto"/>
          <w:b/>
          <w:bCs/>
          <w:sz w:val="20"/>
          <w:szCs w:val="20"/>
        </w:rPr>
      </w:pPr>
      <w:r>
        <w:rPr>
          <w:rFonts w:ascii="Roboto" w:eastAsia="Roboto" w:hAnsi="Roboto" w:cs="Roboto"/>
          <w:b/>
          <w:bCs/>
          <w:sz w:val="20"/>
          <w:szCs w:val="20"/>
        </w:rPr>
        <w:t>REFERENCIAS (Formato APA)</w:t>
      </w:r>
    </w:p>
    <w:p w14:paraId="5D518971" w14:textId="33980262" w:rsidR="00F731E7" w:rsidRDefault="00F731E7" w:rsidP="00CA6BA6">
      <w:pPr>
        <w:jc w:val="both"/>
        <w:rPr>
          <w:rFonts w:ascii="Roboto" w:eastAsia="Roboto" w:hAnsi="Roboto" w:cs="Roboto"/>
          <w:sz w:val="20"/>
          <w:szCs w:val="20"/>
        </w:rPr>
      </w:pPr>
      <w:r w:rsidRPr="00F731E7">
        <w:rPr>
          <w:rFonts w:ascii="Roboto" w:eastAsia="Roboto" w:hAnsi="Roboto" w:cs="Roboto"/>
          <w:sz w:val="20"/>
          <w:szCs w:val="20"/>
          <w:lang w:val="en-US"/>
        </w:rPr>
        <w:t xml:space="preserve">Ambrosi, C., &amp; Grisotti, M. (2025). Dietary practices of university students: Reflections on values, autonomy, and commensality. </w:t>
      </w:r>
      <w:r w:rsidRPr="00F731E7">
        <w:rPr>
          <w:rFonts w:ascii="Roboto" w:eastAsia="Roboto" w:hAnsi="Roboto" w:cs="Roboto"/>
          <w:i/>
          <w:iCs/>
          <w:sz w:val="20"/>
          <w:szCs w:val="20"/>
        </w:rPr>
        <w:t>Ciência &amp; Saúde Coletiva, 30</w:t>
      </w:r>
      <w:r w:rsidRPr="00F731E7">
        <w:rPr>
          <w:rFonts w:ascii="Roboto" w:eastAsia="Roboto" w:hAnsi="Roboto" w:cs="Roboto"/>
          <w:sz w:val="20"/>
          <w:szCs w:val="20"/>
        </w:rPr>
        <w:t xml:space="preserve">(Suppl. 2), e19192023. </w:t>
      </w:r>
      <w:hyperlink r:id="rId11" w:tgtFrame="_new" w:history="1">
        <w:r w:rsidRPr="00F731E7">
          <w:rPr>
            <w:rStyle w:val="Hipervnculo"/>
            <w:rFonts w:ascii="Roboto" w:eastAsia="Roboto" w:hAnsi="Roboto" w:cs="Roboto"/>
            <w:sz w:val="20"/>
            <w:szCs w:val="20"/>
          </w:rPr>
          <w:t>https://doi.org/10.1590/1413-812320242911.19192023EN</w:t>
        </w:r>
      </w:hyperlink>
    </w:p>
    <w:p w14:paraId="341337C7" w14:textId="27114A06" w:rsidR="00D978A8" w:rsidRPr="00372D0B" w:rsidRDefault="00372D0B" w:rsidP="00CA6BA6">
      <w:pPr>
        <w:jc w:val="both"/>
        <w:rPr>
          <w:rFonts w:ascii="Roboto" w:eastAsia="Roboto" w:hAnsi="Roboto" w:cs="Roboto"/>
          <w:sz w:val="20"/>
          <w:szCs w:val="20"/>
        </w:rPr>
      </w:pPr>
      <w:r w:rsidRPr="00D978A8">
        <w:rPr>
          <w:rFonts w:ascii="Roboto" w:eastAsia="Roboto" w:hAnsi="Roboto" w:cs="Roboto"/>
          <w:sz w:val="20"/>
          <w:szCs w:val="20"/>
        </w:rPr>
        <w:t xml:space="preserve">Bourdieu, P. (1988). </w:t>
      </w:r>
      <w:r w:rsidRPr="00D978A8">
        <w:rPr>
          <w:rFonts w:ascii="Roboto" w:eastAsia="Roboto" w:hAnsi="Roboto" w:cs="Roboto"/>
          <w:i/>
          <w:iCs/>
          <w:sz w:val="20"/>
          <w:szCs w:val="20"/>
        </w:rPr>
        <w:t>El sentido práctico</w:t>
      </w:r>
      <w:r w:rsidRPr="00D978A8">
        <w:rPr>
          <w:rFonts w:ascii="Roboto" w:eastAsia="Roboto" w:hAnsi="Roboto" w:cs="Roboto"/>
          <w:sz w:val="20"/>
          <w:szCs w:val="20"/>
        </w:rPr>
        <w:t>. Taurus.</w:t>
      </w:r>
      <w:r w:rsidRPr="00F731E7">
        <w:rPr>
          <w:rFonts w:ascii="Roboto" w:eastAsia="Roboto" w:hAnsi="Roboto" w:cs="Roboto"/>
          <w:sz w:val="20"/>
          <w:szCs w:val="20"/>
        </w:rPr>
        <w:br/>
      </w:r>
      <w:r w:rsidR="00CA6BA6" w:rsidRPr="00D978A8">
        <w:rPr>
          <w:rFonts w:ascii="Roboto" w:eastAsia="Roboto" w:hAnsi="Roboto" w:cs="Roboto"/>
          <w:sz w:val="20"/>
          <w:szCs w:val="20"/>
        </w:rPr>
        <w:t xml:space="preserve">Fischler, C. (1988). </w:t>
      </w:r>
      <w:r w:rsidR="00CA6BA6" w:rsidRPr="00F731E7">
        <w:rPr>
          <w:rFonts w:ascii="Roboto" w:eastAsia="Roboto" w:hAnsi="Roboto" w:cs="Roboto"/>
          <w:sz w:val="20"/>
          <w:szCs w:val="20"/>
        </w:rPr>
        <w:t xml:space="preserve">Food, self and identity. </w:t>
      </w:r>
      <w:r w:rsidR="00CA6BA6" w:rsidRPr="00F731E7">
        <w:rPr>
          <w:rFonts w:ascii="Roboto" w:eastAsia="Roboto" w:hAnsi="Roboto" w:cs="Roboto"/>
          <w:i/>
          <w:iCs/>
          <w:sz w:val="20"/>
          <w:szCs w:val="20"/>
        </w:rPr>
        <w:t>Social Science Information</w:t>
      </w:r>
      <w:r w:rsidR="00CA6BA6" w:rsidRPr="00F731E7">
        <w:rPr>
          <w:rFonts w:ascii="Roboto" w:eastAsia="Roboto" w:hAnsi="Roboto" w:cs="Roboto"/>
          <w:sz w:val="20"/>
          <w:szCs w:val="20"/>
        </w:rPr>
        <w:t>, 27(2), 275–292.</w:t>
      </w:r>
    </w:p>
    <w:p w14:paraId="03BEFD12" w14:textId="1AD131F7" w:rsidR="00372D0B" w:rsidRDefault="00372D0B" w:rsidP="00CA6BA6">
      <w:pPr>
        <w:jc w:val="both"/>
        <w:rPr>
          <w:rFonts w:ascii="Roboto" w:eastAsia="Roboto" w:hAnsi="Roboto" w:cs="Roboto"/>
          <w:sz w:val="20"/>
          <w:szCs w:val="20"/>
        </w:rPr>
      </w:pPr>
      <w:r w:rsidRPr="00372D0B">
        <w:rPr>
          <w:rFonts w:ascii="Roboto" w:eastAsia="Roboto" w:hAnsi="Roboto" w:cs="Roboto"/>
          <w:sz w:val="20"/>
          <w:szCs w:val="20"/>
        </w:rPr>
        <w:t xml:space="preserve">Geertz, C. (2003). La interpretación de las culturas. </w:t>
      </w:r>
      <w:r w:rsidRPr="00F731E7">
        <w:rPr>
          <w:rFonts w:ascii="Roboto" w:eastAsia="Roboto" w:hAnsi="Roboto" w:cs="Roboto"/>
          <w:sz w:val="20"/>
          <w:szCs w:val="20"/>
        </w:rPr>
        <w:t>Gedisa.</w:t>
      </w:r>
    </w:p>
    <w:p w14:paraId="0E368971" w14:textId="77777777" w:rsidR="00F731E7" w:rsidRPr="00F731E7" w:rsidRDefault="00F731E7" w:rsidP="00F731E7">
      <w:pPr>
        <w:jc w:val="both"/>
        <w:rPr>
          <w:rFonts w:ascii="Roboto" w:eastAsia="Roboto" w:hAnsi="Roboto" w:cs="Roboto"/>
          <w:sz w:val="20"/>
          <w:szCs w:val="20"/>
        </w:rPr>
      </w:pPr>
      <w:r w:rsidRPr="00F731E7">
        <w:rPr>
          <w:rFonts w:ascii="Roboto" w:eastAsia="Roboto" w:hAnsi="Roboto" w:cs="Roboto"/>
          <w:sz w:val="20"/>
          <w:szCs w:val="20"/>
        </w:rPr>
        <w:t xml:space="preserve">Herrán Murillo, Y. F., Parra Martínez, C., &amp; Varela Arévalo, M. T. (2025). El rol de los ambientes alimentarios en los hábitos de alimentación en una comunidad educativa universitaria privada. </w:t>
      </w:r>
      <w:r w:rsidRPr="00F731E7">
        <w:rPr>
          <w:rFonts w:ascii="Roboto" w:eastAsia="Roboto" w:hAnsi="Roboto" w:cs="Roboto"/>
          <w:i/>
          <w:iCs/>
          <w:sz w:val="20"/>
          <w:szCs w:val="20"/>
        </w:rPr>
        <w:t>Revista Mexicana de Trastornos Alimentarios, 15</w:t>
      </w:r>
      <w:r w:rsidRPr="00F731E7">
        <w:rPr>
          <w:rFonts w:ascii="Roboto" w:eastAsia="Roboto" w:hAnsi="Roboto" w:cs="Roboto"/>
          <w:sz w:val="20"/>
          <w:szCs w:val="20"/>
        </w:rPr>
        <w:t xml:space="preserve">(1), 52–66. </w:t>
      </w:r>
      <w:hyperlink r:id="rId12" w:tgtFrame="_new" w:history="1">
        <w:r w:rsidRPr="00F731E7">
          <w:rPr>
            <w:rStyle w:val="Hipervnculo"/>
            <w:rFonts w:ascii="Roboto" w:eastAsia="Roboto" w:hAnsi="Roboto" w:cs="Roboto"/>
            <w:sz w:val="20"/>
            <w:szCs w:val="20"/>
          </w:rPr>
          <w:t>https://doi.org/10.22201/fesi.20071523e.2025.1.820</w:t>
        </w:r>
      </w:hyperlink>
      <w:r w:rsidRPr="00F731E7">
        <w:rPr>
          <w:rFonts w:ascii="Roboto" w:eastAsia="Roboto" w:hAnsi="Roboto" w:cs="Roboto"/>
          <w:sz w:val="20"/>
          <w:szCs w:val="20"/>
        </w:rPr>
        <w:t xml:space="preserve"> </w:t>
      </w:r>
    </w:p>
    <w:p w14:paraId="2FA35618" w14:textId="59E656DA" w:rsidR="00CA6BA6" w:rsidRPr="00CA6BA6" w:rsidRDefault="00CA6BA6" w:rsidP="00CA6BA6">
      <w:pPr>
        <w:jc w:val="both"/>
        <w:rPr>
          <w:rFonts w:ascii="Roboto" w:eastAsia="Roboto" w:hAnsi="Roboto" w:cs="Roboto"/>
          <w:sz w:val="20"/>
          <w:szCs w:val="20"/>
        </w:rPr>
      </w:pPr>
      <w:r w:rsidRPr="00CA6BA6">
        <w:rPr>
          <w:rFonts w:ascii="Roboto" w:eastAsia="Roboto" w:hAnsi="Roboto" w:cs="Roboto"/>
          <w:sz w:val="20"/>
          <w:szCs w:val="20"/>
          <w:lang w:val="en-US"/>
        </w:rPr>
        <w:t xml:space="preserve">Messer, E. (1983). Anthropological perspectives on diet. </w:t>
      </w:r>
      <w:r w:rsidRPr="00CA6BA6">
        <w:rPr>
          <w:rFonts w:ascii="Roboto" w:eastAsia="Roboto" w:hAnsi="Roboto" w:cs="Roboto"/>
          <w:i/>
          <w:iCs/>
          <w:sz w:val="20"/>
          <w:szCs w:val="20"/>
          <w:lang w:val="en-US"/>
        </w:rPr>
        <w:t>Annual Review of Anthropology</w:t>
      </w:r>
      <w:r w:rsidRPr="00CA6BA6">
        <w:rPr>
          <w:rFonts w:ascii="Roboto" w:eastAsia="Roboto" w:hAnsi="Roboto" w:cs="Roboto"/>
          <w:sz w:val="20"/>
          <w:szCs w:val="20"/>
          <w:lang w:val="en-US"/>
        </w:rPr>
        <w:t>, 12, 205–249.</w:t>
      </w:r>
      <w:r w:rsidRPr="00CA6BA6">
        <w:rPr>
          <w:rFonts w:ascii="Roboto" w:eastAsia="Roboto" w:hAnsi="Roboto" w:cs="Roboto"/>
          <w:sz w:val="20"/>
          <w:szCs w:val="20"/>
          <w:lang w:val="en-US"/>
        </w:rPr>
        <w:br/>
        <w:t xml:space="preserve">Mintz, S. (2001). Food and eating: Some persistent questions. </w:t>
      </w:r>
      <w:r w:rsidRPr="00CA6BA6">
        <w:rPr>
          <w:rFonts w:ascii="Roboto" w:eastAsia="Roboto" w:hAnsi="Roboto" w:cs="Roboto"/>
          <w:i/>
          <w:iCs/>
          <w:sz w:val="20"/>
          <w:szCs w:val="20"/>
          <w:lang w:val="en-US"/>
        </w:rPr>
        <w:t>Food and Foodways</w:t>
      </w:r>
      <w:r w:rsidRPr="00CA6BA6">
        <w:rPr>
          <w:rFonts w:ascii="Roboto" w:eastAsia="Roboto" w:hAnsi="Roboto" w:cs="Roboto"/>
          <w:sz w:val="20"/>
          <w:szCs w:val="20"/>
          <w:lang w:val="en-US"/>
        </w:rPr>
        <w:t>, 9(1–2), 1–19.</w:t>
      </w:r>
      <w:r w:rsidRPr="00CA6BA6">
        <w:rPr>
          <w:rFonts w:ascii="Roboto" w:eastAsia="Roboto" w:hAnsi="Roboto" w:cs="Roboto"/>
          <w:sz w:val="20"/>
          <w:szCs w:val="20"/>
          <w:lang w:val="en-US"/>
        </w:rPr>
        <w:br/>
      </w:r>
      <w:r w:rsidRPr="00D978A8">
        <w:rPr>
          <w:rFonts w:ascii="Roboto" w:eastAsia="Roboto" w:hAnsi="Roboto" w:cs="Roboto"/>
          <w:sz w:val="20"/>
          <w:szCs w:val="20"/>
        </w:rPr>
        <w:t xml:space="preserve">Poulain, J. P. (2002). </w:t>
      </w:r>
      <w:r w:rsidRPr="00D978A8">
        <w:rPr>
          <w:rFonts w:ascii="Roboto" w:eastAsia="Roboto" w:hAnsi="Roboto" w:cs="Roboto"/>
          <w:i/>
          <w:iCs/>
          <w:sz w:val="20"/>
          <w:szCs w:val="20"/>
        </w:rPr>
        <w:t>Sociologies de l’alimentation</w:t>
      </w:r>
      <w:r w:rsidRPr="00D978A8">
        <w:rPr>
          <w:rFonts w:ascii="Roboto" w:eastAsia="Roboto" w:hAnsi="Roboto" w:cs="Roboto"/>
          <w:sz w:val="20"/>
          <w:szCs w:val="20"/>
        </w:rPr>
        <w:t>.</w:t>
      </w:r>
      <w:r w:rsidRPr="00D978A8">
        <w:rPr>
          <w:rFonts w:ascii="Roboto" w:eastAsia="Roboto" w:hAnsi="Roboto" w:cs="Roboto"/>
          <w:sz w:val="20"/>
          <w:szCs w:val="20"/>
        </w:rPr>
        <w:br/>
      </w:r>
      <w:r w:rsidRPr="00CA6BA6">
        <w:rPr>
          <w:rFonts w:ascii="Roboto" w:eastAsia="Roboto" w:hAnsi="Roboto" w:cs="Roboto"/>
          <w:sz w:val="20"/>
          <w:szCs w:val="20"/>
        </w:rPr>
        <w:t>Pérez-Wilson, P. et al. (2019). Desarrollo del sentido de comunidad en universidades promotoras de la salud.</w:t>
      </w:r>
    </w:p>
    <w:p w14:paraId="460E405F" w14:textId="48C76874" w:rsidR="00F731E7" w:rsidRPr="00D85B63" w:rsidRDefault="00000000">
      <w:pPr>
        <w:jc w:val="both"/>
        <w:rPr>
          <w:rFonts w:ascii="Roboto" w:eastAsia="Roboto" w:hAnsi="Roboto" w:cs="Roboto"/>
          <w:sz w:val="20"/>
          <w:szCs w:val="20"/>
          <w:lang w:val="en-US"/>
        </w:rPr>
      </w:pPr>
      <w:r w:rsidRPr="00704074">
        <w:rPr>
          <w:rFonts w:ascii="Roboto" w:eastAsia="Roboto" w:hAnsi="Roboto" w:cs="Roboto"/>
          <w:sz w:val="20"/>
          <w:szCs w:val="20"/>
          <w:lang w:val="en-US"/>
        </w:rPr>
        <w:t xml:space="preserve">O'Donoghue, T., Doucette, J.S., Van der Werf, J.J., &amp; Ribberink, J.S. (2016). </w:t>
      </w:r>
      <w:r w:rsidRPr="00CA6BA6">
        <w:rPr>
          <w:rFonts w:ascii="Roboto" w:eastAsia="Roboto" w:hAnsi="Roboto" w:cs="Roboto"/>
          <w:sz w:val="20"/>
          <w:szCs w:val="20"/>
          <w:lang w:val="en-US"/>
        </w:rPr>
        <w:t>User experience design in mobile learning applications. Computers &amp; Education, 47, 1125–1142.</w:t>
      </w:r>
    </w:p>
    <w:sectPr w:rsidR="00F731E7" w:rsidRPr="00D85B63">
      <w:type w:val="continuous"/>
      <w:pgSz w:w="11906" w:h="16838"/>
      <w:pgMar w:top="1134" w:right="851" w:bottom="1134" w:left="851" w:header="357" w:footer="720" w:gutter="0"/>
      <w:cols w:num="2" w:space="720" w:equalWidth="0">
        <w:col w:w="4934" w:space="335"/>
        <w:col w:w="4934" w:space="0"/>
      </w:cols>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5B5873" w14:textId="77777777" w:rsidR="008E1269" w:rsidRDefault="008E1269">
      <w:r>
        <w:separator/>
      </w:r>
    </w:p>
  </w:endnote>
  <w:endnote w:type="continuationSeparator" w:id="0">
    <w:p w14:paraId="05F0F4C5" w14:textId="77777777" w:rsidR="008E1269" w:rsidRDefault="008E126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9D587A5F-CC2F-354B-93E2-9FD0E84AED74}"/>
    <w:embedBold r:id="rId2" w:fontKey="{E92EEEDB-9719-FE43-8945-C921380E6EA7}"/>
    <w:embedItalic r:id="rId3" w:fontKey="{7A209E08-39EB-F943-B4E3-FA0990B423E2}"/>
  </w:font>
  <w:font w:name="Georgia">
    <w:panose1 w:val="02040502050405020303"/>
    <w:charset w:val="00"/>
    <w:family w:val="roman"/>
    <w:pitch w:val="variable"/>
    <w:sig w:usb0="00000287" w:usb1="00000000" w:usb2="00000000" w:usb3="00000000" w:csb0="0000009F" w:csb1="00000000"/>
    <w:embedItalic r:id="rId4" w:fontKey="{61F8B6B7-891F-A04A-874E-5172E1F00AAC}"/>
  </w:font>
  <w:font w:name="Roboto">
    <w:panose1 w:val="02000000000000000000"/>
    <w:charset w:val="00"/>
    <w:family w:val="auto"/>
    <w:pitch w:val="variable"/>
    <w:sig w:usb0="E0000AFF" w:usb1="5000217F" w:usb2="00000021" w:usb3="00000000" w:csb0="0000019F" w:csb1="00000000"/>
    <w:embedRegular r:id="rId5" w:fontKey="{470C0EBA-EAFE-9845-88EA-5F4EC3A927E1}"/>
    <w:embedBold r:id="rId6" w:fontKey="{9677C117-EA1C-8041-BF80-1CA96D99497E}"/>
    <w:embedItalic r:id="rId7" w:fontKey="{88185233-6C69-0C4A-B551-216C1A41D28D}"/>
  </w:font>
  <w:font w:name="Calibri">
    <w:panose1 w:val="020F0502020204030204"/>
    <w:charset w:val="00"/>
    <w:family w:val="swiss"/>
    <w:pitch w:val="variable"/>
    <w:sig w:usb0="E0002AFF" w:usb1="C000247B" w:usb2="00000009" w:usb3="00000000" w:csb0="000001FF" w:csb1="00000000"/>
    <w:embedRegular r:id="rId8" w:fontKey="{246304D5-0E79-1F4E-9456-070560B3079C}"/>
  </w:font>
  <w:font w:name="Cambria">
    <w:panose1 w:val="02040503050406030204"/>
    <w:charset w:val="00"/>
    <w:family w:val="roman"/>
    <w:pitch w:val="variable"/>
    <w:sig w:usb0="E00002FF" w:usb1="400004FF" w:usb2="00000000" w:usb3="00000000" w:csb0="0000019F" w:csb1="00000000"/>
    <w:embedRegular r:id="rId9" w:fontKey="{F3A27649-9DE0-B144-81D3-20841BDD02CB}"/>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A8747E" w14:textId="77777777" w:rsidR="008E1269" w:rsidRDefault="008E1269">
      <w:r>
        <w:separator/>
      </w:r>
    </w:p>
  </w:footnote>
  <w:footnote w:type="continuationSeparator" w:id="0">
    <w:p w14:paraId="79964D38" w14:textId="77777777" w:rsidR="008E1269" w:rsidRDefault="008E1269">
      <w:r>
        <w:continuationSeparator/>
      </w:r>
    </w:p>
  </w:footnote>
  <w:footnote w:id="1">
    <w:p w14:paraId="301E7750" w14:textId="157E1857" w:rsidR="00D978A8" w:rsidRPr="00D978A8" w:rsidRDefault="00D978A8">
      <w:pPr>
        <w:pStyle w:val="Textonotapie"/>
        <w:rPr>
          <w:rFonts w:ascii="Roboto" w:hAnsi="Roboto"/>
          <w:sz w:val="18"/>
          <w:szCs w:val="18"/>
          <w:lang w:val="es-ES_tradnl"/>
        </w:rPr>
      </w:pPr>
      <w:r w:rsidRPr="00D978A8">
        <w:rPr>
          <w:rStyle w:val="Refdenotaalpie"/>
          <w:rFonts w:ascii="Roboto" w:hAnsi="Roboto"/>
          <w:sz w:val="18"/>
          <w:szCs w:val="18"/>
        </w:rPr>
        <w:footnoteRef/>
      </w:r>
      <w:r w:rsidRPr="00D978A8">
        <w:rPr>
          <w:rFonts w:ascii="Roboto" w:hAnsi="Roboto"/>
          <w:sz w:val="18"/>
          <w:szCs w:val="18"/>
        </w:rPr>
        <w:t xml:space="preserve"> Siguiendo a Bordieu (1988) </w:t>
      </w:r>
      <w:r w:rsidRPr="00D978A8">
        <w:rPr>
          <w:rFonts w:ascii="Roboto" w:hAnsi="Roboto"/>
          <w:sz w:val="18"/>
          <w:szCs w:val="18"/>
          <w:lang w:val="es-ES_tradnl"/>
        </w:rPr>
        <w:t xml:space="preserve">en el sentido del </w:t>
      </w:r>
      <w:r w:rsidRPr="00D978A8">
        <w:rPr>
          <w:rFonts w:ascii="Roboto" w:hAnsi="Roboto"/>
          <w:i/>
          <w:iCs/>
          <w:sz w:val="18"/>
          <w:szCs w:val="18"/>
          <w:lang w:val="es-ES_tradnl"/>
        </w:rPr>
        <w:t>habitus</w:t>
      </w:r>
      <w:r w:rsidRPr="00D978A8">
        <w:rPr>
          <w:rFonts w:ascii="Roboto" w:hAnsi="Roboto"/>
          <w:sz w:val="18"/>
          <w:szCs w:val="18"/>
          <w:lang w:val="es-ES_tradnl"/>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305EB8" w14:textId="77777777" w:rsidR="008C3ABE" w:rsidRDefault="008C3ABE">
    <w:pPr>
      <w:widowControl w:val="0"/>
      <w:pBdr>
        <w:top w:val="nil"/>
        <w:left w:val="nil"/>
        <w:bottom w:val="nil"/>
        <w:right w:val="nil"/>
        <w:between w:val="nil"/>
      </w:pBdr>
      <w:spacing w:line="276" w:lineRule="auto"/>
      <w:rPr>
        <w:rFonts w:ascii="Roboto" w:eastAsia="Roboto" w:hAnsi="Roboto" w:cs="Roboto"/>
      </w:rPr>
    </w:pPr>
  </w:p>
  <w:tbl>
    <w:tblPr>
      <w:tblStyle w:val="a0"/>
      <w:tblW w:w="6306" w:type="dxa"/>
      <w:jc w:val="center"/>
      <w:tblInd w:w="0" w:type="dxa"/>
      <w:tblLayout w:type="fixed"/>
      <w:tblLook w:val="0400" w:firstRow="0" w:lastRow="0" w:firstColumn="0" w:lastColumn="0" w:noHBand="0" w:noVBand="1"/>
    </w:tblPr>
    <w:tblGrid>
      <w:gridCol w:w="6306"/>
    </w:tblGrid>
    <w:tr w:rsidR="008C3ABE" w14:paraId="58BA893C" w14:textId="77777777">
      <w:trPr>
        <w:trHeight w:val="345"/>
        <w:jc w:val="center"/>
      </w:trPr>
      <w:tc>
        <w:tcPr>
          <w:tcW w:w="6306" w:type="dxa"/>
          <w:vAlign w:val="center"/>
        </w:tcPr>
        <w:p w14:paraId="6DAE748F" w14:textId="77777777" w:rsidR="008C3ABE" w:rsidRDefault="008C3ABE">
          <w:pPr>
            <w:jc w:val="center"/>
            <w:rPr>
              <w:i/>
              <w:iCs/>
              <w:sz w:val="18"/>
              <w:szCs w:val="18"/>
            </w:rPr>
          </w:pPr>
        </w:p>
      </w:tc>
    </w:tr>
  </w:tbl>
  <w:p w14:paraId="072FA33C" w14:textId="77777777" w:rsidR="008C3ABE" w:rsidRDefault="008C3ABE">
    <w:pPr>
      <w:pBdr>
        <w:top w:val="nil"/>
        <w:left w:val="nil"/>
        <w:bottom w:val="nil"/>
        <w:right w:val="nil"/>
        <w:between w:val="nil"/>
      </w:pBdr>
      <w:tabs>
        <w:tab w:val="center" w:pos="4320"/>
        <w:tab w:val="right" w:pos="8640"/>
      </w:tabs>
      <w:rPr>
        <w:rFonts w:ascii="Calibri" w:eastAsia="Calibri" w:hAnsi="Calibri" w:cs="Calibri"/>
        <w:color w:val="000000"/>
        <w:sz w:val="22"/>
        <w:szCs w:val="22"/>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0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ABE"/>
    <w:rsid w:val="0010289A"/>
    <w:rsid w:val="00255B52"/>
    <w:rsid w:val="00372D0B"/>
    <w:rsid w:val="00406111"/>
    <w:rsid w:val="00524DFB"/>
    <w:rsid w:val="0054600C"/>
    <w:rsid w:val="005D5CB2"/>
    <w:rsid w:val="00641D54"/>
    <w:rsid w:val="00695B72"/>
    <w:rsid w:val="00704074"/>
    <w:rsid w:val="00713C22"/>
    <w:rsid w:val="00725599"/>
    <w:rsid w:val="008466E1"/>
    <w:rsid w:val="008B6808"/>
    <w:rsid w:val="008C3ABE"/>
    <w:rsid w:val="008E1269"/>
    <w:rsid w:val="008E15DD"/>
    <w:rsid w:val="009B5A86"/>
    <w:rsid w:val="00AA5529"/>
    <w:rsid w:val="00B03125"/>
    <w:rsid w:val="00CA6BA6"/>
    <w:rsid w:val="00D85B63"/>
    <w:rsid w:val="00D978A8"/>
    <w:rsid w:val="00DF555C"/>
    <w:rsid w:val="00F731E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2CD3F"/>
  <w15:docId w15:val="{17D77D1B-4797-7E44-8D31-639D9163C5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es-MX"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80" w:after="120"/>
      <w:outlineLvl w:val="0"/>
    </w:pPr>
    <w:rPr>
      <w:b/>
      <w:bCs/>
      <w:sz w:val="48"/>
      <w:szCs w:val="48"/>
    </w:rPr>
  </w:style>
  <w:style w:type="paragraph" w:styleId="Ttulo2">
    <w:name w:val="heading 2"/>
    <w:basedOn w:val="Normal"/>
    <w:next w:val="Normal"/>
    <w:uiPriority w:val="9"/>
    <w:semiHidden/>
    <w:unhideWhenUsed/>
    <w:qFormat/>
    <w:pPr>
      <w:keepNext/>
      <w:keepLines/>
      <w:spacing w:before="360" w:after="80"/>
      <w:outlineLvl w:val="1"/>
    </w:pPr>
    <w:rPr>
      <w:b/>
      <w:bCs/>
      <w:sz w:val="36"/>
      <w:szCs w:val="36"/>
    </w:rPr>
  </w:style>
  <w:style w:type="paragraph" w:styleId="Ttulo3">
    <w:name w:val="heading 3"/>
    <w:basedOn w:val="Normal"/>
    <w:next w:val="Normal"/>
    <w:uiPriority w:val="9"/>
    <w:semiHidden/>
    <w:unhideWhenUsed/>
    <w:qFormat/>
    <w:pPr>
      <w:keepNext/>
      <w:keepLines/>
      <w:spacing w:before="280" w:after="80"/>
      <w:outlineLvl w:val="2"/>
    </w:pPr>
    <w:rPr>
      <w:b/>
      <w:bCs/>
      <w:sz w:val="28"/>
      <w:szCs w:val="28"/>
    </w:rPr>
  </w:style>
  <w:style w:type="paragraph" w:styleId="Ttulo4">
    <w:name w:val="heading 4"/>
    <w:basedOn w:val="Normal"/>
    <w:next w:val="Normal"/>
    <w:uiPriority w:val="9"/>
    <w:semiHidden/>
    <w:unhideWhenUsed/>
    <w:qFormat/>
    <w:pPr>
      <w:keepNext/>
      <w:keepLines/>
      <w:spacing w:before="240" w:after="40"/>
      <w:outlineLvl w:val="3"/>
    </w:pPr>
    <w:rPr>
      <w:b/>
      <w:bCs/>
    </w:rPr>
  </w:style>
  <w:style w:type="paragraph" w:styleId="Ttulo5">
    <w:name w:val="heading 5"/>
    <w:basedOn w:val="Normal"/>
    <w:next w:val="Normal"/>
    <w:uiPriority w:val="9"/>
    <w:semiHidden/>
    <w:unhideWhenUsed/>
    <w:qFormat/>
    <w:pPr>
      <w:keepNext/>
      <w:keepLines/>
      <w:spacing w:before="220" w:after="40"/>
      <w:outlineLvl w:val="4"/>
    </w:pPr>
    <w:rPr>
      <w:b/>
      <w:bCs/>
      <w:sz w:val="22"/>
      <w:szCs w:val="22"/>
    </w:rPr>
  </w:style>
  <w:style w:type="paragraph" w:styleId="Ttulo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before="480" w:after="120"/>
    </w:pPr>
    <w:rPr>
      <w:b/>
      <w:bCs/>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top w:w="0" w:type="dxa"/>
        <w:left w:w="115" w:type="dxa"/>
        <w:bottom w:w="0" w:type="dxa"/>
        <w:right w:w="115" w:type="dxa"/>
      </w:tblCellMar>
    </w:tblPr>
  </w:style>
  <w:style w:type="table" w:customStyle="1" w:styleId="a0">
    <w:basedOn w:val="TableNormal"/>
    <w:tblPr>
      <w:tblStyleRowBandSize w:val="1"/>
      <w:tblStyleColBandSize w:val="1"/>
      <w:tblCellMar>
        <w:top w:w="0" w:type="dxa"/>
        <w:left w:w="115" w:type="dxa"/>
        <w:bottom w:w="0" w:type="dxa"/>
        <w:right w:w="115" w:type="dxa"/>
      </w:tblCellMar>
    </w:tblPr>
  </w:style>
  <w:style w:type="table" w:styleId="Tablaconcuadrcula">
    <w:name w:val="Table Grid"/>
    <w:basedOn w:val="Tablanormal"/>
    <w:uiPriority w:val="39"/>
    <w:rsid w:val="00CA6BA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B03125"/>
    <w:rPr>
      <w:color w:val="0000FF" w:themeColor="hyperlink"/>
      <w:u w:val="single"/>
    </w:rPr>
  </w:style>
  <w:style w:type="paragraph" w:styleId="Textonotapie">
    <w:name w:val="footnote text"/>
    <w:basedOn w:val="Normal"/>
    <w:link w:val="TextonotapieCar"/>
    <w:uiPriority w:val="99"/>
    <w:semiHidden/>
    <w:unhideWhenUsed/>
    <w:rsid w:val="00D978A8"/>
    <w:rPr>
      <w:sz w:val="20"/>
      <w:szCs w:val="20"/>
    </w:rPr>
  </w:style>
  <w:style w:type="character" w:customStyle="1" w:styleId="TextonotapieCar">
    <w:name w:val="Texto nota pie Car"/>
    <w:basedOn w:val="Fuentedeprrafopredeter"/>
    <w:link w:val="Textonotapie"/>
    <w:uiPriority w:val="99"/>
    <w:semiHidden/>
    <w:rsid w:val="00D978A8"/>
    <w:rPr>
      <w:sz w:val="20"/>
      <w:szCs w:val="20"/>
    </w:rPr>
  </w:style>
  <w:style w:type="character" w:styleId="Refdenotaalpie">
    <w:name w:val="footnote reference"/>
    <w:basedOn w:val="Fuentedeprrafopredeter"/>
    <w:uiPriority w:val="99"/>
    <w:semiHidden/>
    <w:unhideWhenUsed/>
    <w:rsid w:val="00D978A8"/>
    <w:rPr>
      <w:vertAlign w:val="superscript"/>
    </w:rPr>
  </w:style>
  <w:style w:type="character" w:styleId="Mencinsinresolver">
    <w:name w:val="Unresolved Mention"/>
    <w:basedOn w:val="Fuentedeprrafopredeter"/>
    <w:uiPriority w:val="99"/>
    <w:semiHidden/>
    <w:unhideWhenUsed/>
    <w:rsid w:val="00F731E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orcid.org/0000-0001-6909-0057"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orcid.org/0000-0001-8770-8180" TargetMode="External"/><Relationship Id="rId12" Type="http://schemas.openxmlformats.org/officeDocument/2006/relationships/hyperlink" Target="https://doi.org/10.22201/fesi.20071523e.2025.1.820"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doi.org/10.1590/1413-812320242911.19192023EN" TargetMode="Externa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orcid.org/0009-0008-3556-2376" TargetMode="Externa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445957C-5F29-2241-9BAE-B9019B984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92</TotalTime>
  <Pages>2</Pages>
  <Words>1620</Words>
  <Characters>8915</Characters>
  <Application>Microsoft Office Word</Application>
  <DocSecurity>0</DocSecurity>
  <Lines>74</Lines>
  <Paragraphs>21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10514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Andrés Méndez</cp:lastModifiedBy>
  <cp:revision>15</cp:revision>
  <dcterms:created xsi:type="dcterms:W3CDTF">2026-02-27T20:51:00Z</dcterms:created>
  <dcterms:modified xsi:type="dcterms:W3CDTF">2026-03-02T14:23:00Z</dcterms:modified>
</cp:coreProperties>
</file>