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6B3FA8" w14:textId="10FEB374" w:rsidR="007F1B86" w:rsidRPr="00117083" w:rsidRDefault="007F1B86" w:rsidP="00CE2F36">
      <w:pPr>
        <w:pBdr>
          <w:top w:val="nil"/>
          <w:left w:val="nil"/>
          <w:bottom w:val="nil"/>
          <w:right w:val="nil"/>
          <w:between w:val="nil"/>
        </w:pBdr>
        <w:spacing w:before="120" w:after="120"/>
        <w:jc w:val="center"/>
        <w:rPr>
          <w:rFonts w:ascii="Roboto" w:eastAsia="Roboto" w:hAnsi="Roboto" w:cs="Roboto"/>
          <w:b/>
          <w:bCs/>
          <w:color w:val="000000"/>
          <w:sz w:val="20"/>
          <w:szCs w:val="20"/>
        </w:rPr>
      </w:pPr>
      <w:r w:rsidRPr="00117083">
        <w:rPr>
          <w:rFonts w:ascii="Roboto" w:eastAsia="Roboto" w:hAnsi="Roboto" w:cs="Roboto"/>
          <w:b/>
          <w:bCs/>
          <w:color w:val="000000"/>
          <w:sz w:val="20"/>
          <w:szCs w:val="20"/>
        </w:rPr>
        <w:t xml:space="preserve">Evaluación institucional del cumplimiento sanitario y su relación con la </w:t>
      </w:r>
      <w:r w:rsidR="00117083" w:rsidRPr="00117083">
        <w:rPr>
          <w:rFonts w:ascii="Roboto" w:eastAsia="Roboto" w:hAnsi="Roboto" w:cs="Roboto"/>
          <w:b/>
          <w:bCs/>
          <w:color w:val="000000"/>
          <w:sz w:val="20"/>
          <w:szCs w:val="20"/>
        </w:rPr>
        <w:t>percepción estudiantil</w:t>
      </w:r>
      <w:r w:rsidRPr="00117083">
        <w:rPr>
          <w:rFonts w:ascii="Roboto" w:eastAsia="Roboto" w:hAnsi="Roboto" w:cs="Roboto"/>
          <w:b/>
          <w:bCs/>
          <w:color w:val="000000"/>
          <w:sz w:val="20"/>
          <w:szCs w:val="20"/>
        </w:rPr>
        <w:t xml:space="preserve"> en cafeterías universitarias</w:t>
      </w:r>
    </w:p>
    <w:p w14:paraId="35D679D6" w14:textId="506D0843" w:rsidR="00B03125" w:rsidRPr="00117083" w:rsidRDefault="00B03125" w:rsidP="00CE2F36">
      <w:pPr>
        <w:pBdr>
          <w:top w:val="nil"/>
          <w:left w:val="nil"/>
          <w:bottom w:val="nil"/>
          <w:right w:val="nil"/>
          <w:between w:val="nil"/>
        </w:pBdr>
        <w:spacing w:before="120" w:after="120"/>
        <w:jc w:val="center"/>
        <w:rPr>
          <w:rFonts w:ascii="Roboto" w:eastAsia="Roboto" w:hAnsi="Roboto" w:cs="Roboto"/>
          <w:b/>
          <w:color w:val="000000"/>
          <w:sz w:val="20"/>
          <w:szCs w:val="20"/>
        </w:rPr>
      </w:pPr>
      <w:r w:rsidRPr="00117083">
        <w:rPr>
          <w:rFonts w:ascii="Roboto" w:eastAsia="Roboto" w:hAnsi="Roboto" w:cs="Roboto"/>
          <w:b/>
          <w:color w:val="000000"/>
          <w:sz w:val="20"/>
          <w:szCs w:val="20"/>
        </w:rPr>
        <w:t>Méndez-Palacios-Macedo A.</w:t>
      </w:r>
      <w:r w:rsidRPr="00117083">
        <w:rPr>
          <w:rFonts w:ascii="Roboto" w:eastAsia="Roboto" w:hAnsi="Roboto" w:cs="Roboto"/>
          <w:b/>
          <w:color w:val="000000"/>
          <w:sz w:val="20"/>
          <w:szCs w:val="20"/>
          <w:vertAlign w:val="superscript"/>
        </w:rPr>
        <w:t xml:space="preserve">1*, </w:t>
      </w:r>
      <w:r w:rsidRPr="00117083">
        <w:rPr>
          <w:rFonts w:ascii="Roboto" w:eastAsia="Roboto" w:hAnsi="Roboto" w:cs="Roboto"/>
          <w:b/>
          <w:color w:val="000000"/>
          <w:sz w:val="20"/>
          <w:szCs w:val="20"/>
        </w:rPr>
        <w:t>Ruiz-Ruiz J.C..</w:t>
      </w:r>
      <w:r w:rsidRPr="00117083">
        <w:rPr>
          <w:rFonts w:ascii="Roboto" w:eastAsia="Roboto" w:hAnsi="Roboto" w:cs="Roboto"/>
          <w:b/>
          <w:color w:val="000000"/>
          <w:sz w:val="20"/>
          <w:szCs w:val="20"/>
          <w:vertAlign w:val="superscript"/>
        </w:rPr>
        <w:t>2</w:t>
      </w:r>
      <w:r w:rsidRPr="00117083">
        <w:rPr>
          <w:rFonts w:ascii="Roboto" w:eastAsia="Roboto" w:hAnsi="Roboto" w:cs="Roboto"/>
          <w:b/>
          <w:color w:val="000000"/>
          <w:sz w:val="20"/>
          <w:szCs w:val="20"/>
        </w:rPr>
        <w:t>, y Porrúa-Ardura M.A.</w:t>
      </w:r>
      <w:r w:rsidRPr="00117083">
        <w:rPr>
          <w:rFonts w:ascii="Roboto" w:eastAsia="Roboto" w:hAnsi="Roboto" w:cs="Roboto"/>
          <w:b/>
          <w:color w:val="000000"/>
          <w:sz w:val="20"/>
          <w:szCs w:val="20"/>
          <w:vertAlign w:val="superscript"/>
        </w:rPr>
        <w:t>3</w:t>
      </w:r>
    </w:p>
    <w:p w14:paraId="5884CF89" w14:textId="743E7E24" w:rsidR="00B03125" w:rsidRPr="00117083" w:rsidRDefault="00B03125" w:rsidP="00CE2F36">
      <w:pPr>
        <w:pBdr>
          <w:top w:val="nil"/>
          <w:left w:val="nil"/>
          <w:bottom w:val="nil"/>
          <w:right w:val="nil"/>
          <w:between w:val="nil"/>
        </w:pBdr>
        <w:jc w:val="center"/>
        <w:rPr>
          <w:rFonts w:ascii="Roboto" w:eastAsia="Roboto" w:hAnsi="Roboto" w:cs="Roboto"/>
          <w:color w:val="000000"/>
          <w:sz w:val="20"/>
          <w:szCs w:val="20"/>
          <w:vertAlign w:val="superscript"/>
        </w:rPr>
      </w:pPr>
      <w:r w:rsidRPr="00117083">
        <w:rPr>
          <w:rFonts w:ascii="Roboto" w:eastAsia="Roboto" w:hAnsi="Roboto" w:cs="Roboto"/>
          <w:sz w:val="20"/>
          <w:szCs w:val="20"/>
          <w:vertAlign w:val="superscript"/>
        </w:rPr>
        <w:t>1</w:t>
      </w:r>
      <w:r w:rsidRPr="00117083">
        <w:rPr>
          <w:rFonts w:ascii="Roboto" w:eastAsia="Roboto" w:hAnsi="Roboto" w:cs="Roboto"/>
          <w:color w:val="000000"/>
          <w:sz w:val="20"/>
          <w:szCs w:val="20"/>
        </w:rPr>
        <w:t>Universidad Anáhuac-Mayab</w:t>
      </w:r>
      <w:r w:rsidRPr="00117083">
        <w:rPr>
          <w:rFonts w:ascii="Roboto" w:eastAsia="Roboto" w:hAnsi="Roboto" w:cs="Roboto"/>
          <w:sz w:val="20"/>
          <w:szCs w:val="20"/>
        </w:rPr>
        <w:t xml:space="preserve">, </w:t>
      </w:r>
      <w:hyperlink r:id="rId8" w:history="1">
        <w:r w:rsidRPr="00117083">
          <w:rPr>
            <w:rStyle w:val="Hipervnculo"/>
            <w:rFonts w:ascii="Roboto" w:eastAsia="Roboto" w:hAnsi="Roboto" w:cs="Roboto"/>
            <w:sz w:val="20"/>
            <w:szCs w:val="20"/>
          </w:rPr>
          <w:t>https://orcid.org/0000-0001-8770-8180</w:t>
        </w:r>
      </w:hyperlink>
    </w:p>
    <w:p w14:paraId="000CC889" w14:textId="7F6395AD" w:rsidR="00B03125" w:rsidRPr="00117083" w:rsidRDefault="00B03125" w:rsidP="00CE2F36">
      <w:pPr>
        <w:pBdr>
          <w:top w:val="nil"/>
          <w:left w:val="nil"/>
          <w:bottom w:val="nil"/>
          <w:right w:val="nil"/>
          <w:between w:val="nil"/>
        </w:pBdr>
        <w:jc w:val="center"/>
        <w:rPr>
          <w:rFonts w:ascii="Roboto" w:eastAsia="Roboto" w:hAnsi="Roboto" w:cs="Roboto"/>
          <w:color w:val="000000"/>
          <w:sz w:val="20"/>
          <w:szCs w:val="20"/>
        </w:rPr>
      </w:pPr>
      <w:r w:rsidRPr="00117083">
        <w:rPr>
          <w:rFonts w:ascii="Roboto" w:eastAsia="Roboto" w:hAnsi="Roboto" w:cs="Roboto"/>
          <w:color w:val="000000"/>
          <w:sz w:val="20"/>
          <w:szCs w:val="20"/>
          <w:vertAlign w:val="superscript"/>
        </w:rPr>
        <w:t>2</w:t>
      </w:r>
      <w:r w:rsidRPr="00117083">
        <w:rPr>
          <w:rFonts w:ascii="Roboto" w:eastAsia="Roboto" w:hAnsi="Roboto" w:cs="Roboto"/>
          <w:color w:val="000000"/>
          <w:sz w:val="20"/>
          <w:szCs w:val="20"/>
        </w:rPr>
        <w:t xml:space="preserve">Universidad Anáhuac-Mayab, </w:t>
      </w:r>
      <w:hyperlink r:id="rId9" w:history="1">
        <w:r w:rsidRPr="00117083">
          <w:rPr>
            <w:rStyle w:val="Hipervnculo"/>
            <w:rFonts w:ascii="Roboto" w:eastAsia="Roboto" w:hAnsi="Roboto" w:cs="Roboto"/>
            <w:sz w:val="20"/>
            <w:szCs w:val="20"/>
          </w:rPr>
          <w:t>https://orcid.org/0000-0001-6909-0057</w:t>
        </w:r>
      </w:hyperlink>
      <w:r w:rsidRPr="00117083">
        <w:rPr>
          <w:rFonts w:ascii="Roboto" w:eastAsia="Roboto" w:hAnsi="Roboto" w:cs="Roboto"/>
          <w:color w:val="000000"/>
          <w:sz w:val="20"/>
          <w:szCs w:val="20"/>
        </w:rPr>
        <w:t xml:space="preserve">  </w:t>
      </w:r>
    </w:p>
    <w:p w14:paraId="139F1BF7" w14:textId="77777777" w:rsidR="00B03125" w:rsidRPr="00117083" w:rsidRDefault="00B03125" w:rsidP="00CE2F36">
      <w:pPr>
        <w:jc w:val="center"/>
        <w:rPr>
          <w:rFonts w:ascii="Roboto" w:eastAsia="Roboto" w:hAnsi="Roboto" w:cs="Roboto"/>
          <w:sz w:val="20"/>
          <w:szCs w:val="20"/>
        </w:rPr>
      </w:pPr>
      <w:r w:rsidRPr="00117083">
        <w:rPr>
          <w:rFonts w:ascii="Roboto" w:eastAsia="Roboto" w:hAnsi="Roboto" w:cs="Roboto"/>
          <w:sz w:val="20"/>
          <w:szCs w:val="20"/>
          <w:vertAlign w:val="superscript"/>
        </w:rPr>
        <w:t>3</w:t>
      </w:r>
      <w:r w:rsidRPr="00117083">
        <w:rPr>
          <w:rFonts w:ascii="Roboto" w:eastAsia="Roboto" w:hAnsi="Roboto" w:cs="Roboto"/>
          <w:color w:val="000000"/>
          <w:sz w:val="20"/>
          <w:szCs w:val="20"/>
        </w:rPr>
        <w:t>Universidad Anáhuac-Mayab</w:t>
      </w:r>
      <w:r w:rsidRPr="00117083">
        <w:rPr>
          <w:rFonts w:ascii="Roboto" w:eastAsia="Roboto" w:hAnsi="Roboto" w:cs="Roboto"/>
          <w:sz w:val="20"/>
          <w:szCs w:val="20"/>
        </w:rPr>
        <w:t xml:space="preserve">, </w:t>
      </w:r>
      <w:hyperlink r:id="rId10" w:history="1">
        <w:r w:rsidRPr="00117083">
          <w:rPr>
            <w:rStyle w:val="Hipervnculo"/>
            <w:rFonts w:ascii="Roboto" w:eastAsia="Roboto" w:hAnsi="Roboto" w:cs="Roboto"/>
            <w:sz w:val="20"/>
            <w:szCs w:val="20"/>
          </w:rPr>
          <w:t>https://orcid.org/0009-0008-3556-2376</w:t>
        </w:r>
      </w:hyperlink>
      <w:r w:rsidRPr="00117083">
        <w:rPr>
          <w:rFonts w:ascii="Roboto" w:eastAsia="Roboto" w:hAnsi="Roboto" w:cs="Roboto"/>
          <w:sz w:val="20"/>
          <w:szCs w:val="20"/>
        </w:rPr>
        <w:t xml:space="preserve"> </w:t>
      </w:r>
    </w:p>
    <w:p w14:paraId="5A008314" w14:textId="452AE7EB" w:rsidR="00B03125" w:rsidRPr="00117083" w:rsidRDefault="00B03125" w:rsidP="0080699A">
      <w:pPr>
        <w:jc w:val="center"/>
        <w:rPr>
          <w:rFonts w:ascii="Roboto" w:eastAsia="Roboto" w:hAnsi="Roboto" w:cs="Roboto"/>
          <w:sz w:val="20"/>
          <w:szCs w:val="20"/>
        </w:rPr>
      </w:pPr>
      <w:r w:rsidRPr="00117083">
        <w:rPr>
          <w:rFonts w:ascii="Roboto" w:eastAsia="Roboto" w:hAnsi="Roboto" w:cs="Roboto"/>
          <w:sz w:val="20"/>
          <w:szCs w:val="20"/>
        </w:rPr>
        <w:t>*Autor de correspondencia (e-mail:</w:t>
      </w:r>
      <w:r w:rsidRPr="00117083">
        <w:rPr>
          <w:rFonts w:ascii="Roboto" w:eastAsia="Roboto" w:hAnsi="Roboto" w:cs="Roboto"/>
          <w:sz w:val="20"/>
          <w:szCs w:val="20"/>
          <w:highlight w:val="white"/>
        </w:rPr>
        <w:t xml:space="preserve"> </w:t>
      </w:r>
      <w:hyperlink r:id="rId11" w:history="1">
        <w:r w:rsidR="0080699A" w:rsidRPr="00F262F9">
          <w:rPr>
            <w:rStyle w:val="Hipervnculo"/>
            <w:rFonts w:ascii="Roboto" w:eastAsia="Roboto" w:hAnsi="Roboto" w:cs="Roboto"/>
            <w:sz w:val="20"/>
            <w:szCs w:val="20"/>
          </w:rPr>
          <w:t>jorge.ruizr@anahuac.mx</w:t>
        </w:r>
      </w:hyperlink>
      <w:r w:rsidR="0080699A">
        <w:rPr>
          <w:rFonts w:ascii="Roboto" w:eastAsia="Roboto" w:hAnsi="Roboto" w:cs="Roboto"/>
          <w:sz w:val="20"/>
          <w:szCs w:val="20"/>
        </w:rPr>
        <w:t xml:space="preserve">, </w:t>
      </w:r>
      <w:hyperlink r:id="rId12" w:history="1">
        <w:r w:rsidR="0080699A" w:rsidRPr="00F262F9">
          <w:rPr>
            <w:rStyle w:val="Hipervnculo"/>
            <w:rFonts w:ascii="Roboto" w:eastAsia="Roboto" w:hAnsi="Roboto" w:cs="Roboto"/>
            <w:sz w:val="20"/>
            <w:szCs w:val="20"/>
          </w:rPr>
          <w:t>andres.mendezp@anahuac.mx</w:t>
        </w:r>
      </w:hyperlink>
      <w:r w:rsidR="0080699A">
        <w:rPr>
          <w:rFonts w:ascii="Roboto" w:eastAsia="Roboto" w:hAnsi="Roboto" w:cs="Roboto"/>
          <w:sz w:val="20"/>
          <w:szCs w:val="20"/>
        </w:rPr>
        <w:t xml:space="preserve">, </w:t>
      </w:r>
      <w:hyperlink r:id="rId13" w:history="1">
        <w:r w:rsidR="0080699A" w:rsidRPr="00F262F9">
          <w:rPr>
            <w:rStyle w:val="Hipervnculo"/>
            <w:rFonts w:ascii="Roboto" w:eastAsia="Roboto" w:hAnsi="Roboto" w:cs="Roboto"/>
            <w:sz w:val="20"/>
            <w:szCs w:val="20"/>
          </w:rPr>
          <w:t>aurora.porrua@anahuac.mx</w:t>
        </w:r>
      </w:hyperlink>
      <w:r w:rsidR="0080699A">
        <w:rPr>
          <w:rFonts w:ascii="Roboto" w:eastAsia="Roboto" w:hAnsi="Roboto" w:cs="Roboto"/>
          <w:sz w:val="20"/>
          <w:szCs w:val="20"/>
        </w:rPr>
        <w:t xml:space="preserve">) </w:t>
      </w:r>
    </w:p>
    <w:p w14:paraId="72402427" w14:textId="77777777" w:rsidR="008C3ABE" w:rsidRPr="00117083" w:rsidRDefault="00000000" w:rsidP="00CE2F36">
      <w:pPr>
        <w:spacing w:before="60"/>
        <w:jc w:val="center"/>
        <w:rPr>
          <w:rFonts w:ascii="Roboto" w:eastAsia="Roboto" w:hAnsi="Roboto" w:cs="Roboto"/>
          <w:sz w:val="20"/>
          <w:szCs w:val="20"/>
        </w:rPr>
        <w:sectPr w:rsidR="008C3ABE" w:rsidRPr="00117083">
          <w:headerReference w:type="default" r:id="rId14"/>
          <w:pgSz w:w="11906" w:h="16838"/>
          <w:pgMar w:top="851" w:right="851" w:bottom="828" w:left="851" w:header="357" w:footer="720" w:gutter="0"/>
          <w:pgNumType w:start="1"/>
          <w:cols w:space="720"/>
        </w:sectPr>
      </w:pPr>
      <w:r>
        <w:rPr>
          <w:noProof/>
          <w:sz w:val="20"/>
          <w:szCs w:val="20"/>
        </w:rPr>
        <w:pict w14:anchorId="054F94A3">
          <v:rect id="_x0000_i1025" alt="" style="width:441.9pt;height:.05pt;mso-width-percent:0;mso-height-percent:0;mso-width-percent:0;mso-height-percent:0" o:hralign="center" o:hrstd="t" o:hr="t" fillcolor="#a0a0a0" stroked="f"/>
        </w:pict>
      </w:r>
    </w:p>
    <w:p w14:paraId="21B7D06D" w14:textId="3976F171" w:rsidR="008C3ABE" w:rsidRPr="00117083" w:rsidRDefault="00704074" w:rsidP="00CE2F36">
      <w:pPr>
        <w:pBdr>
          <w:top w:val="nil"/>
          <w:left w:val="nil"/>
          <w:bottom w:val="nil"/>
          <w:right w:val="nil"/>
          <w:between w:val="nil"/>
        </w:pBdr>
        <w:spacing w:before="60"/>
        <w:jc w:val="both"/>
        <w:rPr>
          <w:rFonts w:ascii="Roboto" w:eastAsia="Roboto" w:hAnsi="Roboto" w:cs="Roboto"/>
          <w:b/>
          <w:bCs/>
          <w:color w:val="000000"/>
          <w:sz w:val="20"/>
          <w:szCs w:val="20"/>
        </w:rPr>
      </w:pPr>
      <w:r w:rsidRPr="00117083">
        <w:rPr>
          <w:rFonts w:ascii="Roboto" w:eastAsia="Roboto" w:hAnsi="Roboto" w:cs="Roboto"/>
          <w:b/>
          <w:bCs/>
          <w:color w:val="000000"/>
          <w:sz w:val="20"/>
          <w:szCs w:val="20"/>
        </w:rPr>
        <w:t>INTRODUCCIÓN</w:t>
      </w:r>
    </w:p>
    <w:p w14:paraId="55116E1B" w14:textId="727FFDA7" w:rsidR="00EA3E8C" w:rsidRPr="00117083" w:rsidRDefault="00EA3E8C" w:rsidP="00EA3E8C">
      <w:pPr>
        <w:pBdr>
          <w:top w:val="nil"/>
          <w:left w:val="nil"/>
          <w:bottom w:val="nil"/>
          <w:right w:val="nil"/>
          <w:between w:val="nil"/>
        </w:pBdr>
        <w:jc w:val="both"/>
        <w:rPr>
          <w:rFonts w:ascii="Roboto" w:eastAsia="Roboto" w:hAnsi="Roboto" w:cs="Roboto"/>
          <w:color w:val="000000"/>
          <w:sz w:val="20"/>
          <w:szCs w:val="20"/>
        </w:rPr>
      </w:pPr>
      <w:r w:rsidRPr="00117083">
        <w:rPr>
          <w:rFonts w:ascii="Roboto" w:eastAsia="Roboto" w:hAnsi="Roboto" w:cs="Roboto"/>
          <w:color w:val="000000"/>
          <w:sz w:val="20"/>
          <w:szCs w:val="20"/>
        </w:rPr>
        <w:t>Las cafeterías universitarias son entornos donde convergen la inocuidad alimentaria, la regulación sanitaria y la protección de la salud pública. Su operación exige tanto el cumplimiento de prácticas higiénicas como la correcta aplicación de disposiciones sobre etiquetado nutrimental.</w:t>
      </w:r>
    </w:p>
    <w:p w14:paraId="444E6E01" w14:textId="77777777" w:rsidR="00443122" w:rsidRDefault="00EA3E8C" w:rsidP="00EA3E8C">
      <w:pPr>
        <w:pBdr>
          <w:top w:val="nil"/>
          <w:left w:val="nil"/>
          <w:bottom w:val="nil"/>
          <w:right w:val="nil"/>
          <w:between w:val="nil"/>
        </w:pBdr>
        <w:jc w:val="both"/>
        <w:rPr>
          <w:rFonts w:ascii="Roboto" w:eastAsia="Roboto" w:hAnsi="Roboto" w:cs="Roboto"/>
          <w:color w:val="000000"/>
          <w:sz w:val="20"/>
          <w:szCs w:val="20"/>
        </w:rPr>
      </w:pPr>
      <w:r w:rsidRPr="00117083">
        <w:rPr>
          <w:rFonts w:ascii="Roboto" w:eastAsia="Roboto" w:hAnsi="Roboto" w:cs="Roboto"/>
          <w:color w:val="000000"/>
          <w:sz w:val="20"/>
          <w:szCs w:val="20"/>
        </w:rPr>
        <w:t xml:space="preserve">En México, estos componentes se regulan mediante la NOM-251-SSA1-2009, enfocada en prácticas de higiene, y la NOM-051-SCFI/SSA1-2010, relativa al etiquetado nutrimental y la información comercial. El cumplimiento de ambos marcos constituye un indicador clave del desempeño sanitario institucional. Sin embargo, la seguridad alimentaria en el ámbito universitario no se limita al cumplimiento técnico, sino que también involucra la percepción de los usuarios sobre </w:t>
      </w:r>
      <w:r w:rsidR="00117083">
        <w:rPr>
          <w:rFonts w:ascii="Roboto" w:eastAsia="Roboto" w:hAnsi="Roboto" w:cs="Roboto"/>
          <w:color w:val="000000"/>
          <w:sz w:val="20"/>
          <w:szCs w:val="20"/>
        </w:rPr>
        <w:t xml:space="preserve">la </w:t>
      </w:r>
      <w:r w:rsidRPr="00117083">
        <w:rPr>
          <w:rFonts w:ascii="Roboto" w:eastAsia="Roboto" w:hAnsi="Roboto" w:cs="Roboto"/>
          <w:color w:val="000000"/>
          <w:sz w:val="20"/>
          <w:szCs w:val="20"/>
        </w:rPr>
        <w:t>calidad</w:t>
      </w:r>
      <w:r w:rsidR="00117083">
        <w:rPr>
          <w:rFonts w:ascii="Roboto" w:eastAsia="Roboto" w:hAnsi="Roboto" w:cs="Roboto"/>
          <w:color w:val="000000"/>
          <w:sz w:val="20"/>
          <w:szCs w:val="20"/>
        </w:rPr>
        <w:t xml:space="preserve"> </w:t>
      </w:r>
      <w:r w:rsidRPr="00117083">
        <w:rPr>
          <w:rFonts w:ascii="Roboto" w:eastAsia="Roboto" w:hAnsi="Roboto" w:cs="Roboto"/>
          <w:color w:val="000000"/>
          <w:sz w:val="20"/>
          <w:szCs w:val="20"/>
        </w:rPr>
        <w:t>y confiabilidad del servicio.</w:t>
      </w:r>
      <w:r w:rsidR="00443122">
        <w:rPr>
          <w:rFonts w:ascii="Roboto" w:eastAsia="Roboto" w:hAnsi="Roboto" w:cs="Roboto"/>
          <w:color w:val="000000"/>
          <w:sz w:val="20"/>
          <w:szCs w:val="20"/>
        </w:rPr>
        <w:t xml:space="preserve"> </w:t>
      </w:r>
    </w:p>
    <w:p w14:paraId="31D2D709" w14:textId="3332F0D8" w:rsidR="00EA3E8C" w:rsidRPr="00117083" w:rsidRDefault="00117083" w:rsidP="00EA3E8C">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R</w:t>
      </w:r>
      <w:r w:rsidR="00EA3E8C" w:rsidRPr="00117083">
        <w:rPr>
          <w:rFonts w:ascii="Roboto" w:eastAsia="Roboto" w:hAnsi="Roboto" w:cs="Roboto"/>
          <w:color w:val="000000"/>
          <w:sz w:val="20"/>
          <w:szCs w:val="20"/>
        </w:rPr>
        <w:t xml:space="preserve">esulta pertinente analizar de forma integrada el cumplimiento normativo en inocuidad y etiquetado nutrimental y su vinculación con la percepción de los </w:t>
      </w:r>
      <w:r>
        <w:rPr>
          <w:rFonts w:ascii="Roboto" w:eastAsia="Roboto" w:hAnsi="Roboto" w:cs="Roboto"/>
          <w:color w:val="000000"/>
          <w:sz w:val="20"/>
          <w:szCs w:val="20"/>
        </w:rPr>
        <w:t>estudiantes</w:t>
      </w:r>
      <w:r w:rsidR="00EA3E8C" w:rsidRPr="00117083">
        <w:rPr>
          <w:rFonts w:ascii="Roboto" w:eastAsia="Roboto" w:hAnsi="Roboto" w:cs="Roboto"/>
          <w:color w:val="000000"/>
          <w:sz w:val="20"/>
          <w:szCs w:val="20"/>
        </w:rPr>
        <w:t>, como</w:t>
      </w:r>
      <w:r>
        <w:rPr>
          <w:rFonts w:ascii="Roboto" w:eastAsia="Roboto" w:hAnsi="Roboto" w:cs="Roboto"/>
          <w:color w:val="000000"/>
          <w:sz w:val="20"/>
          <w:szCs w:val="20"/>
        </w:rPr>
        <w:t xml:space="preserve"> </w:t>
      </w:r>
      <w:r w:rsidR="00EA3E8C" w:rsidRPr="00117083">
        <w:rPr>
          <w:rFonts w:ascii="Roboto" w:eastAsia="Roboto" w:hAnsi="Roboto" w:cs="Roboto"/>
          <w:color w:val="000000"/>
          <w:sz w:val="20"/>
          <w:szCs w:val="20"/>
        </w:rPr>
        <w:t>de la seguridad alimentaria y la sostenibilidad operativa en cafeterías universitarias.</w:t>
      </w:r>
    </w:p>
    <w:p w14:paraId="60466066" w14:textId="77777777" w:rsidR="00EA3E8C" w:rsidRPr="00117083" w:rsidRDefault="00EA3E8C" w:rsidP="00EA3E8C">
      <w:pPr>
        <w:pBdr>
          <w:top w:val="nil"/>
          <w:left w:val="nil"/>
          <w:bottom w:val="nil"/>
          <w:right w:val="nil"/>
          <w:between w:val="nil"/>
        </w:pBdr>
        <w:jc w:val="both"/>
        <w:rPr>
          <w:rFonts w:ascii="Roboto" w:eastAsia="Roboto" w:hAnsi="Roboto" w:cs="Roboto"/>
          <w:color w:val="FF0000"/>
          <w:sz w:val="20"/>
          <w:szCs w:val="20"/>
          <w:u w:val="single"/>
        </w:rPr>
      </w:pPr>
    </w:p>
    <w:p w14:paraId="278B35D3" w14:textId="59990B2C" w:rsidR="008C3ABE" w:rsidRPr="00117083" w:rsidRDefault="00704074" w:rsidP="00CE2F36">
      <w:pPr>
        <w:pBdr>
          <w:top w:val="nil"/>
          <w:left w:val="nil"/>
          <w:bottom w:val="nil"/>
          <w:right w:val="nil"/>
          <w:between w:val="nil"/>
        </w:pBdr>
        <w:jc w:val="both"/>
        <w:rPr>
          <w:rFonts w:ascii="Roboto" w:eastAsia="Roboto" w:hAnsi="Roboto" w:cs="Roboto"/>
          <w:b/>
          <w:bCs/>
          <w:color w:val="000000"/>
          <w:sz w:val="20"/>
          <w:szCs w:val="20"/>
        </w:rPr>
      </w:pPr>
      <w:r w:rsidRPr="00117083">
        <w:rPr>
          <w:rFonts w:ascii="Roboto" w:eastAsia="Roboto" w:hAnsi="Roboto" w:cs="Roboto"/>
          <w:b/>
          <w:bCs/>
          <w:color w:val="000000"/>
          <w:sz w:val="20"/>
          <w:szCs w:val="20"/>
        </w:rPr>
        <w:t>OBJETIVO</w:t>
      </w:r>
    </w:p>
    <w:p w14:paraId="1BEDDC84" w14:textId="4A7C57E4" w:rsidR="00B71E3C" w:rsidRPr="00117083" w:rsidRDefault="00340C8D" w:rsidP="00CE2F36">
      <w:pPr>
        <w:pBdr>
          <w:top w:val="nil"/>
          <w:left w:val="nil"/>
          <w:bottom w:val="nil"/>
          <w:right w:val="nil"/>
          <w:between w:val="nil"/>
        </w:pBdr>
        <w:jc w:val="both"/>
        <w:rPr>
          <w:rFonts w:ascii="Roboto" w:hAnsi="Roboto"/>
          <w:sz w:val="20"/>
          <w:szCs w:val="20"/>
        </w:rPr>
      </w:pPr>
      <w:r w:rsidRPr="00117083">
        <w:rPr>
          <w:rFonts w:ascii="Roboto" w:hAnsi="Roboto"/>
          <w:sz w:val="20"/>
          <w:szCs w:val="20"/>
        </w:rPr>
        <w:t>Evaluar desde una perspectiva institucional el cumplimiento sanitario conforme a la normativa vigente y su vinculación con la percepción de los usuarios en cafeterías universitarias.</w:t>
      </w:r>
    </w:p>
    <w:p w14:paraId="340856EB" w14:textId="77777777" w:rsidR="00340C8D" w:rsidRPr="00117083" w:rsidRDefault="00340C8D" w:rsidP="00CE2F36">
      <w:pPr>
        <w:pBdr>
          <w:top w:val="nil"/>
          <w:left w:val="nil"/>
          <w:bottom w:val="nil"/>
          <w:right w:val="nil"/>
          <w:between w:val="nil"/>
        </w:pBdr>
        <w:jc w:val="both"/>
        <w:rPr>
          <w:rFonts w:ascii="Roboto" w:eastAsia="Roboto" w:hAnsi="Roboto" w:cs="Roboto"/>
          <w:color w:val="000000"/>
          <w:sz w:val="20"/>
          <w:szCs w:val="20"/>
        </w:rPr>
      </w:pPr>
    </w:p>
    <w:p w14:paraId="12F553EA" w14:textId="07161277" w:rsidR="008C3ABE" w:rsidRPr="00117083" w:rsidRDefault="00704074" w:rsidP="00CE2F36">
      <w:pPr>
        <w:pBdr>
          <w:top w:val="nil"/>
          <w:left w:val="nil"/>
          <w:bottom w:val="nil"/>
          <w:right w:val="nil"/>
          <w:between w:val="nil"/>
        </w:pBdr>
        <w:jc w:val="both"/>
        <w:rPr>
          <w:rFonts w:ascii="Roboto" w:eastAsia="Roboto" w:hAnsi="Roboto" w:cs="Roboto"/>
          <w:b/>
          <w:bCs/>
          <w:color w:val="000000"/>
          <w:sz w:val="20"/>
          <w:szCs w:val="20"/>
        </w:rPr>
      </w:pPr>
      <w:r w:rsidRPr="00117083">
        <w:rPr>
          <w:rFonts w:ascii="Roboto" w:eastAsia="Roboto" w:hAnsi="Roboto" w:cs="Roboto"/>
          <w:b/>
          <w:bCs/>
          <w:color w:val="000000"/>
          <w:sz w:val="20"/>
          <w:szCs w:val="20"/>
        </w:rPr>
        <w:t>METODOLOGÍA</w:t>
      </w:r>
    </w:p>
    <w:p w14:paraId="36042903" w14:textId="58E81AA7" w:rsidR="00B71E3C" w:rsidRPr="00117083" w:rsidRDefault="00B71E3C" w:rsidP="00CE2F36">
      <w:pPr>
        <w:pBdr>
          <w:top w:val="nil"/>
          <w:left w:val="nil"/>
          <w:bottom w:val="nil"/>
          <w:right w:val="nil"/>
          <w:between w:val="nil"/>
        </w:pBdr>
        <w:jc w:val="both"/>
        <w:rPr>
          <w:rFonts w:ascii="Roboto" w:eastAsia="Roboto" w:hAnsi="Roboto" w:cs="Roboto"/>
          <w:color w:val="000000"/>
          <w:sz w:val="20"/>
          <w:szCs w:val="20"/>
        </w:rPr>
      </w:pPr>
      <w:r w:rsidRPr="00117083">
        <w:rPr>
          <w:rFonts w:ascii="Roboto" w:eastAsia="Roboto" w:hAnsi="Roboto" w:cs="Roboto"/>
          <w:color w:val="000000"/>
          <w:sz w:val="20"/>
          <w:szCs w:val="20"/>
        </w:rPr>
        <w:t xml:space="preserve">Se realizó un estudio analítico con </w:t>
      </w:r>
      <w:r w:rsidR="00117083">
        <w:rPr>
          <w:rFonts w:ascii="Roboto" w:eastAsia="Roboto" w:hAnsi="Roboto" w:cs="Roboto"/>
          <w:color w:val="000000"/>
          <w:sz w:val="20"/>
          <w:szCs w:val="20"/>
        </w:rPr>
        <w:t>dos</w:t>
      </w:r>
      <w:r w:rsidRPr="00117083">
        <w:rPr>
          <w:rFonts w:ascii="Roboto" w:eastAsia="Roboto" w:hAnsi="Roboto" w:cs="Roboto"/>
          <w:color w:val="000000"/>
          <w:sz w:val="20"/>
          <w:szCs w:val="20"/>
        </w:rPr>
        <w:t xml:space="preserve"> componentes:</w:t>
      </w:r>
    </w:p>
    <w:p w14:paraId="77E2569B" w14:textId="689BCEB5" w:rsidR="00B71E3C" w:rsidRPr="00117083" w:rsidRDefault="00B71E3C" w:rsidP="00CE2F36">
      <w:pPr>
        <w:pBdr>
          <w:top w:val="nil"/>
          <w:left w:val="nil"/>
          <w:bottom w:val="nil"/>
          <w:right w:val="nil"/>
          <w:between w:val="nil"/>
        </w:pBdr>
        <w:jc w:val="both"/>
        <w:rPr>
          <w:rFonts w:ascii="Roboto" w:eastAsia="Roboto" w:hAnsi="Roboto" w:cs="Roboto"/>
          <w:color w:val="000000"/>
          <w:sz w:val="20"/>
          <w:szCs w:val="20"/>
        </w:rPr>
      </w:pPr>
      <w:r w:rsidRPr="00117083">
        <w:rPr>
          <w:rFonts w:ascii="Roboto" w:eastAsia="Roboto" w:hAnsi="Roboto" w:cs="Roboto"/>
          <w:color w:val="000000"/>
          <w:sz w:val="20"/>
          <w:szCs w:val="20"/>
        </w:rPr>
        <w:t>a) Desempeño normativo. Se analizaron auditorías seriadas en cinco cafeterías durante 2025, evaluando el cumplimiento de la NOM-251-SSA1-2009 y la NOM-051-SCFI/SSA1-2010.</w:t>
      </w:r>
      <w:r w:rsidR="00117083">
        <w:rPr>
          <w:rFonts w:ascii="Roboto" w:eastAsia="Roboto" w:hAnsi="Roboto" w:cs="Roboto"/>
          <w:color w:val="000000"/>
          <w:sz w:val="20"/>
          <w:szCs w:val="20"/>
        </w:rPr>
        <w:t xml:space="preserve"> C</w:t>
      </w:r>
      <w:r w:rsidRPr="00117083">
        <w:rPr>
          <w:rFonts w:ascii="Roboto" w:eastAsia="Roboto" w:hAnsi="Roboto" w:cs="Roboto"/>
          <w:color w:val="000000"/>
          <w:sz w:val="20"/>
          <w:szCs w:val="20"/>
        </w:rPr>
        <w:t>alculando cambios en puntos porcentuales mediante pruebas pareadas (t de Student y Wilcoxon).</w:t>
      </w:r>
    </w:p>
    <w:p w14:paraId="32522106" w14:textId="136E27C5" w:rsidR="00B71E3C" w:rsidRPr="00117083" w:rsidRDefault="00B71E3C" w:rsidP="00CE2F36">
      <w:pPr>
        <w:pBdr>
          <w:top w:val="nil"/>
          <w:left w:val="nil"/>
          <w:bottom w:val="nil"/>
          <w:right w:val="nil"/>
          <w:between w:val="nil"/>
        </w:pBdr>
        <w:jc w:val="both"/>
        <w:rPr>
          <w:rFonts w:ascii="Roboto" w:eastAsia="Roboto" w:hAnsi="Roboto" w:cs="Roboto"/>
          <w:color w:val="000000"/>
          <w:sz w:val="20"/>
          <w:szCs w:val="20"/>
        </w:rPr>
      </w:pPr>
      <w:r w:rsidRPr="00117083">
        <w:rPr>
          <w:rFonts w:ascii="Roboto" w:eastAsia="Roboto" w:hAnsi="Roboto" w:cs="Roboto"/>
          <w:color w:val="000000"/>
          <w:sz w:val="20"/>
          <w:szCs w:val="20"/>
        </w:rPr>
        <w:t>b) Percepción del servicio. Se analizaron encuestas por conveniencia a estudiantes (n = 278) con escala Likert sobre calidad, higiene, relación calidad-precio, variedad y sabor. Se calcularon estadísticas descriptivas, se evaluó normalidad (Shapiro–Wilk) y se compararon medias por sexo; la variabilidad se estimó con el coeficiente de variación.</w:t>
      </w:r>
      <w:r w:rsidR="00117083" w:rsidRPr="00117083">
        <w:rPr>
          <w:rFonts w:ascii="Roboto" w:eastAsia="Roboto" w:hAnsi="Roboto" w:cs="Roboto"/>
          <w:color w:val="000000"/>
          <w:sz w:val="20"/>
          <w:szCs w:val="20"/>
        </w:rPr>
        <w:t xml:space="preserve"> </w:t>
      </w:r>
      <w:r w:rsidRPr="00117083">
        <w:rPr>
          <w:rFonts w:ascii="Roboto" w:eastAsia="Roboto" w:hAnsi="Roboto" w:cs="Roboto"/>
          <w:color w:val="000000"/>
          <w:sz w:val="20"/>
          <w:szCs w:val="20"/>
        </w:rPr>
        <w:t xml:space="preserve">Finalmente, se exploró la correspondencia entre la mejora en cumplimiento normativo y los niveles de </w:t>
      </w:r>
      <w:r w:rsidR="00117083">
        <w:rPr>
          <w:rFonts w:ascii="Roboto" w:eastAsia="Roboto" w:hAnsi="Roboto" w:cs="Roboto"/>
          <w:color w:val="000000"/>
          <w:sz w:val="20"/>
          <w:szCs w:val="20"/>
        </w:rPr>
        <w:t xml:space="preserve">percepción </w:t>
      </w:r>
      <w:r w:rsidRPr="00117083">
        <w:rPr>
          <w:rFonts w:ascii="Roboto" w:eastAsia="Roboto" w:hAnsi="Roboto" w:cs="Roboto"/>
          <w:color w:val="000000"/>
          <w:sz w:val="20"/>
          <w:szCs w:val="20"/>
        </w:rPr>
        <w:t>estudiantil.</w:t>
      </w:r>
    </w:p>
    <w:p w14:paraId="6E6F0C39" w14:textId="77777777" w:rsidR="00B71E3C" w:rsidRPr="00117083" w:rsidRDefault="00B71E3C" w:rsidP="00CE2F36">
      <w:pPr>
        <w:pBdr>
          <w:top w:val="nil"/>
          <w:left w:val="nil"/>
          <w:bottom w:val="nil"/>
          <w:right w:val="nil"/>
          <w:between w:val="nil"/>
        </w:pBdr>
        <w:jc w:val="both"/>
        <w:rPr>
          <w:rFonts w:ascii="Roboto" w:eastAsia="Roboto" w:hAnsi="Roboto" w:cs="Roboto"/>
          <w:color w:val="000000"/>
          <w:sz w:val="20"/>
          <w:szCs w:val="20"/>
        </w:rPr>
      </w:pPr>
    </w:p>
    <w:p w14:paraId="4A1C7620" w14:textId="2CD9866F" w:rsidR="00201999" w:rsidRPr="00117083" w:rsidRDefault="00704074" w:rsidP="00CE2F36">
      <w:pPr>
        <w:pBdr>
          <w:top w:val="nil"/>
          <w:left w:val="nil"/>
          <w:bottom w:val="nil"/>
          <w:right w:val="nil"/>
          <w:between w:val="nil"/>
        </w:pBdr>
        <w:jc w:val="both"/>
        <w:rPr>
          <w:rFonts w:ascii="Roboto" w:eastAsia="Roboto" w:hAnsi="Roboto" w:cs="Roboto"/>
          <w:b/>
          <w:bCs/>
          <w:color w:val="000000"/>
          <w:sz w:val="20"/>
          <w:szCs w:val="20"/>
        </w:rPr>
      </w:pPr>
      <w:r w:rsidRPr="00117083">
        <w:rPr>
          <w:rFonts w:ascii="Roboto" w:eastAsia="Roboto" w:hAnsi="Roboto" w:cs="Roboto"/>
          <w:b/>
          <w:bCs/>
          <w:color w:val="000000"/>
          <w:sz w:val="20"/>
          <w:szCs w:val="20"/>
        </w:rPr>
        <w:t>RESULTADOS</w:t>
      </w:r>
    </w:p>
    <w:p w14:paraId="6A715EE3" w14:textId="71ED7961" w:rsidR="00F86245" w:rsidRPr="00117083" w:rsidRDefault="00F86245" w:rsidP="00F86245">
      <w:pPr>
        <w:tabs>
          <w:tab w:val="left" w:pos="0"/>
        </w:tabs>
        <w:jc w:val="both"/>
        <w:rPr>
          <w:rFonts w:ascii="Roboto" w:eastAsia="Roboto" w:hAnsi="Roboto" w:cs="Roboto"/>
          <w:color w:val="000000"/>
          <w:sz w:val="20"/>
          <w:szCs w:val="20"/>
        </w:rPr>
      </w:pPr>
      <w:r w:rsidRPr="00117083">
        <w:rPr>
          <w:rFonts w:ascii="Roboto" w:eastAsia="Roboto" w:hAnsi="Roboto" w:cs="Roboto"/>
          <w:color w:val="000000"/>
          <w:sz w:val="20"/>
          <w:szCs w:val="20"/>
        </w:rPr>
        <w:t xml:space="preserve">La Tabla 1 muestra una mejora sustancial en el cumplimiento de la NOM-251 entre 2025 y 2026. El </w:t>
      </w:r>
      <w:r w:rsidRPr="00117083">
        <w:rPr>
          <w:rFonts w:ascii="Roboto" w:eastAsia="Roboto" w:hAnsi="Roboto" w:cs="Roboto"/>
          <w:color w:val="000000"/>
          <w:sz w:val="20"/>
          <w:szCs w:val="20"/>
        </w:rPr>
        <w:t>promedio institucional pasó de 72% en la primera verificación a 91% en 2026, lo que representa un incremento global de 36 puntos porcentuales respecto al último corte previo. Este patrón es congruente con evidencia reciente en servicios de alimentos que documenta mejoras posteriores a intervenciones formativas, particularmente cuando la capacitación se acompaña de verificación y retroalimentación, con efectos observables incluso en indicadores microbiológicos y listas de cotejo operativas (Castro et al., 2024).</w:t>
      </w:r>
    </w:p>
    <w:p w14:paraId="6ECEE753" w14:textId="77777777" w:rsidR="00F86245" w:rsidRPr="00117083" w:rsidRDefault="00F86245" w:rsidP="00F86245">
      <w:pPr>
        <w:tabs>
          <w:tab w:val="left" w:pos="0"/>
        </w:tabs>
        <w:jc w:val="both"/>
        <w:rPr>
          <w:rFonts w:ascii="Roboto" w:eastAsia="Roboto" w:hAnsi="Roboto" w:cs="Roboto"/>
          <w:color w:val="000000"/>
          <w:sz w:val="20"/>
          <w:szCs w:val="20"/>
        </w:rPr>
      </w:pPr>
    </w:p>
    <w:tbl>
      <w:tblPr>
        <w:tblStyle w:val="Tablaconcuadrcula"/>
        <w:tblW w:w="5232" w:type="pct"/>
        <w:jc w:val="center"/>
        <w:tblLayout w:type="fixed"/>
        <w:tblLook w:val="0600" w:firstRow="0" w:lastRow="0" w:firstColumn="0" w:lastColumn="0" w:noHBand="1" w:noVBand="1"/>
      </w:tblPr>
      <w:tblGrid>
        <w:gridCol w:w="1136"/>
        <w:gridCol w:w="711"/>
        <w:gridCol w:w="712"/>
        <w:gridCol w:w="711"/>
        <w:gridCol w:w="710"/>
        <w:gridCol w:w="982"/>
      </w:tblGrid>
      <w:tr w:rsidR="00F86245" w:rsidRPr="00117083" w14:paraId="24D5D7D5" w14:textId="77777777" w:rsidTr="00C974CC">
        <w:trPr>
          <w:jc w:val="center"/>
        </w:trPr>
        <w:tc>
          <w:tcPr>
            <w:tcW w:w="5000" w:type="pct"/>
            <w:gridSpan w:val="6"/>
            <w:tcBorders>
              <w:top w:val="nil"/>
              <w:left w:val="nil"/>
              <w:bottom w:val="single" w:sz="4" w:space="0" w:color="auto"/>
              <w:right w:val="nil"/>
            </w:tcBorders>
            <w:vAlign w:val="center"/>
          </w:tcPr>
          <w:p w14:paraId="34B1D219" w14:textId="77777777" w:rsidR="00F86245" w:rsidRPr="00117083" w:rsidRDefault="00F86245" w:rsidP="00C974CC">
            <w:pPr>
              <w:tabs>
                <w:tab w:val="left" w:pos="0"/>
              </w:tabs>
              <w:jc w:val="both"/>
              <w:rPr>
                <w:rFonts w:ascii="Roboto" w:eastAsia="Roboto" w:hAnsi="Roboto" w:cs="Roboto"/>
                <w:b/>
                <w:bCs/>
                <w:sz w:val="19"/>
                <w:szCs w:val="19"/>
              </w:rPr>
            </w:pPr>
            <w:r w:rsidRPr="00117083">
              <w:rPr>
                <w:rFonts w:ascii="Roboto" w:hAnsi="Roboto"/>
                <w:b/>
                <w:bCs/>
                <w:sz w:val="19"/>
                <w:szCs w:val="19"/>
              </w:rPr>
              <w:t xml:space="preserve">Tabla 1. </w:t>
            </w:r>
            <w:r w:rsidRPr="00117083">
              <w:rPr>
                <w:rFonts w:ascii="Roboto" w:eastAsia="Roboto" w:hAnsi="Roboto" w:cs="Roboto"/>
                <w:sz w:val="19"/>
                <w:szCs w:val="19"/>
              </w:rPr>
              <w:t>Resultados de verificación de la NOM-251 en los servicios de alimentación de la Universidad Anáhuac Mayab, 2025-2026.</w:t>
            </w:r>
          </w:p>
        </w:tc>
      </w:tr>
      <w:tr w:rsidR="00F86245" w:rsidRPr="00117083" w14:paraId="5FC302C2" w14:textId="77777777" w:rsidTr="00C974CC">
        <w:trPr>
          <w:jc w:val="center"/>
        </w:trPr>
        <w:tc>
          <w:tcPr>
            <w:tcW w:w="1146" w:type="pct"/>
            <w:vMerge w:val="restart"/>
            <w:tcBorders>
              <w:top w:val="single" w:sz="4" w:space="0" w:color="auto"/>
            </w:tcBorders>
            <w:vAlign w:val="center"/>
          </w:tcPr>
          <w:p w14:paraId="3AC5DC8C"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Cafetería</w:t>
            </w:r>
          </w:p>
        </w:tc>
        <w:tc>
          <w:tcPr>
            <w:tcW w:w="3854" w:type="pct"/>
            <w:gridSpan w:val="5"/>
            <w:tcBorders>
              <w:top w:val="single" w:sz="4" w:space="0" w:color="auto"/>
            </w:tcBorders>
            <w:vAlign w:val="center"/>
          </w:tcPr>
          <w:p w14:paraId="53AABC5A"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Verificación</w:t>
            </w:r>
          </w:p>
          <w:p w14:paraId="5808AC33"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 de cumplimiento)</w:t>
            </w:r>
          </w:p>
        </w:tc>
      </w:tr>
      <w:tr w:rsidR="00F86245" w:rsidRPr="00117083" w14:paraId="74132051" w14:textId="77777777" w:rsidTr="00C974CC">
        <w:trPr>
          <w:jc w:val="center"/>
        </w:trPr>
        <w:tc>
          <w:tcPr>
            <w:tcW w:w="1146" w:type="pct"/>
            <w:vMerge/>
            <w:vAlign w:val="center"/>
          </w:tcPr>
          <w:p w14:paraId="574DAB56" w14:textId="77777777" w:rsidR="00F86245" w:rsidRPr="00117083" w:rsidRDefault="00F86245" w:rsidP="00C974CC">
            <w:pPr>
              <w:widowControl w:val="0"/>
              <w:jc w:val="center"/>
              <w:rPr>
                <w:rFonts w:ascii="Roboto" w:hAnsi="Roboto"/>
                <w:b/>
                <w:bCs/>
                <w:sz w:val="19"/>
                <w:szCs w:val="19"/>
              </w:rPr>
            </w:pPr>
          </w:p>
        </w:tc>
        <w:tc>
          <w:tcPr>
            <w:tcW w:w="716" w:type="pct"/>
            <w:vAlign w:val="center"/>
          </w:tcPr>
          <w:p w14:paraId="59B2DA6E"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1</w:t>
            </w:r>
          </w:p>
        </w:tc>
        <w:tc>
          <w:tcPr>
            <w:tcW w:w="717" w:type="pct"/>
            <w:vAlign w:val="center"/>
          </w:tcPr>
          <w:p w14:paraId="3D72A625"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2</w:t>
            </w:r>
          </w:p>
        </w:tc>
        <w:tc>
          <w:tcPr>
            <w:tcW w:w="716" w:type="pct"/>
            <w:vAlign w:val="center"/>
          </w:tcPr>
          <w:p w14:paraId="725CC0C4"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3</w:t>
            </w:r>
          </w:p>
        </w:tc>
        <w:tc>
          <w:tcPr>
            <w:tcW w:w="715" w:type="pct"/>
            <w:vAlign w:val="center"/>
          </w:tcPr>
          <w:p w14:paraId="6B5C0B8C"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4</w:t>
            </w:r>
          </w:p>
        </w:tc>
        <w:tc>
          <w:tcPr>
            <w:tcW w:w="989" w:type="pct"/>
            <w:vMerge w:val="restart"/>
            <w:vAlign w:val="center"/>
          </w:tcPr>
          <w:p w14:paraId="4533ECE0"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Cambio</w:t>
            </w:r>
          </w:p>
        </w:tc>
      </w:tr>
      <w:tr w:rsidR="00F86245" w:rsidRPr="00117083" w14:paraId="4A46BECE" w14:textId="77777777" w:rsidTr="00C974CC">
        <w:trPr>
          <w:jc w:val="center"/>
        </w:trPr>
        <w:tc>
          <w:tcPr>
            <w:tcW w:w="1146" w:type="pct"/>
            <w:vMerge/>
            <w:vAlign w:val="center"/>
          </w:tcPr>
          <w:p w14:paraId="1CCBC68E" w14:textId="77777777" w:rsidR="00F86245" w:rsidRPr="00117083" w:rsidRDefault="00F86245" w:rsidP="00C974CC">
            <w:pPr>
              <w:widowControl w:val="0"/>
              <w:jc w:val="center"/>
              <w:rPr>
                <w:rFonts w:ascii="Roboto" w:hAnsi="Roboto"/>
                <w:b/>
                <w:bCs/>
                <w:sz w:val="19"/>
                <w:szCs w:val="19"/>
              </w:rPr>
            </w:pPr>
          </w:p>
        </w:tc>
        <w:tc>
          <w:tcPr>
            <w:tcW w:w="716" w:type="pct"/>
            <w:vAlign w:val="center"/>
          </w:tcPr>
          <w:p w14:paraId="508CE444"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2025</w:t>
            </w:r>
          </w:p>
        </w:tc>
        <w:tc>
          <w:tcPr>
            <w:tcW w:w="717" w:type="pct"/>
            <w:vAlign w:val="center"/>
          </w:tcPr>
          <w:p w14:paraId="481DE4C3"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2025</w:t>
            </w:r>
          </w:p>
        </w:tc>
        <w:tc>
          <w:tcPr>
            <w:tcW w:w="716" w:type="pct"/>
            <w:vAlign w:val="center"/>
          </w:tcPr>
          <w:p w14:paraId="3DDDE16F"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2025</w:t>
            </w:r>
          </w:p>
        </w:tc>
        <w:tc>
          <w:tcPr>
            <w:tcW w:w="715" w:type="pct"/>
            <w:vAlign w:val="center"/>
          </w:tcPr>
          <w:p w14:paraId="041E3BF1" w14:textId="77777777" w:rsidR="00F86245" w:rsidRPr="00117083" w:rsidRDefault="00F86245" w:rsidP="00C974CC">
            <w:pPr>
              <w:widowControl w:val="0"/>
              <w:jc w:val="center"/>
              <w:rPr>
                <w:rFonts w:ascii="Roboto" w:hAnsi="Roboto"/>
                <w:b/>
                <w:bCs/>
                <w:sz w:val="19"/>
                <w:szCs w:val="19"/>
              </w:rPr>
            </w:pPr>
            <w:r w:rsidRPr="00117083">
              <w:rPr>
                <w:rFonts w:ascii="Roboto" w:hAnsi="Roboto"/>
                <w:b/>
                <w:bCs/>
                <w:sz w:val="19"/>
                <w:szCs w:val="19"/>
              </w:rPr>
              <w:t>2026</w:t>
            </w:r>
          </w:p>
        </w:tc>
        <w:tc>
          <w:tcPr>
            <w:tcW w:w="989" w:type="pct"/>
            <w:vMerge/>
            <w:vAlign w:val="center"/>
          </w:tcPr>
          <w:p w14:paraId="16EE2D26" w14:textId="77777777" w:rsidR="00F86245" w:rsidRPr="00117083" w:rsidRDefault="00F86245" w:rsidP="00C974CC">
            <w:pPr>
              <w:widowControl w:val="0"/>
              <w:jc w:val="center"/>
              <w:rPr>
                <w:rFonts w:ascii="Roboto" w:hAnsi="Roboto"/>
                <w:b/>
                <w:bCs/>
                <w:sz w:val="19"/>
                <w:szCs w:val="19"/>
              </w:rPr>
            </w:pPr>
          </w:p>
        </w:tc>
      </w:tr>
      <w:tr w:rsidR="00F86245" w:rsidRPr="00117083" w14:paraId="7FE3BBC5" w14:textId="77777777" w:rsidTr="00C974CC">
        <w:trPr>
          <w:jc w:val="center"/>
        </w:trPr>
        <w:tc>
          <w:tcPr>
            <w:tcW w:w="1146" w:type="pct"/>
            <w:vAlign w:val="center"/>
          </w:tcPr>
          <w:p w14:paraId="1712C0ED" w14:textId="77777777" w:rsidR="00F86245" w:rsidRPr="00117083" w:rsidRDefault="00F86245" w:rsidP="00C974CC">
            <w:pPr>
              <w:widowControl w:val="0"/>
              <w:jc w:val="center"/>
              <w:rPr>
                <w:rFonts w:ascii="Roboto" w:hAnsi="Roboto"/>
                <w:sz w:val="19"/>
                <w:szCs w:val="19"/>
              </w:rPr>
            </w:pPr>
            <w:bookmarkStart w:id="0" w:name="OLE_LINK3"/>
            <w:r w:rsidRPr="00117083">
              <w:rPr>
                <w:rFonts w:ascii="Roboto" w:hAnsi="Roboto"/>
                <w:sz w:val="19"/>
                <w:szCs w:val="19"/>
              </w:rPr>
              <w:t>1</w:t>
            </w:r>
          </w:p>
        </w:tc>
        <w:tc>
          <w:tcPr>
            <w:tcW w:w="716" w:type="pct"/>
            <w:vAlign w:val="center"/>
          </w:tcPr>
          <w:p w14:paraId="458000A4"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66</w:t>
            </w:r>
          </w:p>
        </w:tc>
        <w:tc>
          <w:tcPr>
            <w:tcW w:w="717" w:type="pct"/>
            <w:vAlign w:val="center"/>
          </w:tcPr>
          <w:p w14:paraId="5AA5646D"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82</w:t>
            </w:r>
          </w:p>
        </w:tc>
        <w:tc>
          <w:tcPr>
            <w:tcW w:w="716" w:type="pct"/>
            <w:vAlign w:val="center"/>
          </w:tcPr>
          <w:p w14:paraId="160A8311"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82</w:t>
            </w:r>
          </w:p>
        </w:tc>
        <w:tc>
          <w:tcPr>
            <w:tcW w:w="715" w:type="pct"/>
            <w:vAlign w:val="center"/>
          </w:tcPr>
          <w:p w14:paraId="2C52D202"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90</w:t>
            </w:r>
          </w:p>
        </w:tc>
        <w:tc>
          <w:tcPr>
            <w:tcW w:w="989" w:type="pct"/>
            <w:vAlign w:val="center"/>
          </w:tcPr>
          <w:p w14:paraId="004F5E5D" w14:textId="77777777" w:rsidR="00F86245" w:rsidRPr="00443122" w:rsidRDefault="00F86245" w:rsidP="00C974CC">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+8</w:t>
            </w:r>
          </w:p>
        </w:tc>
      </w:tr>
      <w:tr w:rsidR="00F86245" w:rsidRPr="00117083" w14:paraId="069FC126" w14:textId="77777777" w:rsidTr="00C974CC">
        <w:trPr>
          <w:jc w:val="center"/>
        </w:trPr>
        <w:tc>
          <w:tcPr>
            <w:tcW w:w="1146" w:type="pct"/>
            <w:vAlign w:val="center"/>
          </w:tcPr>
          <w:p w14:paraId="5EA7784A"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2</w:t>
            </w:r>
          </w:p>
        </w:tc>
        <w:tc>
          <w:tcPr>
            <w:tcW w:w="716" w:type="pct"/>
            <w:vAlign w:val="center"/>
          </w:tcPr>
          <w:p w14:paraId="59BEA38B"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89</w:t>
            </w:r>
          </w:p>
        </w:tc>
        <w:tc>
          <w:tcPr>
            <w:tcW w:w="717" w:type="pct"/>
            <w:vAlign w:val="center"/>
          </w:tcPr>
          <w:p w14:paraId="01950496"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50</w:t>
            </w:r>
          </w:p>
        </w:tc>
        <w:tc>
          <w:tcPr>
            <w:tcW w:w="716" w:type="pct"/>
            <w:vAlign w:val="center"/>
          </w:tcPr>
          <w:p w14:paraId="4CDD8FFC"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50</w:t>
            </w:r>
          </w:p>
        </w:tc>
        <w:tc>
          <w:tcPr>
            <w:tcW w:w="715" w:type="pct"/>
            <w:vAlign w:val="center"/>
          </w:tcPr>
          <w:p w14:paraId="6AE997CD"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89</w:t>
            </w:r>
          </w:p>
        </w:tc>
        <w:tc>
          <w:tcPr>
            <w:tcW w:w="989" w:type="pct"/>
            <w:vAlign w:val="center"/>
          </w:tcPr>
          <w:p w14:paraId="1E71964D" w14:textId="77777777" w:rsidR="00F86245" w:rsidRPr="00443122" w:rsidRDefault="00F86245" w:rsidP="00C974CC">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+39</w:t>
            </w:r>
          </w:p>
        </w:tc>
      </w:tr>
      <w:tr w:rsidR="00F86245" w:rsidRPr="00117083" w14:paraId="1D0A60FF" w14:textId="77777777" w:rsidTr="00C974CC">
        <w:trPr>
          <w:jc w:val="center"/>
        </w:trPr>
        <w:tc>
          <w:tcPr>
            <w:tcW w:w="1146" w:type="pct"/>
            <w:vAlign w:val="center"/>
          </w:tcPr>
          <w:p w14:paraId="39C1729F"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3</w:t>
            </w:r>
          </w:p>
        </w:tc>
        <w:tc>
          <w:tcPr>
            <w:tcW w:w="716" w:type="pct"/>
            <w:vAlign w:val="center"/>
          </w:tcPr>
          <w:p w14:paraId="4D5710DB"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71</w:t>
            </w:r>
          </w:p>
        </w:tc>
        <w:tc>
          <w:tcPr>
            <w:tcW w:w="717" w:type="pct"/>
            <w:vAlign w:val="center"/>
          </w:tcPr>
          <w:p w14:paraId="202E8C42"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32</w:t>
            </w:r>
          </w:p>
        </w:tc>
        <w:tc>
          <w:tcPr>
            <w:tcW w:w="716" w:type="pct"/>
            <w:vAlign w:val="center"/>
          </w:tcPr>
          <w:p w14:paraId="34C78CA1"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29</w:t>
            </w:r>
          </w:p>
        </w:tc>
        <w:tc>
          <w:tcPr>
            <w:tcW w:w="715" w:type="pct"/>
            <w:vAlign w:val="center"/>
          </w:tcPr>
          <w:p w14:paraId="666ACF5B"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91</w:t>
            </w:r>
          </w:p>
        </w:tc>
        <w:tc>
          <w:tcPr>
            <w:tcW w:w="989" w:type="pct"/>
            <w:vAlign w:val="center"/>
          </w:tcPr>
          <w:p w14:paraId="2AA1D237" w14:textId="77777777" w:rsidR="00F86245" w:rsidRPr="00443122" w:rsidRDefault="00F86245" w:rsidP="00C974CC">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+62</w:t>
            </w:r>
          </w:p>
        </w:tc>
      </w:tr>
      <w:tr w:rsidR="00F86245" w:rsidRPr="00117083" w14:paraId="414D937A" w14:textId="77777777" w:rsidTr="00C974CC">
        <w:trPr>
          <w:jc w:val="center"/>
        </w:trPr>
        <w:tc>
          <w:tcPr>
            <w:tcW w:w="1146" w:type="pct"/>
            <w:vAlign w:val="center"/>
          </w:tcPr>
          <w:p w14:paraId="3237E862"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4</w:t>
            </w:r>
          </w:p>
        </w:tc>
        <w:tc>
          <w:tcPr>
            <w:tcW w:w="716" w:type="pct"/>
            <w:vAlign w:val="center"/>
          </w:tcPr>
          <w:p w14:paraId="25DAD7F6"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61</w:t>
            </w:r>
          </w:p>
        </w:tc>
        <w:tc>
          <w:tcPr>
            <w:tcW w:w="717" w:type="pct"/>
            <w:vAlign w:val="center"/>
          </w:tcPr>
          <w:p w14:paraId="579BC278"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58</w:t>
            </w:r>
          </w:p>
        </w:tc>
        <w:tc>
          <w:tcPr>
            <w:tcW w:w="716" w:type="pct"/>
            <w:vAlign w:val="center"/>
          </w:tcPr>
          <w:p w14:paraId="0D806816" w14:textId="77777777" w:rsidR="00F86245" w:rsidRPr="00117083" w:rsidRDefault="00F86245" w:rsidP="00C974CC">
            <w:pPr>
              <w:widowControl w:val="0"/>
              <w:jc w:val="center"/>
              <w:rPr>
                <w:rFonts w:ascii="Roboto" w:hAnsi="Roboto"/>
                <w:sz w:val="19"/>
                <w:szCs w:val="19"/>
              </w:rPr>
            </w:pPr>
            <w:r w:rsidRPr="00117083">
              <w:rPr>
                <w:rFonts w:ascii="Roboto" w:hAnsi="Roboto" w:cs="Calibri"/>
                <w:color w:val="000000"/>
                <w:sz w:val="19"/>
                <w:szCs w:val="19"/>
              </w:rPr>
              <w:t>58</w:t>
            </w:r>
          </w:p>
        </w:tc>
        <w:tc>
          <w:tcPr>
            <w:tcW w:w="715" w:type="pct"/>
            <w:vAlign w:val="center"/>
          </w:tcPr>
          <w:p w14:paraId="1225DC73"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92</w:t>
            </w:r>
          </w:p>
        </w:tc>
        <w:tc>
          <w:tcPr>
            <w:tcW w:w="989" w:type="pct"/>
            <w:vAlign w:val="center"/>
          </w:tcPr>
          <w:p w14:paraId="5186F40E" w14:textId="77777777" w:rsidR="00F86245" w:rsidRPr="00443122" w:rsidRDefault="00F86245" w:rsidP="00C974CC">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+34</w:t>
            </w:r>
          </w:p>
        </w:tc>
      </w:tr>
      <w:tr w:rsidR="00F86245" w:rsidRPr="00117083" w14:paraId="158F9F63" w14:textId="77777777" w:rsidTr="00C974CC">
        <w:trPr>
          <w:jc w:val="center"/>
        </w:trPr>
        <w:tc>
          <w:tcPr>
            <w:tcW w:w="1146" w:type="pct"/>
            <w:vAlign w:val="center"/>
          </w:tcPr>
          <w:p w14:paraId="581F99B8"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Promedio</w:t>
            </w:r>
          </w:p>
        </w:tc>
        <w:tc>
          <w:tcPr>
            <w:tcW w:w="716" w:type="pct"/>
            <w:vAlign w:val="center"/>
          </w:tcPr>
          <w:p w14:paraId="4F58FEFC" w14:textId="77777777" w:rsidR="00F86245" w:rsidRPr="00117083" w:rsidRDefault="00F86245" w:rsidP="00C974CC">
            <w:pPr>
              <w:widowControl w:val="0"/>
              <w:jc w:val="center"/>
              <w:rPr>
                <w:rFonts w:ascii="Roboto" w:hAnsi="Roboto"/>
                <w:sz w:val="19"/>
                <w:szCs w:val="19"/>
              </w:rPr>
            </w:pPr>
            <w:r w:rsidRPr="00117083">
              <w:rPr>
                <w:rFonts w:ascii="Roboto" w:hAnsi="Roboto"/>
                <w:color w:val="000000"/>
                <w:sz w:val="19"/>
                <w:szCs w:val="19"/>
              </w:rPr>
              <w:t>72</w:t>
            </w:r>
          </w:p>
        </w:tc>
        <w:tc>
          <w:tcPr>
            <w:tcW w:w="717" w:type="pct"/>
            <w:vAlign w:val="center"/>
          </w:tcPr>
          <w:p w14:paraId="243AECE7" w14:textId="77777777" w:rsidR="00F86245" w:rsidRPr="00117083" w:rsidRDefault="00F86245" w:rsidP="00C974CC">
            <w:pPr>
              <w:widowControl w:val="0"/>
              <w:jc w:val="center"/>
              <w:rPr>
                <w:rFonts w:ascii="Roboto" w:hAnsi="Roboto"/>
                <w:sz w:val="19"/>
                <w:szCs w:val="19"/>
              </w:rPr>
            </w:pPr>
            <w:r w:rsidRPr="00117083">
              <w:rPr>
                <w:rFonts w:ascii="Roboto" w:hAnsi="Roboto"/>
                <w:color w:val="000000"/>
                <w:sz w:val="19"/>
                <w:szCs w:val="19"/>
              </w:rPr>
              <w:t>56</w:t>
            </w:r>
          </w:p>
        </w:tc>
        <w:tc>
          <w:tcPr>
            <w:tcW w:w="716" w:type="pct"/>
            <w:vAlign w:val="center"/>
          </w:tcPr>
          <w:p w14:paraId="039F2E37" w14:textId="77777777" w:rsidR="00F86245" w:rsidRPr="00117083" w:rsidRDefault="00F86245" w:rsidP="00C974CC">
            <w:pPr>
              <w:widowControl w:val="0"/>
              <w:jc w:val="center"/>
              <w:rPr>
                <w:rFonts w:ascii="Roboto" w:hAnsi="Roboto"/>
                <w:sz w:val="19"/>
                <w:szCs w:val="19"/>
              </w:rPr>
            </w:pPr>
            <w:r w:rsidRPr="00117083">
              <w:rPr>
                <w:rFonts w:ascii="Roboto" w:hAnsi="Roboto"/>
                <w:color w:val="000000"/>
                <w:sz w:val="19"/>
                <w:szCs w:val="19"/>
              </w:rPr>
              <w:t>55</w:t>
            </w:r>
          </w:p>
        </w:tc>
        <w:tc>
          <w:tcPr>
            <w:tcW w:w="715" w:type="pct"/>
            <w:vAlign w:val="center"/>
          </w:tcPr>
          <w:p w14:paraId="0CBCB4B9" w14:textId="77777777" w:rsidR="00F86245" w:rsidRPr="00117083" w:rsidRDefault="00F86245" w:rsidP="00C974CC">
            <w:pPr>
              <w:widowControl w:val="0"/>
              <w:jc w:val="center"/>
              <w:rPr>
                <w:rFonts w:ascii="Roboto" w:hAnsi="Roboto"/>
                <w:sz w:val="19"/>
                <w:szCs w:val="19"/>
              </w:rPr>
            </w:pPr>
            <w:r w:rsidRPr="00117083">
              <w:rPr>
                <w:rFonts w:ascii="Roboto" w:hAnsi="Roboto"/>
                <w:sz w:val="19"/>
                <w:szCs w:val="19"/>
              </w:rPr>
              <w:t>91</w:t>
            </w:r>
          </w:p>
        </w:tc>
        <w:tc>
          <w:tcPr>
            <w:tcW w:w="989" w:type="pct"/>
            <w:vAlign w:val="center"/>
          </w:tcPr>
          <w:p w14:paraId="3E6DCE49" w14:textId="77777777" w:rsidR="00F86245" w:rsidRPr="00443122" w:rsidRDefault="00F86245" w:rsidP="00C974CC">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+36</w:t>
            </w:r>
          </w:p>
        </w:tc>
      </w:tr>
      <w:bookmarkEnd w:id="0"/>
    </w:tbl>
    <w:p w14:paraId="5DF8D1CF" w14:textId="77777777" w:rsidR="00F86245" w:rsidRPr="00117083" w:rsidRDefault="00F86245" w:rsidP="00F86245">
      <w:pPr>
        <w:tabs>
          <w:tab w:val="left" w:pos="0"/>
        </w:tabs>
        <w:jc w:val="both"/>
        <w:rPr>
          <w:rFonts w:ascii="Roboto" w:eastAsia="Roboto" w:hAnsi="Roboto" w:cs="Roboto"/>
          <w:color w:val="000000"/>
          <w:sz w:val="20"/>
          <w:szCs w:val="20"/>
        </w:rPr>
      </w:pPr>
    </w:p>
    <w:p w14:paraId="627AE683" w14:textId="70EB8D75" w:rsidR="00A411B7" w:rsidRPr="00117083" w:rsidRDefault="00A411B7" w:rsidP="00A411B7">
      <w:pPr>
        <w:tabs>
          <w:tab w:val="left" w:pos="0"/>
        </w:tabs>
        <w:jc w:val="both"/>
        <w:rPr>
          <w:rFonts w:ascii="Roboto" w:eastAsia="Roboto" w:hAnsi="Roboto" w:cs="Roboto"/>
          <w:color w:val="000000"/>
          <w:sz w:val="20"/>
          <w:szCs w:val="20"/>
        </w:rPr>
      </w:pPr>
      <w:r w:rsidRPr="00117083">
        <w:rPr>
          <w:rFonts w:ascii="Roboto" w:eastAsia="Roboto" w:hAnsi="Roboto" w:cs="Roboto"/>
          <w:color w:val="000000"/>
          <w:sz w:val="20"/>
          <w:szCs w:val="20"/>
        </w:rPr>
        <w:t>A nivel individual, todas las cafeterías superaron el 89% de cumplimiento en 2026, aunque con trayectorias diferenciadas. Destaca la Cafetería 3, que pasó de 29–32% a 91% (+62 puntos), y la Cafetería 2, que mostró recuperación tras una caída intermedia (+39 puntos). Este patrón refleja variabilidad inicial en la adopción de buenas prácticas, seguida de convergencia hacia estándares altos, fenómeno asociado a factores organizacionales y de supervisión en servicios alimentarios institucionales (Ferreira et al., 2022).</w:t>
      </w:r>
    </w:p>
    <w:p w14:paraId="4D363999" w14:textId="5E0D4119" w:rsidR="00F86245" w:rsidRPr="00117083" w:rsidRDefault="00A411B7" w:rsidP="00A411B7">
      <w:pPr>
        <w:tabs>
          <w:tab w:val="left" w:pos="0"/>
        </w:tabs>
        <w:jc w:val="both"/>
        <w:rPr>
          <w:rFonts w:ascii="Roboto" w:eastAsia="Roboto" w:hAnsi="Roboto" w:cs="Roboto"/>
          <w:color w:val="000000"/>
          <w:sz w:val="20"/>
          <w:szCs w:val="20"/>
        </w:rPr>
      </w:pPr>
      <w:r w:rsidRPr="00117083">
        <w:rPr>
          <w:rFonts w:ascii="Roboto" w:eastAsia="Roboto" w:hAnsi="Roboto" w:cs="Roboto"/>
          <w:color w:val="000000"/>
          <w:sz w:val="20"/>
          <w:szCs w:val="20"/>
        </w:rPr>
        <w:t>En conjunto, los resultados indican que el seguimiento sistemático fortalec</w:t>
      </w:r>
      <w:r w:rsidR="00117083">
        <w:rPr>
          <w:rFonts w:ascii="Roboto" w:eastAsia="Roboto" w:hAnsi="Roboto" w:cs="Roboto"/>
          <w:color w:val="000000"/>
          <w:sz w:val="20"/>
          <w:szCs w:val="20"/>
        </w:rPr>
        <w:t>e</w:t>
      </w:r>
      <w:r w:rsidRPr="00117083">
        <w:rPr>
          <w:rFonts w:ascii="Roboto" w:eastAsia="Roboto" w:hAnsi="Roboto" w:cs="Roboto"/>
          <w:color w:val="000000"/>
          <w:sz w:val="20"/>
          <w:szCs w:val="20"/>
        </w:rPr>
        <w:t xml:space="preserve"> y homogeniza las prácticas sanitarias. </w:t>
      </w:r>
      <w:r w:rsidR="00117083">
        <w:rPr>
          <w:rFonts w:ascii="Roboto" w:eastAsia="Roboto" w:hAnsi="Roboto" w:cs="Roboto"/>
          <w:color w:val="000000"/>
          <w:sz w:val="20"/>
          <w:szCs w:val="20"/>
        </w:rPr>
        <w:t>L</w:t>
      </w:r>
      <w:r w:rsidRPr="00117083">
        <w:rPr>
          <w:rFonts w:ascii="Roboto" w:eastAsia="Roboto" w:hAnsi="Roboto" w:cs="Roboto"/>
          <w:color w:val="000000"/>
          <w:sz w:val="20"/>
          <w:szCs w:val="20"/>
        </w:rPr>
        <w:t xml:space="preserve">as fluctuaciones observadas sugieren que el cumplimiento requiere supervisión continua, ya </w:t>
      </w:r>
      <w:r w:rsidR="00117083">
        <w:rPr>
          <w:rFonts w:ascii="Roboto" w:eastAsia="Roboto" w:hAnsi="Roboto" w:cs="Roboto"/>
          <w:color w:val="000000"/>
          <w:sz w:val="20"/>
          <w:szCs w:val="20"/>
        </w:rPr>
        <w:t xml:space="preserve">que se </w:t>
      </w:r>
      <w:r w:rsidRPr="00117083">
        <w:rPr>
          <w:rFonts w:ascii="Roboto" w:eastAsia="Roboto" w:hAnsi="Roboto" w:cs="Roboto"/>
          <w:color w:val="000000"/>
          <w:sz w:val="20"/>
          <w:szCs w:val="20"/>
        </w:rPr>
        <w:t>puede perder efecto si no se integra</w:t>
      </w:r>
      <w:r w:rsidR="00117083">
        <w:rPr>
          <w:rFonts w:ascii="Roboto" w:eastAsia="Roboto" w:hAnsi="Roboto" w:cs="Roboto"/>
          <w:color w:val="000000"/>
          <w:sz w:val="20"/>
          <w:szCs w:val="20"/>
        </w:rPr>
        <w:t>n</w:t>
      </w:r>
      <w:r w:rsidRPr="00117083">
        <w:rPr>
          <w:rFonts w:ascii="Roboto" w:eastAsia="Roboto" w:hAnsi="Roboto" w:cs="Roboto"/>
          <w:color w:val="000000"/>
          <w:sz w:val="20"/>
          <w:szCs w:val="20"/>
        </w:rPr>
        <w:t xml:space="preserve"> procesos permanentes de monitoreo (Ferreira et al., 2022; Castro et al., 2024).</w:t>
      </w:r>
    </w:p>
    <w:p w14:paraId="3EB3E2EF" w14:textId="77777777" w:rsidR="00A411B7" w:rsidRPr="00117083" w:rsidRDefault="00A411B7" w:rsidP="00CE2F36">
      <w:pPr>
        <w:tabs>
          <w:tab w:val="left" w:pos="0"/>
        </w:tabs>
        <w:jc w:val="both"/>
        <w:rPr>
          <w:rFonts w:ascii="Roboto" w:eastAsia="Roboto" w:hAnsi="Roboto" w:cs="Roboto"/>
          <w:color w:val="000000"/>
          <w:sz w:val="20"/>
          <w:szCs w:val="20"/>
        </w:rPr>
      </w:pPr>
    </w:p>
    <w:p w14:paraId="764541C8" w14:textId="179EB5DF" w:rsidR="00F86245" w:rsidRPr="00117083" w:rsidRDefault="00F86245" w:rsidP="00CE2F36">
      <w:pPr>
        <w:tabs>
          <w:tab w:val="left" w:pos="0"/>
        </w:tabs>
        <w:jc w:val="both"/>
        <w:rPr>
          <w:rFonts w:ascii="Roboto" w:eastAsia="Roboto" w:hAnsi="Roboto" w:cs="Roboto"/>
          <w:color w:val="000000"/>
          <w:sz w:val="20"/>
          <w:szCs w:val="20"/>
        </w:rPr>
      </w:pPr>
      <w:r w:rsidRPr="00117083">
        <w:rPr>
          <w:rFonts w:ascii="Roboto" w:eastAsia="Roboto" w:hAnsi="Roboto" w:cs="Roboto"/>
          <w:color w:val="000000"/>
          <w:sz w:val="20"/>
          <w:szCs w:val="20"/>
        </w:rPr>
        <w:t xml:space="preserve">La Tabla 2 muestra una mejora progresiva en el cumplimiento de la NOM-051 entre 2025 y 2026 en las cuatro cafeterías evaluadas. El promedio institucional aumentó de 72% en la primera verificación de 2025 a 98% en la primera de 2026, lo que indica un fortalecimiento sostenido de los componentes relacionados con información sanitaria y comercial. </w:t>
      </w:r>
      <w:r w:rsidRPr="00117083">
        <w:rPr>
          <w:rFonts w:ascii="Roboto" w:eastAsia="Roboto" w:hAnsi="Roboto" w:cs="Roboto"/>
          <w:color w:val="000000"/>
          <w:sz w:val="20"/>
          <w:szCs w:val="20"/>
        </w:rPr>
        <w:lastRenderedPageBreak/>
        <w:t>Este hallazgo es consistente con la experiencia de implementación del etiquetado frontal en México, donde la conformidad y la vigilancia se vinculan estrechamente con procesos institucionales de control, revisión y cumplimiento regulatorio (Crosbie et al., 2023).</w:t>
      </w:r>
    </w:p>
    <w:p w14:paraId="09FDAF57" w14:textId="643C3F98" w:rsidR="009D2B2B" w:rsidRPr="00117083" w:rsidRDefault="009D2B2B" w:rsidP="009D2B2B">
      <w:pPr>
        <w:jc w:val="both"/>
        <w:rPr>
          <w:rFonts w:ascii="Roboto" w:eastAsia="Roboto" w:hAnsi="Roboto" w:cs="Roboto"/>
          <w:sz w:val="20"/>
          <w:szCs w:val="20"/>
        </w:rPr>
      </w:pPr>
    </w:p>
    <w:tbl>
      <w:tblPr>
        <w:tblStyle w:val="Tablaconcuadrcula"/>
        <w:tblW w:w="5000" w:type="pct"/>
        <w:jc w:val="center"/>
        <w:tblLook w:val="0600" w:firstRow="0" w:lastRow="0" w:firstColumn="0" w:lastColumn="0" w:noHBand="1" w:noVBand="1"/>
      </w:tblPr>
      <w:tblGrid>
        <w:gridCol w:w="1041"/>
        <w:gridCol w:w="696"/>
        <w:gridCol w:w="698"/>
        <w:gridCol w:w="700"/>
        <w:gridCol w:w="732"/>
        <w:gridCol w:w="875"/>
      </w:tblGrid>
      <w:tr w:rsidR="00F86245" w:rsidRPr="00117083" w14:paraId="0B68F0F5" w14:textId="77777777" w:rsidTr="009B5707">
        <w:trPr>
          <w:jc w:val="center"/>
        </w:trPr>
        <w:tc>
          <w:tcPr>
            <w:tcW w:w="5000" w:type="pct"/>
            <w:gridSpan w:val="6"/>
            <w:tcBorders>
              <w:top w:val="nil"/>
              <w:left w:val="nil"/>
              <w:bottom w:val="single" w:sz="4" w:space="0" w:color="auto"/>
              <w:right w:val="nil"/>
            </w:tcBorders>
            <w:vAlign w:val="center"/>
          </w:tcPr>
          <w:p w14:paraId="58E2AF39" w14:textId="681A0177" w:rsidR="00F86245" w:rsidRPr="00117083" w:rsidRDefault="009B5707" w:rsidP="009B5707">
            <w:pPr>
              <w:widowControl w:val="0"/>
              <w:jc w:val="both"/>
              <w:rPr>
                <w:rFonts w:ascii="Roboto" w:hAnsi="Roboto"/>
                <w:b/>
                <w:bCs/>
                <w:sz w:val="19"/>
                <w:szCs w:val="19"/>
              </w:rPr>
            </w:pPr>
            <w:r w:rsidRPr="00117083">
              <w:rPr>
                <w:rFonts w:ascii="Roboto" w:hAnsi="Roboto"/>
                <w:b/>
                <w:bCs/>
                <w:sz w:val="19"/>
                <w:szCs w:val="19"/>
              </w:rPr>
              <w:t xml:space="preserve">Tabla 1. </w:t>
            </w:r>
            <w:r w:rsidRPr="00117083">
              <w:rPr>
                <w:rFonts w:ascii="Roboto" w:hAnsi="Roboto"/>
                <w:sz w:val="19"/>
                <w:szCs w:val="19"/>
              </w:rPr>
              <w:t>Resultados de verificación de la NOM-051 en los servicios de alimentación de la Universidad Anáhuac Mayab, 2025-2026.</w:t>
            </w:r>
          </w:p>
        </w:tc>
      </w:tr>
      <w:tr w:rsidR="009D2B2B" w:rsidRPr="00117083" w14:paraId="14409F10" w14:textId="77777777" w:rsidTr="009B5707">
        <w:trPr>
          <w:jc w:val="center"/>
        </w:trPr>
        <w:tc>
          <w:tcPr>
            <w:tcW w:w="1097" w:type="pct"/>
            <w:vMerge w:val="restart"/>
            <w:tcBorders>
              <w:top w:val="single" w:sz="4" w:space="0" w:color="auto"/>
            </w:tcBorders>
            <w:vAlign w:val="center"/>
          </w:tcPr>
          <w:p w14:paraId="21C2AD93" w14:textId="3F97844C"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Cafetería</w:t>
            </w:r>
          </w:p>
        </w:tc>
        <w:tc>
          <w:tcPr>
            <w:tcW w:w="3903" w:type="pct"/>
            <w:gridSpan w:val="5"/>
            <w:tcBorders>
              <w:top w:val="single" w:sz="4" w:space="0" w:color="auto"/>
            </w:tcBorders>
            <w:vAlign w:val="center"/>
          </w:tcPr>
          <w:p w14:paraId="1962956C" w14:textId="77777777"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Verificación</w:t>
            </w:r>
          </w:p>
          <w:p w14:paraId="20FFE6A9" w14:textId="760B0235"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 de cumplimiento)</w:t>
            </w:r>
          </w:p>
        </w:tc>
      </w:tr>
      <w:tr w:rsidR="009D2B2B" w:rsidRPr="00117083" w14:paraId="1DF25474" w14:textId="77777777" w:rsidTr="00F86245">
        <w:trPr>
          <w:jc w:val="center"/>
        </w:trPr>
        <w:tc>
          <w:tcPr>
            <w:tcW w:w="1097" w:type="pct"/>
            <w:vMerge/>
            <w:vAlign w:val="center"/>
          </w:tcPr>
          <w:p w14:paraId="609ED0E8" w14:textId="4EDE4204" w:rsidR="009D2B2B" w:rsidRPr="00117083" w:rsidRDefault="009D2B2B" w:rsidP="009D2B2B">
            <w:pPr>
              <w:widowControl w:val="0"/>
              <w:jc w:val="center"/>
              <w:rPr>
                <w:rFonts w:ascii="Roboto" w:hAnsi="Roboto"/>
                <w:b/>
                <w:bCs/>
                <w:sz w:val="19"/>
                <w:szCs w:val="19"/>
              </w:rPr>
            </w:pPr>
          </w:p>
        </w:tc>
        <w:tc>
          <w:tcPr>
            <w:tcW w:w="734" w:type="pct"/>
            <w:vAlign w:val="center"/>
          </w:tcPr>
          <w:p w14:paraId="47C12D85" w14:textId="749EB82F"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1</w:t>
            </w:r>
          </w:p>
        </w:tc>
        <w:tc>
          <w:tcPr>
            <w:tcW w:w="736" w:type="pct"/>
            <w:vAlign w:val="center"/>
          </w:tcPr>
          <w:p w14:paraId="58FC2DF8" w14:textId="080CDF4F"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2</w:t>
            </w:r>
          </w:p>
        </w:tc>
        <w:tc>
          <w:tcPr>
            <w:tcW w:w="738" w:type="pct"/>
            <w:vAlign w:val="center"/>
          </w:tcPr>
          <w:p w14:paraId="5D7C5716" w14:textId="70DF9377"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3</w:t>
            </w:r>
          </w:p>
        </w:tc>
        <w:tc>
          <w:tcPr>
            <w:tcW w:w="772" w:type="pct"/>
            <w:vAlign w:val="center"/>
          </w:tcPr>
          <w:p w14:paraId="0625D896" w14:textId="4C293E28"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4</w:t>
            </w:r>
          </w:p>
        </w:tc>
        <w:tc>
          <w:tcPr>
            <w:tcW w:w="922" w:type="pct"/>
            <w:vMerge w:val="restart"/>
            <w:vAlign w:val="center"/>
          </w:tcPr>
          <w:p w14:paraId="74F2B40D" w14:textId="0290FCEF"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Cambio</w:t>
            </w:r>
          </w:p>
        </w:tc>
      </w:tr>
      <w:tr w:rsidR="009D2B2B" w:rsidRPr="00117083" w14:paraId="45D671D3" w14:textId="77777777" w:rsidTr="00F86245">
        <w:trPr>
          <w:jc w:val="center"/>
        </w:trPr>
        <w:tc>
          <w:tcPr>
            <w:tcW w:w="1097" w:type="pct"/>
            <w:vMerge/>
            <w:vAlign w:val="center"/>
          </w:tcPr>
          <w:p w14:paraId="56B42546" w14:textId="40506386" w:rsidR="009D2B2B" w:rsidRPr="00117083" w:rsidRDefault="009D2B2B" w:rsidP="009D2B2B">
            <w:pPr>
              <w:widowControl w:val="0"/>
              <w:jc w:val="center"/>
              <w:rPr>
                <w:rFonts w:ascii="Roboto" w:hAnsi="Roboto"/>
                <w:b/>
                <w:bCs/>
                <w:sz w:val="19"/>
                <w:szCs w:val="19"/>
              </w:rPr>
            </w:pPr>
          </w:p>
        </w:tc>
        <w:tc>
          <w:tcPr>
            <w:tcW w:w="734" w:type="pct"/>
            <w:vAlign w:val="center"/>
          </w:tcPr>
          <w:p w14:paraId="5806C45F" w14:textId="47180168"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2025</w:t>
            </w:r>
          </w:p>
        </w:tc>
        <w:tc>
          <w:tcPr>
            <w:tcW w:w="736" w:type="pct"/>
            <w:vAlign w:val="center"/>
          </w:tcPr>
          <w:p w14:paraId="16A85777" w14:textId="20492545"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2025</w:t>
            </w:r>
          </w:p>
        </w:tc>
        <w:tc>
          <w:tcPr>
            <w:tcW w:w="738" w:type="pct"/>
            <w:vAlign w:val="center"/>
          </w:tcPr>
          <w:p w14:paraId="533039BC" w14:textId="782B4B28"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2025</w:t>
            </w:r>
          </w:p>
        </w:tc>
        <w:tc>
          <w:tcPr>
            <w:tcW w:w="772" w:type="pct"/>
            <w:vAlign w:val="center"/>
          </w:tcPr>
          <w:p w14:paraId="7C23C267" w14:textId="7991BA7D" w:rsidR="009D2B2B" w:rsidRPr="00117083" w:rsidRDefault="009D2B2B" w:rsidP="009D2B2B">
            <w:pPr>
              <w:widowControl w:val="0"/>
              <w:jc w:val="center"/>
              <w:rPr>
                <w:rFonts w:ascii="Roboto" w:hAnsi="Roboto"/>
                <w:b/>
                <w:bCs/>
                <w:sz w:val="19"/>
                <w:szCs w:val="19"/>
              </w:rPr>
            </w:pPr>
            <w:r w:rsidRPr="00117083">
              <w:rPr>
                <w:rFonts w:ascii="Roboto" w:hAnsi="Roboto"/>
                <w:b/>
                <w:bCs/>
                <w:sz w:val="19"/>
                <w:szCs w:val="19"/>
              </w:rPr>
              <w:t>2026</w:t>
            </w:r>
          </w:p>
        </w:tc>
        <w:tc>
          <w:tcPr>
            <w:tcW w:w="922" w:type="pct"/>
            <w:vMerge/>
            <w:vAlign w:val="center"/>
          </w:tcPr>
          <w:p w14:paraId="02E5D2D9" w14:textId="54EF7CBB" w:rsidR="009D2B2B" w:rsidRPr="00117083" w:rsidRDefault="009D2B2B" w:rsidP="009D2B2B">
            <w:pPr>
              <w:widowControl w:val="0"/>
              <w:jc w:val="center"/>
              <w:rPr>
                <w:rFonts w:ascii="Roboto" w:hAnsi="Roboto"/>
                <w:b/>
                <w:bCs/>
                <w:sz w:val="19"/>
                <w:szCs w:val="19"/>
              </w:rPr>
            </w:pPr>
          </w:p>
        </w:tc>
      </w:tr>
      <w:tr w:rsidR="009D2B2B" w:rsidRPr="00117083" w14:paraId="6668E014" w14:textId="77777777" w:rsidTr="00F86245">
        <w:trPr>
          <w:jc w:val="center"/>
        </w:trPr>
        <w:tc>
          <w:tcPr>
            <w:tcW w:w="1097" w:type="pct"/>
            <w:vAlign w:val="center"/>
          </w:tcPr>
          <w:p w14:paraId="4ED97ED3" w14:textId="03E79379" w:rsidR="009D2B2B" w:rsidRPr="00117083" w:rsidRDefault="009D2B2B" w:rsidP="009D2B2B">
            <w:pPr>
              <w:widowControl w:val="0"/>
              <w:jc w:val="center"/>
              <w:rPr>
                <w:rFonts w:ascii="Roboto" w:hAnsi="Roboto"/>
                <w:sz w:val="19"/>
                <w:szCs w:val="19"/>
              </w:rPr>
            </w:pPr>
            <w:r w:rsidRPr="00117083">
              <w:rPr>
                <w:rFonts w:ascii="Roboto" w:hAnsi="Roboto"/>
                <w:sz w:val="19"/>
                <w:szCs w:val="19"/>
              </w:rPr>
              <w:t>1</w:t>
            </w:r>
          </w:p>
        </w:tc>
        <w:tc>
          <w:tcPr>
            <w:tcW w:w="734" w:type="pct"/>
            <w:vAlign w:val="center"/>
          </w:tcPr>
          <w:p w14:paraId="08E346F6"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73</w:t>
            </w:r>
          </w:p>
        </w:tc>
        <w:tc>
          <w:tcPr>
            <w:tcW w:w="736" w:type="pct"/>
            <w:vAlign w:val="center"/>
          </w:tcPr>
          <w:p w14:paraId="12260AD6"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85</w:t>
            </w:r>
          </w:p>
        </w:tc>
        <w:tc>
          <w:tcPr>
            <w:tcW w:w="738" w:type="pct"/>
            <w:vAlign w:val="center"/>
          </w:tcPr>
          <w:p w14:paraId="587A6173"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85</w:t>
            </w:r>
          </w:p>
        </w:tc>
        <w:tc>
          <w:tcPr>
            <w:tcW w:w="772" w:type="pct"/>
            <w:vAlign w:val="center"/>
          </w:tcPr>
          <w:p w14:paraId="69F94AF9" w14:textId="77777777" w:rsidR="009D2B2B" w:rsidRPr="00117083" w:rsidRDefault="009D2B2B" w:rsidP="009D2B2B">
            <w:pPr>
              <w:widowControl w:val="0"/>
              <w:jc w:val="center"/>
              <w:rPr>
                <w:rFonts w:ascii="Roboto" w:hAnsi="Roboto"/>
                <w:sz w:val="19"/>
                <w:szCs w:val="19"/>
              </w:rPr>
            </w:pPr>
            <w:r w:rsidRPr="00117083">
              <w:rPr>
                <w:rFonts w:ascii="Roboto" w:hAnsi="Roboto"/>
                <w:sz w:val="19"/>
                <w:szCs w:val="19"/>
              </w:rPr>
              <w:t>93</w:t>
            </w:r>
          </w:p>
        </w:tc>
        <w:tc>
          <w:tcPr>
            <w:tcW w:w="922" w:type="pct"/>
            <w:vAlign w:val="center"/>
          </w:tcPr>
          <w:p w14:paraId="1BBE1644" w14:textId="77777777" w:rsidR="009D2B2B" w:rsidRPr="00443122" w:rsidRDefault="009D2B2B" w:rsidP="009D2B2B">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+8</w:t>
            </w:r>
          </w:p>
        </w:tc>
      </w:tr>
      <w:tr w:rsidR="009D2B2B" w:rsidRPr="00117083" w14:paraId="4BE66D39" w14:textId="77777777" w:rsidTr="00F86245">
        <w:trPr>
          <w:jc w:val="center"/>
        </w:trPr>
        <w:tc>
          <w:tcPr>
            <w:tcW w:w="1097" w:type="pct"/>
            <w:vAlign w:val="center"/>
          </w:tcPr>
          <w:p w14:paraId="60695401" w14:textId="66112D38" w:rsidR="009D2B2B" w:rsidRPr="00117083" w:rsidRDefault="009D2B2B" w:rsidP="009D2B2B">
            <w:pPr>
              <w:widowControl w:val="0"/>
              <w:jc w:val="center"/>
              <w:rPr>
                <w:rFonts w:ascii="Roboto" w:hAnsi="Roboto"/>
                <w:sz w:val="19"/>
                <w:szCs w:val="19"/>
              </w:rPr>
            </w:pPr>
            <w:r w:rsidRPr="00117083">
              <w:rPr>
                <w:rFonts w:ascii="Roboto" w:hAnsi="Roboto"/>
                <w:sz w:val="19"/>
                <w:szCs w:val="19"/>
              </w:rPr>
              <w:t>2</w:t>
            </w:r>
          </w:p>
        </w:tc>
        <w:tc>
          <w:tcPr>
            <w:tcW w:w="734" w:type="pct"/>
            <w:vAlign w:val="center"/>
          </w:tcPr>
          <w:p w14:paraId="43C8840D" w14:textId="77777777" w:rsidR="009D2B2B" w:rsidRPr="00117083" w:rsidRDefault="009D2B2B" w:rsidP="009D2B2B">
            <w:pPr>
              <w:jc w:val="center"/>
              <w:rPr>
                <w:rFonts w:ascii="Roboto" w:hAnsi="Roboto"/>
                <w:sz w:val="19"/>
                <w:szCs w:val="19"/>
              </w:rPr>
            </w:pPr>
            <w:r w:rsidRPr="00117083">
              <w:rPr>
                <w:rFonts w:ascii="Roboto" w:hAnsi="Roboto" w:cs="Calibri"/>
                <w:color w:val="000000"/>
                <w:sz w:val="19"/>
                <w:szCs w:val="19"/>
              </w:rPr>
              <w:t>82</w:t>
            </w:r>
          </w:p>
        </w:tc>
        <w:tc>
          <w:tcPr>
            <w:tcW w:w="736" w:type="pct"/>
            <w:vAlign w:val="center"/>
          </w:tcPr>
          <w:p w14:paraId="7E7ED0D1" w14:textId="77777777" w:rsidR="009D2B2B" w:rsidRPr="00117083" w:rsidRDefault="009D2B2B" w:rsidP="009D2B2B">
            <w:pPr>
              <w:jc w:val="center"/>
              <w:rPr>
                <w:rFonts w:ascii="Roboto" w:hAnsi="Roboto"/>
                <w:sz w:val="19"/>
                <w:szCs w:val="19"/>
              </w:rPr>
            </w:pPr>
            <w:r w:rsidRPr="00117083">
              <w:rPr>
                <w:rFonts w:ascii="Roboto" w:hAnsi="Roboto" w:cs="Calibri"/>
                <w:color w:val="000000"/>
                <w:sz w:val="19"/>
                <w:szCs w:val="19"/>
              </w:rPr>
              <w:t>93</w:t>
            </w:r>
          </w:p>
        </w:tc>
        <w:tc>
          <w:tcPr>
            <w:tcW w:w="738" w:type="pct"/>
            <w:vAlign w:val="center"/>
          </w:tcPr>
          <w:p w14:paraId="621DE9EB" w14:textId="77777777" w:rsidR="009D2B2B" w:rsidRPr="00117083" w:rsidRDefault="009D2B2B" w:rsidP="009D2B2B">
            <w:pPr>
              <w:jc w:val="center"/>
              <w:rPr>
                <w:rFonts w:ascii="Roboto" w:hAnsi="Roboto"/>
                <w:sz w:val="19"/>
                <w:szCs w:val="19"/>
              </w:rPr>
            </w:pPr>
            <w:r w:rsidRPr="00117083">
              <w:rPr>
                <w:rFonts w:ascii="Roboto" w:hAnsi="Roboto" w:cs="Calibri"/>
                <w:color w:val="000000"/>
                <w:sz w:val="19"/>
                <w:szCs w:val="19"/>
              </w:rPr>
              <w:t>97</w:t>
            </w:r>
          </w:p>
        </w:tc>
        <w:tc>
          <w:tcPr>
            <w:tcW w:w="772" w:type="pct"/>
            <w:vAlign w:val="center"/>
          </w:tcPr>
          <w:p w14:paraId="30A3D049" w14:textId="77777777" w:rsidR="009D2B2B" w:rsidRPr="00117083" w:rsidRDefault="009D2B2B" w:rsidP="009D2B2B">
            <w:pPr>
              <w:widowControl w:val="0"/>
              <w:jc w:val="center"/>
              <w:rPr>
                <w:rFonts w:ascii="Roboto" w:hAnsi="Roboto"/>
                <w:sz w:val="19"/>
                <w:szCs w:val="19"/>
              </w:rPr>
            </w:pPr>
            <w:r w:rsidRPr="00117083">
              <w:rPr>
                <w:rFonts w:ascii="Roboto" w:hAnsi="Roboto"/>
                <w:sz w:val="19"/>
                <w:szCs w:val="19"/>
              </w:rPr>
              <w:t>100</w:t>
            </w:r>
          </w:p>
        </w:tc>
        <w:tc>
          <w:tcPr>
            <w:tcW w:w="922" w:type="pct"/>
            <w:vAlign w:val="center"/>
          </w:tcPr>
          <w:p w14:paraId="177A5A49" w14:textId="77777777" w:rsidR="009D2B2B" w:rsidRPr="00443122" w:rsidRDefault="009D2B2B" w:rsidP="009D2B2B">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+3</w:t>
            </w:r>
          </w:p>
        </w:tc>
      </w:tr>
      <w:tr w:rsidR="009D2B2B" w:rsidRPr="00117083" w14:paraId="63DA527C" w14:textId="77777777" w:rsidTr="00F86245">
        <w:trPr>
          <w:jc w:val="center"/>
        </w:trPr>
        <w:tc>
          <w:tcPr>
            <w:tcW w:w="1097" w:type="pct"/>
            <w:vAlign w:val="center"/>
          </w:tcPr>
          <w:p w14:paraId="61F90137" w14:textId="3C00BA40" w:rsidR="009D2B2B" w:rsidRPr="00117083" w:rsidRDefault="009D2B2B" w:rsidP="009D2B2B">
            <w:pPr>
              <w:widowControl w:val="0"/>
              <w:jc w:val="center"/>
              <w:rPr>
                <w:rFonts w:ascii="Roboto" w:hAnsi="Roboto"/>
                <w:sz w:val="19"/>
                <w:szCs w:val="19"/>
              </w:rPr>
            </w:pPr>
            <w:r w:rsidRPr="00117083">
              <w:rPr>
                <w:rFonts w:ascii="Roboto" w:hAnsi="Roboto"/>
                <w:sz w:val="19"/>
                <w:szCs w:val="19"/>
              </w:rPr>
              <w:t>3</w:t>
            </w:r>
          </w:p>
        </w:tc>
        <w:tc>
          <w:tcPr>
            <w:tcW w:w="734" w:type="pct"/>
            <w:vAlign w:val="center"/>
          </w:tcPr>
          <w:p w14:paraId="28B08F32"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66</w:t>
            </w:r>
          </w:p>
        </w:tc>
        <w:tc>
          <w:tcPr>
            <w:tcW w:w="736" w:type="pct"/>
            <w:vAlign w:val="center"/>
          </w:tcPr>
          <w:p w14:paraId="18724071"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90</w:t>
            </w:r>
          </w:p>
        </w:tc>
        <w:tc>
          <w:tcPr>
            <w:tcW w:w="738" w:type="pct"/>
            <w:vAlign w:val="center"/>
          </w:tcPr>
          <w:p w14:paraId="721EE944"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99</w:t>
            </w:r>
          </w:p>
        </w:tc>
        <w:tc>
          <w:tcPr>
            <w:tcW w:w="772" w:type="pct"/>
            <w:vAlign w:val="center"/>
          </w:tcPr>
          <w:p w14:paraId="26E7DB14" w14:textId="77777777" w:rsidR="009D2B2B" w:rsidRPr="00117083" w:rsidRDefault="009D2B2B" w:rsidP="009D2B2B">
            <w:pPr>
              <w:widowControl w:val="0"/>
              <w:jc w:val="center"/>
              <w:rPr>
                <w:rFonts w:ascii="Roboto" w:hAnsi="Roboto"/>
                <w:sz w:val="19"/>
                <w:szCs w:val="19"/>
              </w:rPr>
            </w:pPr>
            <w:r w:rsidRPr="00117083">
              <w:rPr>
                <w:rFonts w:ascii="Roboto" w:hAnsi="Roboto"/>
                <w:sz w:val="19"/>
                <w:szCs w:val="19"/>
              </w:rPr>
              <w:t>100</w:t>
            </w:r>
          </w:p>
        </w:tc>
        <w:tc>
          <w:tcPr>
            <w:tcW w:w="922" w:type="pct"/>
            <w:vAlign w:val="center"/>
          </w:tcPr>
          <w:p w14:paraId="27CC4E08" w14:textId="77777777" w:rsidR="009D2B2B" w:rsidRPr="00443122" w:rsidRDefault="009D2B2B" w:rsidP="009D2B2B">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+1</w:t>
            </w:r>
          </w:p>
        </w:tc>
      </w:tr>
      <w:tr w:rsidR="009D2B2B" w:rsidRPr="00117083" w14:paraId="221677B2" w14:textId="77777777" w:rsidTr="00F86245">
        <w:trPr>
          <w:jc w:val="center"/>
        </w:trPr>
        <w:tc>
          <w:tcPr>
            <w:tcW w:w="1097" w:type="pct"/>
            <w:vAlign w:val="center"/>
          </w:tcPr>
          <w:p w14:paraId="499B471F" w14:textId="02F5FB3A" w:rsidR="009D2B2B" w:rsidRPr="00117083" w:rsidRDefault="009D2B2B" w:rsidP="009D2B2B">
            <w:pPr>
              <w:widowControl w:val="0"/>
              <w:jc w:val="center"/>
              <w:rPr>
                <w:rFonts w:ascii="Roboto" w:hAnsi="Roboto"/>
                <w:sz w:val="19"/>
                <w:szCs w:val="19"/>
              </w:rPr>
            </w:pPr>
            <w:r w:rsidRPr="00117083">
              <w:rPr>
                <w:rFonts w:ascii="Roboto" w:hAnsi="Roboto"/>
                <w:sz w:val="19"/>
                <w:szCs w:val="19"/>
              </w:rPr>
              <w:t>4</w:t>
            </w:r>
          </w:p>
        </w:tc>
        <w:tc>
          <w:tcPr>
            <w:tcW w:w="734" w:type="pct"/>
            <w:vAlign w:val="center"/>
          </w:tcPr>
          <w:p w14:paraId="65045590"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68</w:t>
            </w:r>
          </w:p>
        </w:tc>
        <w:tc>
          <w:tcPr>
            <w:tcW w:w="736" w:type="pct"/>
            <w:vAlign w:val="center"/>
          </w:tcPr>
          <w:p w14:paraId="72536554"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89</w:t>
            </w:r>
          </w:p>
        </w:tc>
        <w:tc>
          <w:tcPr>
            <w:tcW w:w="738" w:type="pct"/>
            <w:vAlign w:val="center"/>
          </w:tcPr>
          <w:p w14:paraId="04633690" w14:textId="77777777" w:rsidR="009D2B2B" w:rsidRPr="00117083" w:rsidRDefault="009D2B2B" w:rsidP="009D2B2B">
            <w:pPr>
              <w:widowControl w:val="0"/>
              <w:jc w:val="center"/>
              <w:rPr>
                <w:rFonts w:ascii="Roboto" w:hAnsi="Roboto"/>
                <w:sz w:val="19"/>
                <w:szCs w:val="19"/>
              </w:rPr>
            </w:pPr>
            <w:r w:rsidRPr="00117083">
              <w:rPr>
                <w:rFonts w:ascii="Roboto" w:hAnsi="Roboto" w:cs="Calibri"/>
                <w:color w:val="000000"/>
                <w:sz w:val="19"/>
                <w:szCs w:val="19"/>
              </w:rPr>
              <w:t>99</w:t>
            </w:r>
          </w:p>
        </w:tc>
        <w:tc>
          <w:tcPr>
            <w:tcW w:w="772" w:type="pct"/>
            <w:vAlign w:val="center"/>
          </w:tcPr>
          <w:p w14:paraId="6D30ED47" w14:textId="77777777" w:rsidR="009D2B2B" w:rsidRPr="00117083" w:rsidRDefault="009D2B2B" w:rsidP="009D2B2B">
            <w:pPr>
              <w:widowControl w:val="0"/>
              <w:jc w:val="center"/>
              <w:rPr>
                <w:rFonts w:ascii="Roboto" w:hAnsi="Roboto"/>
                <w:sz w:val="19"/>
                <w:szCs w:val="19"/>
              </w:rPr>
            </w:pPr>
            <w:r w:rsidRPr="00117083">
              <w:rPr>
                <w:rFonts w:ascii="Roboto" w:hAnsi="Roboto"/>
                <w:sz w:val="19"/>
                <w:szCs w:val="19"/>
              </w:rPr>
              <w:t>100</w:t>
            </w:r>
          </w:p>
        </w:tc>
        <w:tc>
          <w:tcPr>
            <w:tcW w:w="922" w:type="pct"/>
            <w:vAlign w:val="center"/>
          </w:tcPr>
          <w:p w14:paraId="090BBB20" w14:textId="77777777" w:rsidR="009D2B2B" w:rsidRPr="00443122" w:rsidRDefault="009D2B2B" w:rsidP="009D2B2B">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+1</w:t>
            </w:r>
          </w:p>
        </w:tc>
      </w:tr>
      <w:tr w:rsidR="009D2B2B" w:rsidRPr="00117083" w14:paraId="5097B1B2" w14:textId="77777777" w:rsidTr="00F86245">
        <w:trPr>
          <w:jc w:val="center"/>
        </w:trPr>
        <w:tc>
          <w:tcPr>
            <w:tcW w:w="1097" w:type="pct"/>
            <w:vAlign w:val="center"/>
          </w:tcPr>
          <w:p w14:paraId="52FA9C90" w14:textId="77777777" w:rsidR="009D2B2B" w:rsidRPr="00117083" w:rsidRDefault="009D2B2B" w:rsidP="009D2B2B">
            <w:pPr>
              <w:widowControl w:val="0"/>
              <w:jc w:val="center"/>
              <w:rPr>
                <w:rFonts w:ascii="Roboto" w:hAnsi="Roboto"/>
                <w:sz w:val="19"/>
                <w:szCs w:val="19"/>
              </w:rPr>
            </w:pPr>
            <w:r w:rsidRPr="00117083">
              <w:rPr>
                <w:rFonts w:ascii="Roboto" w:hAnsi="Roboto"/>
                <w:sz w:val="19"/>
                <w:szCs w:val="19"/>
              </w:rPr>
              <w:t>Promedio</w:t>
            </w:r>
          </w:p>
        </w:tc>
        <w:tc>
          <w:tcPr>
            <w:tcW w:w="734" w:type="pct"/>
            <w:vAlign w:val="center"/>
          </w:tcPr>
          <w:p w14:paraId="7355234A" w14:textId="77777777" w:rsidR="009D2B2B" w:rsidRPr="00117083" w:rsidRDefault="009D2B2B" w:rsidP="009D2B2B">
            <w:pPr>
              <w:widowControl w:val="0"/>
              <w:jc w:val="center"/>
              <w:rPr>
                <w:rFonts w:ascii="Roboto" w:hAnsi="Roboto"/>
                <w:sz w:val="19"/>
                <w:szCs w:val="19"/>
              </w:rPr>
            </w:pPr>
            <w:r w:rsidRPr="00117083">
              <w:rPr>
                <w:rFonts w:ascii="Roboto" w:hAnsi="Roboto"/>
                <w:color w:val="000000"/>
                <w:sz w:val="19"/>
                <w:szCs w:val="19"/>
              </w:rPr>
              <w:t>72</w:t>
            </w:r>
          </w:p>
        </w:tc>
        <w:tc>
          <w:tcPr>
            <w:tcW w:w="736" w:type="pct"/>
            <w:vAlign w:val="center"/>
          </w:tcPr>
          <w:p w14:paraId="2437CC10" w14:textId="77777777" w:rsidR="009D2B2B" w:rsidRPr="00117083" w:rsidRDefault="009D2B2B" w:rsidP="009D2B2B">
            <w:pPr>
              <w:widowControl w:val="0"/>
              <w:jc w:val="center"/>
              <w:rPr>
                <w:rFonts w:ascii="Roboto" w:hAnsi="Roboto"/>
                <w:sz w:val="19"/>
                <w:szCs w:val="19"/>
              </w:rPr>
            </w:pPr>
            <w:r w:rsidRPr="00117083">
              <w:rPr>
                <w:rFonts w:ascii="Roboto" w:hAnsi="Roboto"/>
                <w:color w:val="000000"/>
                <w:sz w:val="19"/>
                <w:szCs w:val="19"/>
              </w:rPr>
              <w:t>89</w:t>
            </w:r>
          </w:p>
        </w:tc>
        <w:tc>
          <w:tcPr>
            <w:tcW w:w="738" w:type="pct"/>
            <w:vAlign w:val="center"/>
          </w:tcPr>
          <w:p w14:paraId="0B9C5729" w14:textId="77777777" w:rsidR="009D2B2B" w:rsidRPr="00117083" w:rsidRDefault="009D2B2B" w:rsidP="009D2B2B">
            <w:pPr>
              <w:widowControl w:val="0"/>
              <w:jc w:val="center"/>
              <w:rPr>
                <w:rFonts w:ascii="Roboto" w:hAnsi="Roboto"/>
                <w:sz w:val="19"/>
                <w:szCs w:val="19"/>
              </w:rPr>
            </w:pPr>
            <w:r w:rsidRPr="00117083">
              <w:rPr>
                <w:rFonts w:ascii="Roboto" w:hAnsi="Roboto"/>
                <w:color w:val="000000"/>
                <w:sz w:val="19"/>
                <w:szCs w:val="19"/>
              </w:rPr>
              <w:t>95</w:t>
            </w:r>
          </w:p>
        </w:tc>
        <w:tc>
          <w:tcPr>
            <w:tcW w:w="772" w:type="pct"/>
            <w:vAlign w:val="center"/>
          </w:tcPr>
          <w:p w14:paraId="07C86F1A" w14:textId="77777777" w:rsidR="009D2B2B" w:rsidRPr="00117083" w:rsidRDefault="009D2B2B" w:rsidP="009D2B2B">
            <w:pPr>
              <w:widowControl w:val="0"/>
              <w:jc w:val="center"/>
              <w:rPr>
                <w:rFonts w:ascii="Roboto" w:hAnsi="Roboto"/>
                <w:sz w:val="19"/>
                <w:szCs w:val="19"/>
              </w:rPr>
            </w:pPr>
            <w:r w:rsidRPr="00117083">
              <w:rPr>
                <w:rFonts w:ascii="Roboto" w:hAnsi="Roboto"/>
                <w:sz w:val="19"/>
                <w:szCs w:val="19"/>
              </w:rPr>
              <w:t>98</w:t>
            </w:r>
          </w:p>
        </w:tc>
        <w:tc>
          <w:tcPr>
            <w:tcW w:w="922" w:type="pct"/>
            <w:vAlign w:val="center"/>
          </w:tcPr>
          <w:p w14:paraId="2F5AFC8E" w14:textId="77777777" w:rsidR="009D2B2B" w:rsidRPr="00443122" w:rsidRDefault="009D2B2B" w:rsidP="009D2B2B">
            <w:pPr>
              <w:widowControl w:val="0"/>
              <w:jc w:val="center"/>
              <w:rPr>
                <w:rFonts w:ascii="Roboto" w:hAnsi="Roboto"/>
                <w:b/>
                <w:bCs/>
                <w:color w:val="000000" w:themeColor="text1"/>
                <w:sz w:val="19"/>
                <w:szCs w:val="19"/>
              </w:rPr>
            </w:pPr>
            <w:r w:rsidRPr="00443122">
              <w:rPr>
                <w:rFonts w:ascii="Roboto" w:hAnsi="Roboto"/>
                <w:b/>
                <w:bCs/>
                <w:color w:val="000000" w:themeColor="text1"/>
                <w:sz w:val="19"/>
                <w:szCs w:val="19"/>
              </w:rPr>
              <w:t>+3</w:t>
            </w:r>
          </w:p>
        </w:tc>
      </w:tr>
    </w:tbl>
    <w:p w14:paraId="4542C4E0" w14:textId="77777777" w:rsidR="009D2B2B" w:rsidRPr="00117083" w:rsidRDefault="009D2B2B" w:rsidP="009D2B2B">
      <w:pPr>
        <w:jc w:val="both"/>
        <w:rPr>
          <w:rFonts w:ascii="Roboto" w:eastAsia="Roboto" w:hAnsi="Roboto" w:cs="Roboto"/>
          <w:sz w:val="20"/>
          <w:szCs w:val="20"/>
        </w:rPr>
      </w:pPr>
    </w:p>
    <w:p w14:paraId="002D04A8" w14:textId="72ED4B35" w:rsidR="00A411B7" w:rsidRPr="00117083" w:rsidRDefault="00A411B7" w:rsidP="00A411B7">
      <w:pPr>
        <w:jc w:val="both"/>
        <w:rPr>
          <w:rFonts w:ascii="Roboto" w:eastAsia="Roboto" w:hAnsi="Roboto" w:cs="Roboto"/>
          <w:sz w:val="20"/>
          <w:szCs w:val="20"/>
        </w:rPr>
      </w:pPr>
      <w:r w:rsidRPr="00117083">
        <w:rPr>
          <w:rFonts w:ascii="Roboto" w:eastAsia="Roboto" w:hAnsi="Roboto" w:cs="Roboto"/>
          <w:sz w:val="20"/>
          <w:szCs w:val="20"/>
        </w:rPr>
        <w:t>La Cafetería 1 incrementó su cumplimiento de 73% a 93%, la 2 de 82% a 100%, y las 3 y 4 de 66% y 68% a 100% en 2026. Esta convergencia hacia niveles óptimos sugiere una estandarización efectiva de los procedimientos administrativos y del control documental, coherente con los procesos de implementación y ajuste del etiquetado frontal en México (Crosbie et al., 2023).</w:t>
      </w:r>
    </w:p>
    <w:p w14:paraId="24F5128D" w14:textId="6F63BA0F" w:rsidR="00A411B7" w:rsidRPr="00117083" w:rsidRDefault="00A411B7" w:rsidP="00A411B7">
      <w:pPr>
        <w:jc w:val="both"/>
        <w:rPr>
          <w:rFonts w:ascii="Roboto" w:eastAsia="Roboto" w:hAnsi="Roboto" w:cs="Roboto"/>
          <w:sz w:val="20"/>
          <w:szCs w:val="20"/>
        </w:rPr>
      </w:pPr>
      <w:r w:rsidRPr="00117083">
        <w:rPr>
          <w:rFonts w:ascii="Roboto" w:eastAsia="Roboto" w:hAnsi="Roboto" w:cs="Roboto"/>
          <w:sz w:val="20"/>
          <w:szCs w:val="20"/>
        </w:rPr>
        <w:t xml:space="preserve">Desde un enfoque analítico, los resultados indican que el seguimiento sistemático permitió integrar de manera más consistente requisitos como declaraciones nutrimentales y criterios de advertencia, cuya relevancia técnica y sanitaria ha sido documentada en estudios empíricos mexicanos y latinoamericanos (Contreras-Manzano et al., 2022; Villaverde et al., 2023). </w:t>
      </w:r>
    </w:p>
    <w:p w14:paraId="6748EA12" w14:textId="3EE0826E" w:rsidR="009B5707" w:rsidRPr="00117083" w:rsidRDefault="009B5707" w:rsidP="00A411B7">
      <w:pPr>
        <w:jc w:val="both"/>
        <w:rPr>
          <w:rFonts w:ascii="Roboto" w:eastAsia="Roboto" w:hAnsi="Roboto" w:cs="Roboto"/>
          <w:sz w:val="20"/>
          <w:szCs w:val="20"/>
        </w:rPr>
      </w:pPr>
      <w:r w:rsidRPr="00117083">
        <w:rPr>
          <w:rFonts w:ascii="Roboto" w:eastAsia="Roboto" w:hAnsi="Roboto" w:cs="Roboto"/>
          <w:sz w:val="20"/>
          <w:szCs w:val="20"/>
        </w:rPr>
        <w:t>En cuanto a la percepción del servicio, las valoraciones se situaron en niveles intermedios (medias entre 3.72 y 3.92) y mostraron diferencias significativas por sexo en todas las dimensiones (p &lt; .01), con puntuaciones consistentemente mayores en hombres. La mayor dispersión se observó en higiene y relación calidad–precio, lo que indica heterogeneidad en la experiencia del servicio. Estos resultados sugieren que las mejoras en el cumplimiento normativo no se traducen necesariamente en cambios perceptibles para los usuarios (</w:t>
      </w:r>
      <w:proofErr w:type="spellStart"/>
      <w:r w:rsidR="007F1B86" w:rsidRPr="00117083">
        <w:rPr>
          <w:rFonts w:ascii="Roboto" w:eastAsia="Roboto" w:hAnsi="Roboto" w:cs="Roboto"/>
          <w:sz w:val="20"/>
          <w:szCs w:val="20"/>
        </w:rPr>
        <w:t>Behannis</w:t>
      </w:r>
      <w:proofErr w:type="spellEnd"/>
      <w:r w:rsidR="007F1B86" w:rsidRPr="00117083">
        <w:rPr>
          <w:rFonts w:ascii="Roboto" w:eastAsia="Roboto" w:hAnsi="Roboto" w:cs="Roboto"/>
          <w:sz w:val="20"/>
          <w:szCs w:val="20"/>
        </w:rPr>
        <w:t xml:space="preserve">-Mena y col., 2024; </w:t>
      </w:r>
      <w:r w:rsidRPr="00117083">
        <w:rPr>
          <w:rFonts w:ascii="Roboto" w:eastAsia="Roboto" w:hAnsi="Roboto" w:cs="Roboto"/>
          <w:sz w:val="20"/>
          <w:szCs w:val="20"/>
        </w:rPr>
        <w:t>Thorsen, 2025).</w:t>
      </w:r>
    </w:p>
    <w:p w14:paraId="6D18224E" w14:textId="77777777" w:rsidR="00A411B7" w:rsidRPr="00117083" w:rsidRDefault="00A411B7" w:rsidP="00A411B7">
      <w:pPr>
        <w:jc w:val="both"/>
        <w:rPr>
          <w:rFonts w:ascii="Roboto" w:eastAsia="Roboto" w:hAnsi="Roboto" w:cs="Roboto"/>
          <w:sz w:val="20"/>
          <w:szCs w:val="20"/>
        </w:rPr>
      </w:pPr>
    </w:p>
    <w:p w14:paraId="35EEEB35" w14:textId="41E25CC6" w:rsidR="008C3ABE" w:rsidRPr="00117083" w:rsidRDefault="00704074" w:rsidP="00CE2F36">
      <w:pPr>
        <w:jc w:val="both"/>
        <w:rPr>
          <w:rFonts w:ascii="Roboto" w:eastAsia="Roboto" w:hAnsi="Roboto" w:cs="Roboto"/>
          <w:b/>
          <w:bCs/>
          <w:sz w:val="20"/>
          <w:szCs w:val="20"/>
        </w:rPr>
      </w:pPr>
      <w:r w:rsidRPr="00117083">
        <w:rPr>
          <w:rFonts w:ascii="Roboto" w:eastAsia="Roboto" w:hAnsi="Roboto" w:cs="Roboto"/>
          <w:b/>
          <w:bCs/>
          <w:sz w:val="20"/>
          <w:szCs w:val="20"/>
        </w:rPr>
        <w:t>CONCLUSIONES</w:t>
      </w:r>
    </w:p>
    <w:p w14:paraId="1D4E63F1" w14:textId="7B35D1E8" w:rsidR="009B5707" w:rsidRPr="00117083" w:rsidRDefault="009B5707" w:rsidP="009B5707">
      <w:pPr>
        <w:jc w:val="both"/>
        <w:rPr>
          <w:rFonts w:ascii="Roboto" w:eastAsia="Roboto" w:hAnsi="Roboto" w:cs="Roboto"/>
          <w:sz w:val="20"/>
          <w:szCs w:val="20"/>
        </w:rPr>
      </w:pPr>
      <w:r w:rsidRPr="00117083">
        <w:rPr>
          <w:rFonts w:ascii="Roboto" w:eastAsia="Roboto" w:hAnsi="Roboto" w:cs="Roboto"/>
          <w:sz w:val="20"/>
          <w:szCs w:val="20"/>
        </w:rPr>
        <w:t>La capacitación acompañada de seguimiento sistemático se asoció con mejoras significativas en el cumplimiento de la NOM-251, fortaleciendo y homogeneizando las prácticas sanitarias. Asimismo, el cumplimiento de la NOM-051 alcanzó niveles óptimos, evidenciando una adecuada estandarización de procesos administrativos y control documental.</w:t>
      </w:r>
    </w:p>
    <w:p w14:paraId="06598C8E" w14:textId="635CD3CA" w:rsidR="009B5707" w:rsidRPr="00117083" w:rsidRDefault="009B5707" w:rsidP="009B5707">
      <w:pPr>
        <w:jc w:val="both"/>
        <w:rPr>
          <w:rFonts w:ascii="Roboto" w:eastAsia="Roboto" w:hAnsi="Roboto" w:cs="Roboto"/>
          <w:sz w:val="20"/>
          <w:szCs w:val="20"/>
        </w:rPr>
      </w:pPr>
      <w:r w:rsidRPr="00117083">
        <w:rPr>
          <w:rFonts w:ascii="Roboto" w:eastAsia="Roboto" w:hAnsi="Roboto" w:cs="Roboto"/>
          <w:sz w:val="20"/>
          <w:szCs w:val="20"/>
        </w:rPr>
        <w:t xml:space="preserve">Sin embargo, la percepción estudiantil se mantuvo en niveles intermedios, lo que indica que las mejoras normativas no se traducen automáticamente en cambios perceptibles en la experiencia del servicio. En conjunto, los resultados resaltan la necesidad de integrar capacitación, supervisión y estrategias </w:t>
      </w:r>
      <w:r w:rsidRPr="00117083">
        <w:rPr>
          <w:rFonts w:ascii="Roboto" w:eastAsia="Roboto" w:hAnsi="Roboto" w:cs="Roboto"/>
          <w:sz w:val="20"/>
          <w:szCs w:val="20"/>
        </w:rPr>
        <w:t>orientadas al usuario para consolidar un entorno alimentario universitario seguro y sostenible.</w:t>
      </w:r>
    </w:p>
    <w:p w14:paraId="08CA7D1A" w14:textId="77777777" w:rsidR="009B5707" w:rsidRPr="00117083" w:rsidRDefault="009B5707" w:rsidP="00AC3DF6">
      <w:pPr>
        <w:jc w:val="both"/>
        <w:rPr>
          <w:rFonts w:ascii="Roboto" w:eastAsia="Roboto" w:hAnsi="Roboto" w:cs="Roboto"/>
          <w:sz w:val="20"/>
          <w:szCs w:val="20"/>
        </w:rPr>
      </w:pPr>
    </w:p>
    <w:p w14:paraId="15A735D7" w14:textId="654BDEBD" w:rsidR="008C3ABE" w:rsidRPr="00117083" w:rsidRDefault="00243964" w:rsidP="00AC3DF6">
      <w:pPr>
        <w:jc w:val="both"/>
        <w:rPr>
          <w:rFonts w:ascii="Roboto" w:eastAsia="Roboto" w:hAnsi="Roboto" w:cs="Roboto"/>
          <w:b/>
          <w:bCs/>
          <w:sz w:val="20"/>
          <w:szCs w:val="20"/>
        </w:rPr>
      </w:pPr>
      <w:r w:rsidRPr="00117083">
        <w:rPr>
          <w:rFonts w:ascii="Roboto" w:eastAsia="Roboto" w:hAnsi="Roboto" w:cs="Roboto"/>
          <w:b/>
          <w:bCs/>
          <w:sz w:val="20"/>
          <w:szCs w:val="20"/>
        </w:rPr>
        <w:t>AGRADECIMIENTOS</w:t>
      </w:r>
    </w:p>
    <w:p w14:paraId="4AC928C2" w14:textId="72E43932" w:rsidR="008C3ABE" w:rsidRPr="00117083" w:rsidRDefault="00243964" w:rsidP="00CE2F36">
      <w:pPr>
        <w:jc w:val="both"/>
        <w:rPr>
          <w:rFonts w:ascii="Roboto" w:eastAsia="Roboto" w:hAnsi="Roboto" w:cs="Roboto"/>
          <w:sz w:val="20"/>
          <w:szCs w:val="20"/>
        </w:rPr>
      </w:pPr>
      <w:r w:rsidRPr="00117083">
        <w:rPr>
          <w:rFonts w:ascii="Roboto" w:eastAsia="Roboto" w:hAnsi="Roboto" w:cs="Roboto"/>
          <w:sz w:val="20"/>
          <w:szCs w:val="20"/>
        </w:rPr>
        <w:t xml:space="preserve">Los </w:t>
      </w:r>
      <w:r w:rsidR="00CA6BA6" w:rsidRPr="00117083">
        <w:rPr>
          <w:rFonts w:ascii="Roboto" w:eastAsia="Roboto" w:hAnsi="Roboto" w:cs="Roboto"/>
          <w:sz w:val="20"/>
          <w:szCs w:val="20"/>
        </w:rPr>
        <w:t xml:space="preserve">autores agradecen el apoyo de </w:t>
      </w:r>
      <w:r w:rsidR="001F3563" w:rsidRPr="00117083">
        <w:rPr>
          <w:rFonts w:ascii="Roboto" w:eastAsia="Roboto" w:hAnsi="Roboto" w:cs="Roboto"/>
          <w:sz w:val="20"/>
          <w:szCs w:val="20"/>
        </w:rPr>
        <w:t xml:space="preserve">la Vicerrectoría de Administración y </w:t>
      </w:r>
      <w:r w:rsidR="002E0E4B" w:rsidRPr="00117083">
        <w:rPr>
          <w:rFonts w:ascii="Roboto" w:eastAsia="Roboto" w:hAnsi="Roboto" w:cs="Roboto"/>
          <w:sz w:val="20"/>
          <w:szCs w:val="20"/>
        </w:rPr>
        <w:t>F</w:t>
      </w:r>
      <w:r w:rsidR="001F3563" w:rsidRPr="00117083">
        <w:rPr>
          <w:rFonts w:ascii="Roboto" w:eastAsia="Roboto" w:hAnsi="Roboto" w:cs="Roboto"/>
          <w:sz w:val="20"/>
          <w:szCs w:val="20"/>
        </w:rPr>
        <w:t xml:space="preserve">inanzas, los concesionarios y trabajadores de los servicios de alimentos por su valiosa participación. </w:t>
      </w:r>
    </w:p>
    <w:p w14:paraId="222D8866" w14:textId="77777777" w:rsidR="008C3ABE" w:rsidRPr="00117083" w:rsidRDefault="008C3ABE" w:rsidP="00CE2F36">
      <w:pPr>
        <w:jc w:val="both"/>
        <w:rPr>
          <w:rFonts w:ascii="Roboto" w:eastAsia="Roboto" w:hAnsi="Roboto" w:cs="Roboto"/>
          <w:sz w:val="20"/>
          <w:szCs w:val="20"/>
        </w:rPr>
      </w:pPr>
    </w:p>
    <w:p w14:paraId="47D67670" w14:textId="1E9AE768" w:rsidR="008C3ABE" w:rsidRPr="00117083" w:rsidRDefault="00243964" w:rsidP="00CE2F36">
      <w:pPr>
        <w:jc w:val="both"/>
        <w:rPr>
          <w:rFonts w:ascii="Roboto" w:eastAsia="Roboto" w:hAnsi="Roboto" w:cs="Roboto"/>
          <w:b/>
          <w:bCs/>
          <w:sz w:val="20"/>
          <w:szCs w:val="20"/>
        </w:rPr>
      </w:pPr>
      <w:r w:rsidRPr="00117083">
        <w:rPr>
          <w:rFonts w:ascii="Roboto" w:eastAsia="Roboto" w:hAnsi="Roboto" w:cs="Roboto"/>
          <w:b/>
          <w:bCs/>
          <w:sz w:val="20"/>
          <w:szCs w:val="20"/>
        </w:rPr>
        <w:t>REFERENCIAS</w:t>
      </w:r>
    </w:p>
    <w:p w14:paraId="30DD0A59" w14:textId="369D2C8C" w:rsidR="007F1B86" w:rsidRPr="00117083" w:rsidRDefault="007F1B86" w:rsidP="00A411B7">
      <w:pPr>
        <w:ind w:left="142" w:hanging="153"/>
        <w:jc w:val="both"/>
        <w:rPr>
          <w:rFonts w:ascii="Roboto" w:eastAsia="Roboto" w:hAnsi="Roboto" w:cs="Roboto"/>
          <w:sz w:val="20"/>
          <w:szCs w:val="20"/>
          <w:lang w:val="en-US"/>
        </w:rPr>
      </w:pPr>
      <w:proofErr w:type="spellStart"/>
      <w:r w:rsidRPr="00117083">
        <w:rPr>
          <w:rFonts w:ascii="Roboto" w:eastAsia="Roboto" w:hAnsi="Roboto" w:cs="Roboto"/>
          <w:sz w:val="20"/>
          <w:szCs w:val="20"/>
        </w:rPr>
        <w:t>Behannis</w:t>
      </w:r>
      <w:proofErr w:type="spellEnd"/>
      <w:r w:rsidRPr="00117083">
        <w:rPr>
          <w:rFonts w:ascii="Roboto" w:eastAsia="Roboto" w:hAnsi="Roboto" w:cs="Roboto"/>
          <w:sz w:val="20"/>
          <w:szCs w:val="20"/>
        </w:rPr>
        <w:t xml:space="preserve"> Mena, E., Paz Lemus, E., &amp; Guity-Zapata, N. (2024). </w:t>
      </w:r>
      <w:r w:rsidRPr="00117083">
        <w:rPr>
          <w:rFonts w:ascii="Roboto" w:eastAsia="Roboto" w:hAnsi="Roboto" w:cs="Roboto"/>
          <w:i/>
          <w:iCs/>
          <w:sz w:val="20"/>
          <w:szCs w:val="20"/>
          <w:lang w:val="en-US"/>
        </w:rPr>
        <w:t>Consumer Perception of Food Safety and Quality in Latin America and the Caribbean</w:t>
      </w:r>
      <w:r w:rsidRPr="00117083">
        <w:rPr>
          <w:rFonts w:ascii="Roboto" w:eastAsia="Roboto" w:hAnsi="Roboto" w:cs="Roboto"/>
          <w:sz w:val="20"/>
          <w:szCs w:val="20"/>
          <w:lang w:val="en-US"/>
        </w:rPr>
        <w:t xml:space="preserve">. En Consumer Perceptions and Food (pp. 473–488). Springer Nature Singapore. </w:t>
      </w:r>
      <w:hyperlink r:id="rId15" w:history="1">
        <w:r w:rsidRPr="00117083">
          <w:rPr>
            <w:rStyle w:val="Hipervnculo"/>
            <w:rFonts w:ascii="Roboto" w:eastAsia="Roboto" w:hAnsi="Roboto" w:cs="Roboto"/>
            <w:sz w:val="20"/>
            <w:szCs w:val="20"/>
            <w:lang w:val="en-US"/>
          </w:rPr>
          <w:t>https://doi.org/10.1007/978-981-97-7870-6_23</w:t>
        </w:r>
      </w:hyperlink>
      <w:r w:rsidRPr="00117083">
        <w:rPr>
          <w:rFonts w:ascii="Roboto" w:eastAsia="Roboto" w:hAnsi="Roboto" w:cs="Roboto"/>
          <w:sz w:val="20"/>
          <w:szCs w:val="20"/>
          <w:lang w:val="en-US"/>
        </w:rPr>
        <w:t xml:space="preserve"> </w:t>
      </w:r>
    </w:p>
    <w:p w14:paraId="7F17B4B6" w14:textId="2B993D9A" w:rsidR="00A411B7" w:rsidRPr="00117083" w:rsidRDefault="00A411B7" w:rsidP="00A411B7">
      <w:pPr>
        <w:ind w:left="142" w:hanging="153"/>
        <w:jc w:val="both"/>
        <w:rPr>
          <w:rFonts w:ascii="Roboto" w:eastAsia="Roboto" w:hAnsi="Roboto" w:cs="Roboto"/>
          <w:sz w:val="20"/>
          <w:szCs w:val="20"/>
        </w:rPr>
      </w:pPr>
      <w:r w:rsidRPr="00117083">
        <w:rPr>
          <w:rFonts w:ascii="Roboto" w:eastAsia="Roboto" w:hAnsi="Roboto" w:cs="Roboto"/>
          <w:sz w:val="20"/>
          <w:szCs w:val="20"/>
        </w:rPr>
        <w:t xml:space="preserve">Castro, M., et al. </w:t>
      </w:r>
      <w:r w:rsidRPr="00117083">
        <w:rPr>
          <w:rFonts w:ascii="Roboto" w:eastAsia="Roboto" w:hAnsi="Roboto" w:cs="Roboto"/>
          <w:sz w:val="20"/>
          <w:szCs w:val="20"/>
          <w:lang w:val="en-US"/>
        </w:rPr>
        <w:t xml:space="preserve">(2024). Evaluation of the Effects of Food Safety Training on the Microbiological Load Present in Equipment, Surfaces, Utensils and Food Manipulator’s Hands in Restaurants. </w:t>
      </w:r>
      <w:proofErr w:type="spellStart"/>
      <w:r w:rsidRPr="00117083">
        <w:rPr>
          <w:rFonts w:ascii="Roboto" w:eastAsia="Roboto" w:hAnsi="Roboto" w:cs="Roboto"/>
          <w:sz w:val="20"/>
          <w:szCs w:val="20"/>
        </w:rPr>
        <w:t>Microorganisms</w:t>
      </w:r>
      <w:proofErr w:type="spellEnd"/>
      <w:r w:rsidRPr="00117083">
        <w:rPr>
          <w:rFonts w:ascii="Roboto" w:eastAsia="Roboto" w:hAnsi="Roboto" w:cs="Roboto"/>
          <w:sz w:val="20"/>
          <w:szCs w:val="20"/>
        </w:rPr>
        <w:t xml:space="preserve">, 12(4), 825. </w:t>
      </w:r>
      <w:hyperlink r:id="rId16" w:history="1">
        <w:r w:rsidRPr="00117083">
          <w:rPr>
            <w:rStyle w:val="Hipervnculo"/>
            <w:rFonts w:ascii="Roboto" w:eastAsia="Roboto" w:hAnsi="Roboto" w:cs="Roboto"/>
            <w:sz w:val="20"/>
            <w:szCs w:val="20"/>
          </w:rPr>
          <w:t>https://doi.org/10.3390/microorganisms12040825</w:t>
        </w:r>
      </w:hyperlink>
      <w:r w:rsidRPr="00117083">
        <w:rPr>
          <w:rFonts w:ascii="Roboto" w:eastAsia="Roboto" w:hAnsi="Roboto" w:cs="Roboto"/>
          <w:sz w:val="20"/>
          <w:szCs w:val="20"/>
        </w:rPr>
        <w:t xml:space="preserve"> </w:t>
      </w:r>
    </w:p>
    <w:p w14:paraId="4CD6E8A6" w14:textId="5C0D6F97" w:rsidR="00A411B7" w:rsidRPr="00117083" w:rsidRDefault="00A411B7" w:rsidP="00A411B7">
      <w:pPr>
        <w:ind w:left="142" w:hanging="153"/>
        <w:jc w:val="both"/>
        <w:rPr>
          <w:rFonts w:ascii="Roboto" w:eastAsia="Roboto" w:hAnsi="Roboto" w:cs="Roboto"/>
          <w:sz w:val="20"/>
          <w:szCs w:val="20"/>
          <w:lang w:val="en-US"/>
        </w:rPr>
      </w:pPr>
      <w:r w:rsidRPr="00117083">
        <w:rPr>
          <w:rFonts w:ascii="Roboto" w:eastAsia="Roboto" w:hAnsi="Roboto" w:cs="Roboto"/>
          <w:sz w:val="20"/>
          <w:szCs w:val="20"/>
          <w:lang w:val="it-IT"/>
        </w:rPr>
        <w:t xml:space="preserve">Crosbie, E., Otero Alvarez, M. G., Cao, M., et al. </w:t>
      </w:r>
      <w:r w:rsidRPr="00117083">
        <w:rPr>
          <w:rFonts w:ascii="Roboto" w:eastAsia="Roboto" w:hAnsi="Roboto" w:cs="Roboto"/>
          <w:sz w:val="20"/>
          <w:szCs w:val="20"/>
          <w:lang w:val="en-US"/>
        </w:rPr>
        <w:t xml:space="preserve">(2023). Implementing front-of-pack nutrition warning labels in Mexico: important lessons for low- and middle-income countries. Public Health Nutrition, 26(10). </w:t>
      </w:r>
      <w:hyperlink r:id="rId17" w:history="1">
        <w:r w:rsidRPr="00117083">
          <w:rPr>
            <w:rStyle w:val="Hipervnculo"/>
            <w:rFonts w:ascii="Roboto" w:eastAsia="Roboto" w:hAnsi="Roboto" w:cs="Roboto"/>
            <w:sz w:val="20"/>
            <w:szCs w:val="20"/>
            <w:lang w:val="en-US"/>
          </w:rPr>
          <w:t>https://doi.org/10.1017/S1368980023001441</w:t>
        </w:r>
      </w:hyperlink>
      <w:r w:rsidRPr="00117083">
        <w:rPr>
          <w:rFonts w:ascii="Roboto" w:eastAsia="Roboto" w:hAnsi="Roboto" w:cs="Roboto"/>
          <w:sz w:val="20"/>
          <w:szCs w:val="20"/>
          <w:lang w:val="en-US"/>
        </w:rPr>
        <w:t xml:space="preserve"> </w:t>
      </w:r>
    </w:p>
    <w:p w14:paraId="3ED11C4A" w14:textId="64520606" w:rsidR="00A411B7" w:rsidRPr="00117083" w:rsidRDefault="00A411B7" w:rsidP="00A411B7">
      <w:pPr>
        <w:ind w:left="142" w:hanging="153"/>
        <w:jc w:val="both"/>
        <w:rPr>
          <w:rFonts w:ascii="Roboto" w:eastAsia="Roboto" w:hAnsi="Roboto" w:cs="Roboto"/>
          <w:sz w:val="20"/>
          <w:szCs w:val="20"/>
        </w:rPr>
      </w:pPr>
      <w:r w:rsidRPr="00117083">
        <w:rPr>
          <w:rFonts w:ascii="Roboto" w:eastAsia="Roboto" w:hAnsi="Roboto" w:cs="Roboto"/>
          <w:sz w:val="20"/>
          <w:szCs w:val="20"/>
          <w:lang w:val="en-US"/>
        </w:rPr>
        <w:t xml:space="preserve">Contreras-Manzano, A., et al. (2022). Evaluation of the Mexican warning label nutrient profile on foods and beverages: A cross-sectional study. </w:t>
      </w:r>
      <w:r w:rsidRPr="00117083">
        <w:rPr>
          <w:rFonts w:ascii="Roboto" w:eastAsia="Roboto" w:hAnsi="Roboto" w:cs="Roboto"/>
          <w:sz w:val="20"/>
          <w:szCs w:val="20"/>
        </w:rPr>
        <w:t xml:space="preserve">PLOS Medicine, 19(7), e1003968. </w:t>
      </w:r>
      <w:hyperlink r:id="rId18" w:history="1">
        <w:r w:rsidR="007F1B86" w:rsidRPr="00117083">
          <w:rPr>
            <w:rStyle w:val="Hipervnculo"/>
            <w:rFonts w:ascii="Roboto" w:eastAsia="Roboto" w:hAnsi="Roboto" w:cs="Roboto"/>
            <w:sz w:val="20"/>
            <w:szCs w:val="20"/>
          </w:rPr>
          <w:t>https://doi.org/10.1371/journal.pmed.1003968</w:t>
        </w:r>
      </w:hyperlink>
    </w:p>
    <w:p w14:paraId="4AFD311A" w14:textId="2AE760B3" w:rsidR="007F1B86" w:rsidRPr="00117083" w:rsidRDefault="007F1B86" w:rsidP="007F1B86">
      <w:pPr>
        <w:ind w:left="142" w:hanging="153"/>
        <w:jc w:val="both"/>
        <w:rPr>
          <w:rFonts w:ascii="Roboto" w:eastAsia="Roboto" w:hAnsi="Roboto" w:cs="Roboto"/>
          <w:sz w:val="20"/>
          <w:szCs w:val="20"/>
          <w:lang w:val="it-IT"/>
        </w:rPr>
      </w:pPr>
      <w:r w:rsidRPr="00117083">
        <w:rPr>
          <w:rFonts w:ascii="Roboto" w:eastAsia="Roboto" w:hAnsi="Roboto" w:cs="Roboto"/>
          <w:sz w:val="20"/>
          <w:szCs w:val="20"/>
        </w:rPr>
        <w:t xml:space="preserve">Ferreira, J. dos S., et al. </w:t>
      </w:r>
      <w:r w:rsidRPr="00117083">
        <w:rPr>
          <w:rFonts w:ascii="Roboto" w:eastAsia="Roboto" w:hAnsi="Roboto" w:cs="Roboto"/>
          <w:sz w:val="20"/>
          <w:szCs w:val="20"/>
          <w:lang w:val="en-US"/>
        </w:rPr>
        <w:t xml:space="preserve">(2022). Factors interfering with the adoption of good hygiene practices in public school food services in Bahia, Brazil. Frontiers in Public Health, 10, 975140. </w:t>
      </w:r>
      <w:hyperlink r:id="rId19" w:history="1">
        <w:r w:rsidRPr="00117083">
          <w:rPr>
            <w:rStyle w:val="Hipervnculo"/>
            <w:rFonts w:ascii="Roboto" w:eastAsia="Roboto" w:hAnsi="Roboto" w:cs="Roboto"/>
            <w:sz w:val="20"/>
            <w:szCs w:val="20"/>
            <w:lang w:val="it-IT"/>
          </w:rPr>
          <w:t>https://doi.org/10.3389/fpubh.2022.975140</w:t>
        </w:r>
      </w:hyperlink>
      <w:r w:rsidRPr="00117083">
        <w:rPr>
          <w:rFonts w:ascii="Roboto" w:eastAsia="Roboto" w:hAnsi="Roboto" w:cs="Roboto"/>
          <w:sz w:val="20"/>
          <w:szCs w:val="20"/>
          <w:lang w:val="it-IT"/>
        </w:rPr>
        <w:t xml:space="preserve"> </w:t>
      </w:r>
    </w:p>
    <w:p w14:paraId="662AB603" w14:textId="5DF5EEA5" w:rsidR="00F77794" w:rsidRPr="00117083" w:rsidRDefault="00F77794" w:rsidP="00A411B7">
      <w:pPr>
        <w:ind w:left="142" w:hanging="153"/>
        <w:jc w:val="both"/>
        <w:rPr>
          <w:rFonts w:ascii="Roboto" w:eastAsia="Roboto" w:hAnsi="Roboto" w:cs="Roboto"/>
          <w:sz w:val="20"/>
          <w:szCs w:val="20"/>
        </w:rPr>
      </w:pPr>
      <w:r w:rsidRPr="00117083">
        <w:rPr>
          <w:rFonts w:ascii="Roboto" w:eastAsia="Roboto" w:hAnsi="Roboto" w:cs="Roboto"/>
          <w:sz w:val="20"/>
          <w:szCs w:val="20"/>
        </w:rPr>
        <w:t xml:space="preserve">Secretaría de Economía &amp; Secretaría de Salud. (2010). </w:t>
      </w:r>
      <w:r w:rsidRPr="00117083">
        <w:rPr>
          <w:rFonts w:ascii="Roboto" w:eastAsia="Roboto" w:hAnsi="Roboto" w:cs="Roboto"/>
          <w:i/>
          <w:iCs/>
          <w:sz w:val="20"/>
          <w:szCs w:val="20"/>
        </w:rPr>
        <w:t>NOM-051-SCFI/SSA1-2010, Especificaciones generales de etiquetado para alimentos y bebidas no alcohólicas preenvasados – Información comercial y sanitaria</w:t>
      </w:r>
      <w:r w:rsidRPr="00117083">
        <w:rPr>
          <w:rFonts w:ascii="Roboto" w:eastAsia="Roboto" w:hAnsi="Roboto" w:cs="Roboto"/>
          <w:sz w:val="20"/>
          <w:szCs w:val="20"/>
        </w:rPr>
        <w:t>.</w:t>
      </w:r>
    </w:p>
    <w:p w14:paraId="0F956EE7" w14:textId="77777777" w:rsidR="00F77794" w:rsidRPr="00117083" w:rsidRDefault="00F77794" w:rsidP="00A411B7">
      <w:pPr>
        <w:ind w:left="142" w:hanging="153"/>
        <w:jc w:val="both"/>
        <w:rPr>
          <w:rFonts w:ascii="Roboto" w:eastAsia="Roboto" w:hAnsi="Roboto" w:cs="Roboto"/>
          <w:sz w:val="20"/>
          <w:szCs w:val="20"/>
        </w:rPr>
      </w:pPr>
      <w:r w:rsidRPr="00117083">
        <w:rPr>
          <w:rFonts w:ascii="Roboto" w:eastAsia="Roboto" w:hAnsi="Roboto" w:cs="Roboto"/>
          <w:sz w:val="20"/>
          <w:szCs w:val="20"/>
        </w:rPr>
        <w:t xml:space="preserve">Secretaría de Salud. (2010). </w:t>
      </w:r>
      <w:r w:rsidRPr="00117083">
        <w:rPr>
          <w:rFonts w:ascii="Roboto" w:eastAsia="Roboto" w:hAnsi="Roboto" w:cs="Roboto"/>
          <w:i/>
          <w:iCs/>
          <w:sz w:val="20"/>
          <w:szCs w:val="20"/>
        </w:rPr>
        <w:t>NOM-251-SSA1-2009, Prácticas de higiene para el proceso de alimentos, bebidas o suplementos alimenticios</w:t>
      </w:r>
      <w:r w:rsidRPr="00117083">
        <w:rPr>
          <w:rFonts w:ascii="Roboto" w:eastAsia="Roboto" w:hAnsi="Roboto" w:cs="Roboto"/>
          <w:sz w:val="20"/>
          <w:szCs w:val="20"/>
        </w:rPr>
        <w:t>.</w:t>
      </w:r>
    </w:p>
    <w:p w14:paraId="72CC5747" w14:textId="371E5492" w:rsidR="00F77794" w:rsidRPr="00117083" w:rsidRDefault="00F77794" w:rsidP="00A411B7">
      <w:pPr>
        <w:ind w:left="142" w:hanging="153"/>
        <w:jc w:val="both"/>
        <w:rPr>
          <w:rFonts w:ascii="Roboto" w:eastAsia="Roboto" w:hAnsi="Roboto" w:cs="Roboto"/>
          <w:sz w:val="20"/>
          <w:szCs w:val="20"/>
          <w:lang w:val="en-US"/>
        </w:rPr>
      </w:pPr>
      <w:r w:rsidRPr="00117083">
        <w:rPr>
          <w:rFonts w:ascii="Roboto" w:eastAsia="Roboto" w:hAnsi="Roboto" w:cs="Roboto"/>
          <w:sz w:val="20"/>
          <w:szCs w:val="20"/>
          <w:lang w:val="en-US"/>
        </w:rPr>
        <w:t xml:space="preserve">Thorsen, M. (2025). Megatrends and emerging issues: Impacts on food safety. </w:t>
      </w:r>
      <w:r w:rsidRPr="00117083">
        <w:rPr>
          <w:rFonts w:ascii="Roboto" w:eastAsia="Roboto" w:hAnsi="Roboto" w:cs="Roboto"/>
          <w:i/>
          <w:iCs/>
          <w:sz w:val="20"/>
          <w:szCs w:val="20"/>
          <w:lang w:val="en-US"/>
        </w:rPr>
        <w:t>Comprehensive Reviews in Food Science and Food Safety, 24</w:t>
      </w:r>
      <w:r w:rsidRPr="00117083">
        <w:rPr>
          <w:rFonts w:ascii="Roboto" w:eastAsia="Roboto" w:hAnsi="Roboto" w:cs="Roboto"/>
          <w:sz w:val="20"/>
          <w:szCs w:val="20"/>
          <w:lang w:val="en-US"/>
        </w:rPr>
        <w:t xml:space="preserve">(1), e70170. </w:t>
      </w:r>
      <w:hyperlink r:id="rId20" w:history="1">
        <w:r w:rsidR="00A411B7" w:rsidRPr="00117083">
          <w:rPr>
            <w:rStyle w:val="Hipervnculo"/>
            <w:rFonts w:ascii="Roboto" w:eastAsia="Roboto" w:hAnsi="Roboto" w:cs="Roboto"/>
            <w:sz w:val="20"/>
            <w:szCs w:val="20"/>
            <w:lang w:val="en-US"/>
          </w:rPr>
          <w:t>https://doi.org/10.1111/1541-4337.70170</w:t>
        </w:r>
      </w:hyperlink>
      <w:r w:rsidR="00A411B7" w:rsidRPr="00117083">
        <w:rPr>
          <w:rFonts w:ascii="Roboto" w:eastAsia="Roboto" w:hAnsi="Roboto" w:cs="Roboto"/>
          <w:sz w:val="20"/>
          <w:szCs w:val="20"/>
          <w:lang w:val="en-US"/>
        </w:rPr>
        <w:t xml:space="preserve"> </w:t>
      </w:r>
    </w:p>
    <w:p w14:paraId="219F28B4" w14:textId="201C62A9" w:rsidR="00A411B7" w:rsidRPr="00117083" w:rsidRDefault="00A411B7" w:rsidP="00A411B7">
      <w:pPr>
        <w:ind w:left="142" w:hanging="153"/>
        <w:jc w:val="both"/>
        <w:rPr>
          <w:rFonts w:ascii="Roboto" w:eastAsia="Roboto" w:hAnsi="Roboto" w:cs="Roboto"/>
          <w:sz w:val="20"/>
          <w:szCs w:val="20"/>
          <w:lang w:val="en-US"/>
        </w:rPr>
      </w:pPr>
      <w:r w:rsidRPr="00117083">
        <w:rPr>
          <w:rFonts w:ascii="Roboto" w:eastAsia="Roboto" w:hAnsi="Roboto" w:cs="Roboto"/>
          <w:sz w:val="20"/>
          <w:szCs w:val="20"/>
          <w:lang w:val="en-US"/>
        </w:rPr>
        <w:t xml:space="preserve">Villaverde, P., et al. (2023). Hypothetical impact of the Mexican front-of-pack labeling on intake of critical nutrients and energy. Journal of Health, Population and Nutrition, 42, 62. </w:t>
      </w:r>
      <w:hyperlink r:id="rId21" w:history="1">
        <w:r w:rsidRPr="00117083">
          <w:rPr>
            <w:rStyle w:val="Hipervnculo"/>
            <w:rFonts w:ascii="Roboto" w:eastAsia="Roboto" w:hAnsi="Roboto" w:cs="Roboto"/>
            <w:sz w:val="20"/>
            <w:szCs w:val="20"/>
            <w:lang w:val="en-US"/>
          </w:rPr>
          <w:t>https://doi.org/10.1186/s41043-023-00462-7</w:t>
        </w:r>
      </w:hyperlink>
      <w:r w:rsidRPr="00117083">
        <w:rPr>
          <w:rFonts w:ascii="Roboto" w:eastAsia="Roboto" w:hAnsi="Roboto" w:cs="Roboto"/>
          <w:sz w:val="20"/>
          <w:szCs w:val="20"/>
          <w:lang w:val="en-US"/>
        </w:rPr>
        <w:t xml:space="preserve"> </w:t>
      </w:r>
    </w:p>
    <w:p w14:paraId="24B707DA" w14:textId="69DE282E" w:rsidR="00DC3DDE" w:rsidRPr="00117083" w:rsidRDefault="00F77794" w:rsidP="00117083">
      <w:pPr>
        <w:ind w:left="142" w:hanging="153"/>
        <w:jc w:val="both"/>
        <w:rPr>
          <w:rFonts w:ascii="Roboto" w:eastAsia="Roboto" w:hAnsi="Roboto" w:cs="Roboto"/>
          <w:sz w:val="20"/>
          <w:szCs w:val="20"/>
        </w:rPr>
      </w:pPr>
      <w:r w:rsidRPr="00117083">
        <w:rPr>
          <w:rFonts w:ascii="Roboto" w:eastAsia="Roboto" w:hAnsi="Roboto" w:cs="Roboto"/>
          <w:sz w:val="20"/>
          <w:szCs w:val="20"/>
          <w:lang w:val="en-US"/>
        </w:rPr>
        <w:t xml:space="preserve">Zarid, M. (2025). The Green HACCP approach: Advancing food safety and sustainability. </w:t>
      </w:r>
      <w:proofErr w:type="spellStart"/>
      <w:r w:rsidRPr="00117083">
        <w:rPr>
          <w:rFonts w:ascii="Roboto" w:eastAsia="Roboto" w:hAnsi="Roboto" w:cs="Roboto"/>
          <w:i/>
          <w:iCs/>
          <w:sz w:val="20"/>
          <w:szCs w:val="20"/>
        </w:rPr>
        <w:t>Sustainability</w:t>
      </w:r>
      <w:proofErr w:type="spellEnd"/>
      <w:r w:rsidRPr="00117083">
        <w:rPr>
          <w:rFonts w:ascii="Roboto" w:eastAsia="Roboto" w:hAnsi="Roboto" w:cs="Roboto"/>
          <w:i/>
          <w:iCs/>
          <w:sz w:val="20"/>
          <w:szCs w:val="20"/>
        </w:rPr>
        <w:t>, 17</w:t>
      </w:r>
      <w:r w:rsidRPr="00117083">
        <w:rPr>
          <w:rFonts w:ascii="Roboto" w:eastAsia="Roboto" w:hAnsi="Roboto" w:cs="Roboto"/>
          <w:sz w:val="20"/>
          <w:szCs w:val="20"/>
        </w:rPr>
        <w:t xml:space="preserve">(17), 7834. </w:t>
      </w:r>
      <w:hyperlink r:id="rId22" w:history="1">
        <w:r w:rsidR="00DC3DDE" w:rsidRPr="00117083">
          <w:rPr>
            <w:rStyle w:val="Hipervnculo"/>
            <w:rFonts w:ascii="Roboto" w:eastAsia="Roboto" w:hAnsi="Roboto" w:cs="Roboto"/>
            <w:sz w:val="20"/>
            <w:szCs w:val="20"/>
          </w:rPr>
          <w:t>https://doi.org/10.3390/su17177834</w:t>
        </w:r>
      </w:hyperlink>
    </w:p>
    <w:sectPr w:rsidR="00DC3DDE" w:rsidRPr="00117083">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D3379E" w14:textId="77777777" w:rsidR="0055541C" w:rsidRDefault="0055541C">
      <w:r>
        <w:separator/>
      </w:r>
    </w:p>
  </w:endnote>
  <w:endnote w:type="continuationSeparator" w:id="0">
    <w:p w14:paraId="561E639E" w14:textId="77777777" w:rsidR="0055541C" w:rsidRDefault="005554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embedItalic r:id="rId1" w:fontKey="{A603A854-127C-4C31-86E7-F3C82CD50225}"/>
  </w:font>
  <w:font w:name="Roboto">
    <w:altName w:val="Arial"/>
    <w:charset w:val="00"/>
    <w:family w:val="auto"/>
    <w:pitch w:val="variable"/>
    <w:sig w:usb0="E0000AFF" w:usb1="5000217F" w:usb2="00000021" w:usb3="00000000" w:csb0="0000019F" w:csb1="00000000"/>
    <w:embedRegular r:id="rId2" w:fontKey="{8DCBBAD1-D618-4420-996D-E3708E9E566F}"/>
    <w:embedBold r:id="rId3" w:fontKey="{781FCF01-08E0-4708-886E-E388CC867150}"/>
    <w:embedItalic r:id="rId4" w:fontKey="{CB5F8D6A-2E9B-4AE2-BD31-2103BB8B3124}"/>
  </w:font>
  <w:font w:name="Calibri">
    <w:panose1 w:val="020F0502020204030204"/>
    <w:charset w:val="00"/>
    <w:family w:val="swiss"/>
    <w:pitch w:val="variable"/>
    <w:sig w:usb0="E4002EFF" w:usb1="C000247B" w:usb2="00000009" w:usb3="00000000" w:csb0="000001FF" w:csb1="00000000"/>
    <w:embedRegular r:id="rId5" w:fontKey="{0D40AA71-9463-44F3-AFD7-D1FEBBE64FF6}"/>
  </w:font>
  <w:font w:name="Cambria">
    <w:panose1 w:val="02040503050406030204"/>
    <w:charset w:val="00"/>
    <w:family w:val="roman"/>
    <w:pitch w:val="variable"/>
    <w:sig w:usb0="E00006FF" w:usb1="420024FF" w:usb2="02000000" w:usb3="00000000" w:csb0="0000019F" w:csb1="00000000"/>
    <w:embedRegular r:id="rId6" w:fontKey="{8D5E20E2-3F84-4E02-B057-280866CBAA3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A4341E" w14:textId="77777777" w:rsidR="0055541C" w:rsidRDefault="0055541C">
      <w:r>
        <w:separator/>
      </w:r>
    </w:p>
  </w:footnote>
  <w:footnote w:type="continuationSeparator" w:id="0">
    <w:p w14:paraId="47D8F6BA" w14:textId="77777777" w:rsidR="0055541C" w:rsidRDefault="005554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05EB8" w14:textId="77777777" w:rsidR="008C3ABE" w:rsidRDefault="008C3ABE">
    <w:pPr>
      <w:widowControl w:val="0"/>
      <w:pBdr>
        <w:top w:val="nil"/>
        <w:left w:val="nil"/>
        <w:bottom w:val="nil"/>
        <w:right w:val="nil"/>
        <w:between w:val="nil"/>
      </w:pBdr>
      <w:spacing w:line="276" w:lineRule="auto"/>
      <w:rPr>
        <w:rFonts w:ascii="Roboto" w:eastAsia="Roboto" w:hAnsi="Roboto" w:cs="Roboto"/>
      </w:rPr>
    </w:pPr>
  </w:p>
  <w:tbl>
    <w:tblPr>
      <w:tblStyle w:val="a0"/>
      <w:tblW w:w="6306" w:type="dxa"/>
      <w:jc w:val="center"/>
      <w:tblInd w:w="0" w:type="dxa"/>
      <w:tblLayout w:type="fixed"/>
      <w:tblLook w:val="0400" w:firstRow="0" w:lastRow="0" w:firstColumn="0" w:lastColumn="0" w:noHBand="0" w:noVBand="1"/>
    </w:tblPr>
    <w:tblGrid>
      <w:gridCol w:w="6306"/>
    </w:tblGrid>
    <w:tr w:rsidR="008C3ABE" w14:paraId="58BA893C" w14:textId="77777777">
      <w:trPr>
        <w:trHeight w:val="345"/>
        <w:jc w:val="center"/>
      </w:trPr>
      <w:tc>
        <w:tcPr>
          <w:tcW w:w="6306" w:type="dxa"/>
          <w:vAlign w:val="center"/>
        </w:tcPr>
        <w:p w14:paraId="6DAE748F" w14:textId="77777777" w:rsidR="008C3ABE" w:rsidRDefault="008C3ABE">
          <w:pPr>
            <w:jc w:val="center"/>
            <w:rPr>
              <w:i/>
              <w:iCs/>
              <w:sz w:val="18"/>
              <w:szCs w:val="18"/>
            </w:rPr>
          </w:pPr>
        </w:p>
      </w:tc>
    </w:tr>
  </w:tbl>
  <w:p w14:paraId="072FA33C" w14:textId="77777777" w:rsidR="008C3ABE" w:rsidRDefault="008C3AB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432511"/>
    <w:multiLevelType w:val="hybridMultilevel"/>
    <w:tmpl w:val="680878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68154D54"/>
    <w:multiLevelType w:val="hybridMultilevel"/>
    <w:tmpl w:val="8C24E9E8"/>
    <w:lvl w:ilvl="0" w:tplc="BF96583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768840618">
    <w:abstractNumId w:val="0"/>
  </w:num>
  <w:num w:numId="2" w16cid:durableId="18209262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ABE"/>
    <w:rsid w:val="000452CE"/>
    <w:rsid w:val="000A6FB5"/>
    <w:rsid w:val="0010289A"/>
    <w:rsid w:val="00117083"/>
    <w:rsid w:val="001F3563"/>
    <w:rsid w:val="001F5DD7"/>
    <w:rsid w:val="00201999"/>
    <w:rsid w:val="00243964"/>
    <w:rsid w:val="00255B52"/>
    <w:rsid w:val="002E0E4B"/>
    <w:rsid w:val="00340C8D"/>
    <w:rsid w:val="00372D0B"/>
    <w:rsid w:val="00406111"/>
    <w:rsid w:val="00443122"/>
    <w:rsid w:val="00524DFB"/>
    <w:rsid w:val="0054600C"/>
    <w:rsid w:val="0055541C"/>
    <w:rsid w:val="005D5CB2"/>
    <w:rsid w:val="005F3A98"/>
    <w:rsid w:val="00641D54"/>
    <w:rsid w:val="00657A6E"/>
    <w:rsid w:val="00695B72"/>
    <w:rsid w:val="006B6A57"/>
    <w:rsid w:val="00704074"/>
    <w:rsid w:val="00713C22"/>
    <w:rsid w:val="00725599"/>
    <w:rsid w:val="007F1B86"/>
    <w:rsid w:val="0080699A"/>
    <w:rsid w:val="008466E1"/>
    <w:rsid w:val="008864DB"/>
    <w:rsid w:val="008B6808"/>
    <w:rsid w:val="008C3ABE"/>
    <w:rsid w:val="008E1269"/>
    <w:rsid w:val="008E15DD"/>
    <w:rsid w:val="0099573C"/>
    <w:rsid w:val="009B5707"/>
    <w:rsid w:val="009B5A86"/>
    <w:rsid w:val="009D2B2B"/>
    <w:rsid w:val="00A411B7"/>
    <w:rsid w:val="00A47C06"/>
    <w:rsid w:val="00AA5529"/>
    <w:rsid w:val="00AC23D6"/>
    <w:rsid w:val="00AC3DF6"/>
    <w:rsid w:val="00B03125"/>
    <w:rsid w:val="00B71E3C"/>
    <w:rsid w:val="00CA6BA6"/>
    <w:rsid w:val="00CE2F36"/>
    <w:rsid w:val="00D85B63"/>
    <w:rsid w:val="00D978A8"/>
    <w:rsid w:val="00DC3DDE"/>
    <w:rsid w:val="00DF555C"/>
    <w:rsid w:val="00E70ABE"/>
    <w:rsid w:val="00EA3E8C"/>
    <w:rsid w:val="00F731E7"/>
    <w:rsid w:val="00F77794"/>
    <w:rsid w:val="00F8624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2CD3F"/>
  <w15:docId w15:val="{17D77D1B-4797-7E44-8D31-639D9163C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3A98"/>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styleId="Tablaconcuadrcula">
    <w:name w:val="Table Grid"/>
    <w:basedOn w:val="Tablanormal"/>
    <w:uiPriority w:val="39"/>
    <w:rsid w:val="00CA6B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B03125"/>
    <w:rPr>
      <w:color w:val="0000FF" w:themeColor="hyperlink"/>
      <w:u w:val="single"/>
    </w:rPr>
  </w:style>
  <w:style w:type="paragraph" w:styleId="Textonotapie">
    <w:name w:val="footnote text"/>
    <w:basedOn w:val="Normal"/>
    <w:link w:val="TextonotapieCar"/>
    <w:uiPriority w:val="99"/>
    <w:semiHidden/>
    <w:unhideWhenUsed/>
    <w:rsid w:val="00D978A8"/>
    <w:rPr>
      <w:sz w:val="20"/>
      <w:szCs w:val="20"/>
    </w:rPr>
  </w:style>
  <w:style w:type="character" w:customStyle="1" w:styleId="TextonotapieCar">
    <w:name w:val="Texto nota pie Car"/>
    <w:basedOn w:val="Fuentedeprrafopredeter"/>
    <w:link w:val="Textonotapie"/>
    <w:uiPriority w:val="99"/>
    <w:semiHidden/>
    <w:rsid w:val="00D978A8"/>
    <w:rPr>
      <w:sz w:val="20"/>
      <w:szCs w:val="20"/>
    </w:rPr>
  </w:style>
  <w:style w:type="character" w:styleId="Refdenotaalpie">
    <w:name w:val="footnote reference"/>
    <w:basedOn w:val="Fuentedeprrafopredeter"/>
    <w:uiPriority w:val="99"/>
    <w:semiHidden/>
    <w:unhideWhenUsed/>
    <w:rsid w:val="00D978A8"/>
    <w:rPr>
      <w:vertAlign w:val="superscript"/>
    </w:rPr>
  </w:style>
  <w:style w:type="character" w:styleId="Mencinsinresolver">
    <w:name w:val="Unresolved Mention"/>
    <w:basedOn w:val="Fuentedeprrafopredeter"/>
    <w:uiPriority w:val="99"/>
    <w:semiHidden/>
    <w:unhideWhenUsed/>
    <w:rsid w:val="00F731E7"/>
    <w:rPr>
      <w:color w:val="605E5C"/>
      <w:shd w:val="clear" w:color="auto" w:fill="E1DFDD"/>
    </w:rPr>
  </w:style>
  <w:style w:type="paragraph" w:styleId="NormalWeb">
    <w:name w:val="Normal (Web)"/>
    <w:basedOn w:val="Normal"/>
    <w:uiPriority w:val="99"/>
    <w:semiHidden/>
    <w:unhideWhenUsed/>
    <w:rsid w:val="00F77794"/>
    <w:pPr>
      <w:spacing w:before="100" w:beforeAutospacing="1" w:after="100" w:afterAutospacing="1"/>
    </w:pPr>
  </w:style>
  <w:style w:type="paragraph" w:styleId="Prrafodelista">
    <w:name w:val="List Paragraph"/>
    <w:basedOn w:val="Normal"/>
    <w:uiPriority w:val="34"/>
    <w:qFormat/>
    <w:rsid w:val="002E0E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252873">
      <w:bodyDiv w:val="1"/>
      <w:marLeft w:val="0"/>
      <w:marRight w:val="0"/>
      <w:marTop w:val="0"/>
      <w:marBottom w:val="0"/>
      <w:divBdr>
        <w:top w:val="none" w:sz="0" w:space="0" w:color="auto"/>
        <w:left w:val="none" w:sz="0" w:space="0" w:color="auto"/>
        <w:bottom w:val="none" w:sz="0" w:space="0" w:color="auto"/>
        <w:right w:val="none" w:sz="0" w:space="0" w:color="auto"/>
      </w:divBdr>
      <w:divsChild>
        <w:div w:id="1977489300">
          <w:marLeft w:val="0"/>
          <w:marRight w:val="0"/>
          <w:marTop w:val="0"/>
          <w:marBottom w:val="0"/>
          <w:divBdr>
            <w:top w:val="none" w:sz="0" w:space="0" w:color="auto"/>
            <w:left w:val="none" w:sz="0" w:space="0" w:color="auto"/>
            <w:bottom w:val="none" w:sz="0" w:space="0" w:color="auto"/>
            <w:right w:val="none" w:sz="0" w:space="0" w:color="auto"/>
          </w:divBdr>
          <w:divsChild>
            <w:div w:id="402918130">
              <w:marLeft w:val="0"/>
              <w:marRight w:val="0"/>
              <w:marTop w:val="0"/>
              <w:marBottom w:val="0"/>
              <w:divBdr>
                <w:top w:val="none" w:sz="0" w:space="0" w:color="auto"/>
                <w:left w:val="none" w:sz="0" w:space="0" w:color="auto"/>
                <w:bottom w:val="none" w:sz="0" w:space="0" w:color="auto"/>
                <w:right w:val="none" w:sz="0" w:space="0" w:color="auto"/>
              </w:divBdr>
              <w:divsChild>
                <w:div w:id="1074744282">
                  <w:marLeft w:val="0"/>
                  <w:marRight w:val="0"/>
                  <w:marTop w:val="0"/>
                  <w:marBottom w:val="0"/>
                  <w:divBdr>
                    <w:top w:val="none" w:sz="0" w:space="0" w:color="auto"/>
                    <w:left w:val="none" w:sz="0" w:space="0" w:color="auto"/>
                    <w:bottom w:val="none" w:sz="0" w:space="0" w:color="auto"/>
                    <w:right w:val="none" w:sz="0" w:space="0" w:color="auto"/>
                  </w:divBdr>
                  <w:divsChild>
                    <w:div w:id="762383219">
                      <w:marLeft w:val="0"/>
                      <w:marRight w:val="0"/>
                      <w:marTop w:val="0"/>
                      <w:marBottom w:val="0"/>
                      <w:divBdr>
                        <w:top w:val="none" w:sz="0" w:space="0" w:color="auto"/>
                        <w:left w:val="none" w:sz="0" w:space="0" w:color="auto"/>
                        <w:bottom w:val="none" w:sz="0" w:space="0" w:color="auto"/>
                        <w:right w:val="none" w:sz="0" w:space="0" w:color="auto"/>
                      </w:divBdr>
                      <w:divsChild>
                        <w:div w:id="1570653644">
                          <w:marLeft w:val="0"/>
                          <w:marRight w:val="0"/>
                          <w:marTop w:val="0"/>
                          <w:marBottom w:val="0"/>
                          <w:divBdr>
                            <w:top w:val="none" w:sz="0" w:space="0" w:color="auto"/>
                            <w:left w:val="none" w:sz="0" w:space="0" w:color="auto"/>
                            <w:bottom w:val="none" w:sz="0" w:space="0" w:color="auto"/>
                            <w:right w:val="none" w:sz="0" w:space="0" w:color="auto"/>
                          </w:divBdr>
                          <w:divsChild>
                            <w:div w:id="109979436">
                              <w:marLeft w:val="0"/>
                              <w:marRight w:val="0"/>
                              <w:marTop w:val="0"/>
                              <w:marBottom w:val="0"/>
                              <w:divBdr>
                                <w:top w:val="none" w:sz="0" w:space="0" w:color="auto"/>
                                <w:left w:val="none" w:sz="0" w:space="0" w:color="auto"/>
                                <w:bottom w:val="none" w:sz="0" w:space="0" w:color="auto"/>
                                <w:right w:val="none" w:sz="0" w:space="0" w:color="auto"/>
                              </w:divBdr>
                              <w:divsChild>
                                <w:div w:id="156509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8770-8180" TargetMode="External"/><Relationship Id="rId13" Type="http://schemas.openxmlformats.org/officeDocument/2006/relationships/hyperlink" Target="mailto:aurora.porrua@anahuac.mx" TargetMode="External"/><Relationship Id="rId18" Type="http://schemas.openxmlformats.org/officeDocument/2006/relationships/hyperlink" Target="https://doi.org/10.1371/journal.pmed.1003968" TargetMode="External"/><Relationship Id="rId3" Type="http://schemas.openxmlformats.org/officeDocument/2006/relationships/styles" Target="styles.xml"/><Relationship Id="rId21" Type="http://schemas.openxmlformats.org/officeDocument/2006/relationships/hyperlink" Target="https://doi.org/10.1186/s41043-023-00462-7" TargetMode="External"/><Relationship Id="rId7" Type="http://schemas.openxmlformats.org/officeDocument/2006/relationships/endnotes" Target="endnotes.xml"/><Relationship Id="rId12" Type="http://schemas.openxmlformats.org/officeDocument/2006/relationships/hyperlink" Target="mailto:andres.mendezp@anahuac.mx" TargetMode="External"/><Relationship Id="rId17" Type="http://schemas.openxmlformats.org/officeDocument/2006/relationships/hyperlink" Target="https://doi.org/10.1017/S1368980023001441" TargetMode="External"/><Relationship Id="rId2" Type="http://schemas.openxmlformats.org/officeDocument/2006/relationships/numbering" Target="numbering.xml"/><Relationship Id="rId16" Type="http://schemas.openxmlformats.org/officeDocument/2006/relationships/hyperlink" Target="https://doi.org/10.3390/microorganisms12040825" TargetMode="External"/><Relationship Id="rId20" Type="http://schemas.openxmlformats.org/officeDocument/2006/relationships/hyperlink" Target="https://doi.org/10.1111/1541-4337.7017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rge.ruizr@anahuac.mx"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07/978-981-97-7870-6_23" TargetMode="External"/><Relationship Id="rId23" Type="http://schemas.openxmlformats.org/officeDocument/2006/relationships/fontTable" Target="fontTable.xml"/><Relationship Id="rId10" Type="http://schemas.openxmlformats.org/officeDocument/2006/relationships/hyperlink" Target="https://orcid.org/0009-0008-3556-2376" TargetMode="External"/><Relationship Id="rId19" Type="http://schemas.openxmlformats.org/officeDocument/2006/relationships/hyperlink" Target="https://doi.org/10.3389/fpubh.2022.975140" TargetMode="External"/><Relationship Id="rId4" Type="http://schemas.openxmlformats.org/officeDocument/2006/relationships/settings" Target="settings.xml"/><Relationship Id="rId9" Type="http://schemas.openxmlformats.org/officeDocument/2006/relationships/hyperlink" Target="https://orcid.org/0000-0001-6909-0057" TargetMode="External"/><Relationship Id="rId14" Type="http://schemas.openxmlformats.org/officeDocument/2006/relationships/header" Target="header1.xml"/><Relationship Id="rId22" Type="http://schemas.openxmlformats.org/officeDocument/2006/relationships/hyperlink" Target="https://doi.org/10.3390/su17177834"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5957C-5F29-2241-9BAE-B9019B984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2</Pages>
  <Words>1326</Words>
  <Characters>8338</Characters>
  <Application>Microsoft Office Word</Application>
  <DocSecurity>0</DocSecurity>
  <Lines>299</Lines>
  <Paragraphs>126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Jorge Ruiz Ruiz</cp:lastModifiedBy>
  <cp:revision>10</cp:revision>
  <dcterms:created xsi:type="dcterms:W3CDTF">2026-03-02T16:44:00Z</dcterms:created>
  <dcterms:modified xsi:type="dcterms:W3CDTF">2026-03-02T23:59:00Z</dcterms:modified>
</cp:coreProperties>
</file>