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C17EC6" w14:textId="56D84A28" w:rsidR="009B517D" w:rsidRDefault="0062784C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</w:rPr>
      </w:pPr>
      <w:r>
        <w:rPr>
          <w:rFonts w:ascii="Roboto" w:eastAsia="Roboto" w:hAnsi="Roboto" w:cs="Roboto"/>
          <w:b/>
          <w:color w:val="000000"/>
        </w:rPr>
        <w:t>Migración y transformación regional en el Bajío</w:t>
      </w:r>
    </w:p>
    <w:p w14:paraId="04548CC8" w14:textId="2A534C09" w:rsidR="0062784C" w:rsidRPr="0062784C" w:rsidRDefault="0062784C" w:rsidP="0062784C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Cota, Cabrera Bribrilia</w:t>
      </w:r>
    </w:p>
    <w:p w14:paraId="5A2EAB55" w14:textId="64C706FA" w:rsidR="009B517D" w:rsidRPr="0062784C" w:rsidRDefault="0062784C" w:rsidP="0062784C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</w:rPr>
        <w:t>Universidad Anáhuac Querétaro, ORCID: 0009-006-7675-6519</w:t>
      </w:r>
    </w:p>
    <w:p w14:paraId="4B6FCFCB" w14:textId="77195A16" w:rsidR="009B517D" w:rsidRPr="0062784C" w:rsidRDefault="0062784C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</w:rPr>
        <w:t>bribrilia.cota@anahuac.mx</w:t>
      </w:r>
    </w:p>
    <w:p w14:paraId="1B837883" w14:textId="77777777" w:rsidR="009B517D" w:rsidRDefault="00000000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9B517D">
          <w:headerReference w:type="default" r:id="rId7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pict w14:anchorId="4927B369">
          <v:rect id="_x0000_i1025" style="width:0;height:1.5pt" o:hralign="center" o:hrstd="t" o:hr="t" fillcolor="#a0a0a0" stroked="f"/>
        </w:pict>
      </w:r>
    </w:p>
    <w:p w14:paraId="634D43DD" w14:textId="04035880" w:rsidR="009B517D" w:rsidRDefault="0029528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INTRODUCCI</w:t>
      </w:r>
      <w:r w:rsidR="00161E61">
        <w:rPr>
          <w:rFonts w:ascii="Roboto" w:eastAsia="Roboto" w:hAnsi="Roboto" w:cs="Roboto"/>
          <w:b/>
          <w:color w:val="000000"/>
          <w:sz w:val="20"/>
          <w:szCs w:val="20"/>
        </w:rPr>
        <w:t>Ó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>N</w:t>
      </w:r>
    </w:p>
    <w:p w14:paraId="23D54823" w14:textId="2D539494" w:rsidR="008430DD" w:rsidRPr="00402E27" w:rsidRDefault="008430D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Durante gran parte del siglo XX, el Bajío mexicano se consolidó como una región con limitada diversificación productiva y fuerte tradición migratoria hacia Estados Unidos.  A partir de la década de 1990, la expansión manufacturera</w:t>
      </w:r>
      <w:r w:rsidR="00A11B34">
        <w:rPr>
          <w:rFonts w:ascii="Roboto" w:eastAsia="Roboto" w:hAnsi="Roboto" w:cs="Roboto"/>
          <w:color w:val="000000"/>
          <w:sz w:val="20"/>
          <w:szCs w:val="20"/>
        </w:rPr>
        <w:t xml:space="preserve">, el incremento de inversión extranjera directa y la integración a cadenas globales de valor (especialmente en el sector </w:t>
      </w:r>
      <w:r w:rsidR="00BE4B81">
        <w:rPr>
          <w:rFonts w:ascii="Roboto" w:eastAsia="Roboto" w:hAnsi="Roboto" w:cs="Roboto"/>
          <w:color w:val="000000"/>
          <w:sz w:val="20"/>
          <w:szCs w:val="20"/>
        </w:rPr>
        <w:t>automotriz) modificaron</w:t>
      </w:r>
      <w:r w:rsidR="00A11B34">
        <w:rPr>
          <w:rFonts w:ascii="Roboto" w:eastAsia="Roboto" w:hAnsi="Roboto" w:cs="Roboto"/>
          <w:color w:val="000000"/>
          <w:sz w:val="20"/>
          <w:szCs w:val="20"/>
        </w:rPr>
        <w:t xml:space="preserve"> la estructura ocupacional y territorial de la región</w:t>
      </w:r>
      <w:r w:rsidR="00402E27">
        <w:rPr>
          <w:rFonts w:ascii="Roboto" w:eastAsia="Roboto" w:hAnsi="Roboto" w:cs="Roboto"/>
          <w:color w:val="000000"/>
          <w:sz w:val="20"/>
          <w:szCs w:val="20"/>
        </w:rPr>
        <w:t xml:space="preserve">, </w:t>
      </w:r>
      <w:r w:rsidR="00A11B34">
        <w:rPr>
          <w:rFonts w:ascii="Roboto" w:eastAsia="Roboto" w:hAnsi="Roboto" w:cs="Roboto"/>
          <w:color w:val="000000"/>
          <w:sz w:val="20"/>
          <w:szCs w:val="20"/>
        </w:rPr>
        <w:t xml:space="preserve">proceso que fortaleció la capacidad de absorción laboral y generó nuevos polos </w:t>
      </w:r>
      <w:r w:rsidR="00A11B34" w:rsidRPr="00402E27">
        <w:rPr>
          <w:rFonts w:ascii="Roboto" w:eastAsia="Roboto" w:hAnsi="Roboto" w:cs="Roboto"/>
          <w:color w:val="000000"/>
          <w:sz w:val="20"/>
          <w:szCs w:val="20"/>
        </w:rPr>
        <w:t>industriales</w:t>
      </w:r>
      <w:r w:rsidR="00402E27" w:rsidRPr="00402E27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402E27">
        <w:rPr>
          <w:rFonts w:ascii="Roboto" w:eastAsia="Roboto" w:hAnsi="Roboto" w:cs="Roboto"/>
          <w:color w:val="000000"/>
          <w:sz w:val="20"/>
          <w:szCs w:val="20"/>
        </w:rPr>
        <w:t>(</w:t>
      </w:r>
      <w:r w:rsidR="00402E27" w:rsidRPr="00402E27">
        <w:rPr>
          <w:rFonts w:ascii="Roboto" w:hAnsi="Roboto"/>
          <w:sz w:val="20"/>
          <w:szCs w:val="20"/>
        </w:rPr>
        <w:t>Pérez Hernández, 2015; Campos Vázquez &amp; Campos Ortiz, 2023).</w:t>
      </w:r>
    </w:p>
    <w:p w14:paraId="4800C99B" w14:textId="4B1F6023" w:rsidR="00A11B34" w:rsidRDefault="00A11B3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El objetivo de este trabajo es analizar como esta transformación productiva reconfiguró el papel migratorio del Bajío, transitando de un espacio predominantemente</w:t>
      </w:r>
      <w:r w:rsidR="00402E27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expulsor hacia una región caracterizada por la </w:t>
      </w:r>
      <w:r w:rsidR="00A80797">
        <w:rPr>
          <w:rFonts w:ascii="Roboto" w:eastAsia="Roboto" w:hAnsi="Roboto" w:cs="Roboto"/>
          <w:color w:val="000000"/>
          <w:sz w:val="20"/>
          <w:szCs w:val="20"/>
        </w:rPr>
        <w:t>coexistencia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de flujos de salida y de  atracción.</w:t>
      </w:r>
    </w:p>
    <w:p w14:paraId="5BE0C808" w14:textId="2AE80DEF" w:rsidR="00A11B34" w:rsidRDefault="00A11B3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El estudio adopta un enfoque descriptivo de carácter histórico y territorial; se realiza un análisis comparativo de largo plazo (1970-2020) con base en información estadística de los Censos de Población y Vivienda de INEGI y CONAPO</w:t>
      </w:r>
      <w:r w:rsidR="00A80797">
        <w:rPr>
          <w:rFonts w:ascii="Roboto" w:eastAsia="Roboto" w:hAnsi="Roboto" w:cs="Roboto"/>
          <w:color w:val="000000"/>
          <w:sz w:val="20"/>
          <w:szCs w:val="20"/>
        </w:rPr>
        <w:t>.</w:t>
      </w:r>
    </w:p>
    <w:p w14:paraId="6DFDD492" w14:textId="77777777" w:rsidR="00A80797" w:rsidRDefault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6873F298" w14:textId="3DD0E95D" w:rsidR="00A80797" w:rsidRDefault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ANÁLISIS TEÓRICO</w:t>
      </w:r>
    </w:p>
    <w:p w14:paraId="2B5435EB" w14:textId="77777777" w:rsidR="00A80797" w:rsidRPr="00A80797" w:rsidRDefault="00A80797" w:rsidP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Cs/>
          <w:color w:val="000000"/>
          <w:sz w:val="20"/>
          <w:szCs w:val="20"/>
        </w:rPr>
      </w:pPr>
      <w:r w:rsidRPr="00A80797">
        <w:rPr>
          <w:rFonts w:ascii="Roboto" w:eastAsia="Roboto" w:hAnsi="Roboto" w:cs="Roboto"/>
          <w:bCs/>
          <w:color w:val="000000"/>
          <w:sz w:val="20"/>
          <w:szCs w:val="20"/>
        </w:rPr>
        <w:t>El análisis se sustenta en una perspectiva estructural de la migración que enfatiza su vinculación con procesos de desarrollo desigual, reorganización productiva y segmentación del mercado de trabajo (Arango, 2000; Castles et al., 2019). Desde este enfoque, los flujos migratorios no responden únicamente a decisiones individuales, sino a configuraciones territoriales que generan incentivos diferenciados de salida y atracción.</w:t>
      </w:r>
    </w:p>
    <w:p w14:paraId="3EDE272F" w14:textId="2A6634BF" w:rsidR="00A80797" w:rsidRDefault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 w:rsidRPr="00A80797">
        <w:rPr>
          <w:rFonts w:ascii="Roboto" w:eastAsia="Roboto" w:hAnsi="Roboto" w:cs="Roboto"/>
          <w:bCs/>
          <w:color w:val="000000"/>
          <w:sz w:val="20"/>
          <w:szCs w:val="20"/>
        </w:rPr>
        <w:t xml:space="preserve">El esquema </w:t>
      </w:r>
      <w:proofErr w:type="spellStart"/>
      <w:r w:rsidRPr="00A80797">
        <w:rPr>
          <w:rFonts w:ascii="Roboto" w:eastAsia="Roboto" w:hAnsi="Roboto" w:cs="Roboto"/>
          <w:bCs/>
          <w:color w:val="000000"/>
          <w:sz w:val="20"/>
          <w:szCs w:val="20"/>
        </w:rPr>
        <w:t>push</w:t>
      </w:r>
      <w:proofErr w:type="spellEnd"/>
      <w:r w:rsidRPr="00A80797">
        <w:rPr>
          <w:rFonts w:ascii="Roboto" w:eastAsia="Roboto" w:hAnsi="Roboto" w:cs="Roboto"/>
          <w:bCs/>
          <w:color w:val="000000"/>
          <w:sz w:val="20"/>
          <w:szCs w:val="20"/>
        </w:rPr>
        <w:t>–</w:t>
      </w:r>
      <w:proofErr w:type="spellStart"/>
      <w:r w:rsidRPr="00A80797">
        <w:rPr>
          <w:rFonts w:ascii="Roboto" w:eastAsia="Roboto" w:hAnsi="Roboto" w:cs="Roboto"/>
          <w:bCs/>
          <w:color w:val="000000"/>
          <w:sz w:val="20"/>
          <w:szCs w:val="20"/>
        </w:rPr>
        <w:t>pull</w:t>
      </w:r>
      <w:proofErr w:type="spellEnd"/>
      <w:r w:rsidRPr="00A80797">
        <w:rPr>
          <w:rFonts w:ascii="Roboto" w:eastAsia="Roboto" w:hAnsi="Roboto" w:cs="Roboto"/>
          <w:bCs/>
          <w:color w:val="000000"/>
          <w:sz w:val="20"/>
          <w:szCs w:val="20"/>
        </w:rPr>
        <w:t xml:space="preserve"> (Lee, 1966) permite identificar factores de expulsión y atracción, mientras que la teoría de la segmentación laboral (</w:t>
      </w:r>
      <w:proofErr w:type="spellStart"/>
      <w:r w:rsidRPr="00A80797">
        <w:rPr>
          <w:rFonts w:ascii="Roboto" w:eastAsia="Roboto" w:hAnsi="Roboto" w:cs="Roboto"/>
          <w:bCs/>
          <w:color w:val="000000"/>
          <w:sz w:val="20"/>
          <w:szCs w:val="20"/>
        </w:rPr>
        <w:t>Piore</w:t>
      </w:r>
      <w:proofErr w:type="spellEnd"/>
      <w:r w:rsidRPr="00A80797">
        <w:rPr>
          <w:rFonts w:ascii="Roboto" w:eastAsia="Roboto" w:hAnsi="Roboto" w:cs="Roboto"/>
          <w:bCs/>
          <w:color w:val="000000"/>
          <w:sz w:val="20"/>
          <w:szCs w:val="20"/>
        </w:rPr>
        <w:t>, 1979) contribuye a explicar cómo la existencia de segmentos laborales diferenciados puede producir simultáneamente dinámicas de emigración y recepción. Bajo esta perspectiva, regiones en proceso de transformación productiva pueden desempeñar funciones migratorias múltiples dentro del sistema migratorio nacional e internacional.</w:t>
      </w:r>
    </w:p>
    <w:p w14:paraId="0E838F1B" w14:textId="77777777" w:rsidR="00A80797" w:rsidRDefault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</w:p>
    <w:p w14:paraId="1BA4BA13" w14:textId="2E024E04" w:rsidR="00A80797" w:rsidRDefault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RESULTADOS</w:t>
      </w:r>
    </w:p>
    <w:p w14:paraId="13D17B64" w14:textId="209EBA21" w:rsidR="00A80797" w:rsidRPr="00A80797" w:rsidRDefault="00A80797" w:rsidP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A80797">
        <w:rPr>
          <w:rFonts w:ascii="Roboto" w:eastAsia="Roboto" w:hAnsi="Roboto" w:cs="Roboto"/>
          <w:color w:val="000000"/>
          <w:sz w:val="20"/>
          <w:szCs w:val="20"/>
        </w:rPr>
        <w:t>El análisis de largo plazo permite identificar tres momentos</w:t>
      </w:r>
      <w:r w:rsidR="00402E27">
        <w:rPr>
          <w:rFonts w:ascii="Roboto" w:eastAsia="Roboto" w:hAnsi="Roboto" w:cs="Roboto"/>
          <w:color w:val="000000"/>
          <w:sz w:val="20"/>
          <w:szCs w:val="20"/>
        </w:rPr>
        <w:t>:</w:t>
      </w:r>
    </w:p>
    <w:p w14:paraId="6677756E" w14:textId="79FA6BCB" w:rsidR="00A80797" w:rsidRPr="00A80797" w:rsidRDefault="00A80797" w:rsidP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A80797">
        <w:rPr>
          <w:rFonts w:ascii="Roboto" w:eastAsia="Roboto" w:hAnsi="Roboto" w:cs="Roboto"/>
          <w:color w:val="000000"/>
          <w:sz w:val="20"/>
          <w:szCs w:val="20"/>
        </w:rPr>
        <w:t xml:space="preserve">En primer lugar, durante gran parte del siglo XX la región se caracterizó por una limitada capacidad de absorción laboral, asociada al predominio del sector agropecuario y a una diversificación productiva acotada. Esta estructura económica favoreció la consolidación de la migración internacional hacia Estados Unidos como </w:t>
      </w:r>
      <w:r w:rsidRPr="00A80797">
        <w:rPr>
          <w:rFonts w:ascii="Roboto" w:eastAsia="Roboto" w:hAnsi="Roboto" w:cs="Roboto"/>
          <w:color w:val="000000"/>
          <w:sz w:val="20"/>
          <w:szCs w:val="20"/>
        </w:rPr>
        <w:t xml:space="preserve">estrategia recurrente de movilidad y reproducción social. </w:t>
      </w:r>
    </w:p>
    <w:p w14:paraId="0FE0EF74" w14:textId="77777777" w:rsidR="00A80797" w:rsidRDefault="00A80797" w:rsidP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A80797">
        <w:rPr>
          <w:rFonts w:ascii="Roboto" w:eastAsia="Roboto" w:hAnsi="Roboto" w:cs="Roboto"/>
          <w:color w:val="000000"/>
          <w:sz w:val="20"/>
          <w:szCs w:val="20"/>
        </w:rPr>
        <w:t>En segundo lugar, a partir de la década de 1990 se observa una transición productiva marcada por la expansión del sector manufacturero, la consolidación del clúster automotriz y el incremento sostenido de la inversión extranjera directa. Esta reorganización territorial del empleo generó polos industriales con mayor dinamismo económico, particularmente en Guanajuato, Querétaro y Aguascalientes.</w:t>
      </w:r>
    </w:p>
    <w:p w14:paraId="374C26E9" w14:textId="77777777" w:rsidR="00BE4B81" w:rsidRDefault="00BE4B81" w:rsidP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6A2F18DF" w14:textId="34ACA5BF" w:rsidR="00BE4B81" w:rsidRPr="00E80441" w:rsidRDefault="00BE4B81" w:rsidP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18"/>
          <w:szCs w:val="18"/>
        </w:rPr>
      </w:pPr>
      <w:r w:rsidRPr="00E80441">
        <w:rPr>
          <w:rFonts w:ascii="Roboto" w:eastAsia="Roboto" w:hAnsi="Roboto" w:cs="Roboto"/>
          <w:b/>
          <w:bCs/>
          <w:color w:val="000000"/>
          <w:sz w:val="18"/>
          <w:szCs w:val="18"/>
        </w:rPr>
        <w:t>Figura 1.</w:t>
      </w:r>
      <w:r w:rsidRPr="00E80441">
        <w:rPr>
          <w:rFonts w:ascii="Roboto" w:eastAsia="Roboto" w:hAnsi="Roboto" w:cs="Roboto"/>
          <w:color w:val="000000"/>
          <w:sz w:val="18"/>
          <w:szCs w:val="18"/>
        </w:rPr>
        <w:t xml:space="preserve"> Transición sectorial del Bajío 1970-1990</w:t>
      </w:r>
    </w:p>
    <w:p w14:paraId="6625CD3A" w14:textId="3B14C8A5" w:rsidR="00BE4B81" w:rsidRDefault="00BE4B81" w:rsidP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noProof/>
        </w:rPr>
        <w:drawing>
          <wp:inline distT="0" distB="0" distL="0" distR="0" wp14:anchorId="276242D3" wp14:editId="08F26588">
            <wp:extent cx="3011170" cy="2263448"/>
            <wp:effectExtent l="0" t="0" r="17780" b="3810"/>
            <wp:docPr id="52555467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8F99F2FB-1EE0-2622-B66B-41EEFD16481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0C8F5192" w14:textId="3E67A8CC" w:rsidR="00BE4B81" w:rsidRDefault="00BE4B81" w:rsidP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/>
          <w:sz w:val="16"/>
          <w:szCs w:val="16"/>
        </w:rPr>
      </w:pPr>
      <w:r w:rsidRPr="00BE4B81">
        <w:rPr>
          <w:rFonts w:ascii="Roboto" w:hAnsi="Roboto"/>
          <w:sz w:val="16"/>
          <w:szCs w:val="16"/>
        </w:rPr>
        <w:t>Fuente: elaboración propia con base en INEGI</w:t>
      </w:r>
      <w:r>
        <w:rPr>
          <w:rFonts w:ascii="Roboto" w:hAnsi="Roboto"/>
          <w:sz w:val="16"/>
          <w:szCs w:val="16"/>
        </w:rPr>
        <w:t>.</w:t>
      </w:r>
    </w:p>
    <w:p w14:paraId="4ABCBD84" w14:textId="77777777" w:rsidR="00BE4B81" w:rsidRPr="00BE4B81" w:rsidRDefault="00BE4B81" w:rsidP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16"/>
          <w:szCs w:val="16"/>
        </w:rPr>
      </w:pPr>
    </w:p>
    <w:p w14:paraId="434EFD99" w14:textId="0B349B65" w:rsidR="00A80797" w:rsidRDefault="00A80797" w:rsidP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A80797">
        <w:rPr>
          <w:rFonts w:ascii="Roboto" w:eastAsia="Roboto" w:hAnsi="Roboto" w:cs="Roboto"/>
          <w:color w:val="000000"/>
          <w:sz w:val="20"/>
          <w:szCs w:val="20"/>
        </w:rPr>
        <w:t>En tercer lugar, esta transformación productiva se refleja en la dinámica migratoria interna reciente. Entre 2000 y 2020, Querétaro, Aguascalientes y Guanajuato registraron saldos netos migratorios internos positivos, destacando el caso de Querétaro, cuyo saldo en 2020 representó más del 5 % de su población total. Los principales flujos provienen de la Ciudad de México y del Estado de México, lo que evidencia una re</w:t>
      </w:r>
      <w:r w:rsidR="00E80441">
        <w:rPr>
          <w:rFonts w:ascii="Roboto" w:eastAsia="Roboto" w:hAnsi="Roboto" w:cs="Roboto"/>
          <w:color w:val="000000"/>
          <w:sz w:val="20"/>
          <w:szCs w:val="20"/>
        </w:rPr>
        <w:t xml:space="preserve">organización de la industria en el </w:t>
      </w:r>
      <w:r w:rsidR="00BE4B81">
        <w:rPr>
          <w:rFonts w:ascii="Roboto" w:eastAsia="Roboto" w:hAnsi="Roboto" w:cs="Roboto"/>
          <w:color w:val="000000"/>
          <w:sz w:val="20"/>
          <w:szCs w:val="20"/>
        </w:rPr>
        <w:t>centro del país</w:t>
      </w:r>
      <w:r w:rsidRPr="00A80797">
        <w:rPr>
          <w:rFonts w:ascii="Roboto" w:eastAsia="Roboto" w:hAnsi="Roboto" w:cs="Roboto"/>
          <w:color w:val="000000"/>
          <w:sz w:val="20"/>
          <w:szCs w:val="20"/>
        </w:rPr>
        <w:t>.</w:t>
      </w:r>
    </w:p>
    <w:p w14:paraId="59627FDC" w14:textId="77777777" w:rsidR="00BE4B81" w:rsidRDefault="00BE4B81" w:rsidP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tbl>
      <w:tblPr>
        <w:tblW w:w="5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5"/>
        <w:gridCol w:w="867"/>
        <w:gridCol w:w="778"/>
        <w:gridCol w:w="930"/>
        <w:gridCol w:w="1043"/>
      </w:tblGrid>
      <w:tr w:rsidR="0024313A" w:rsidRPr="0024313A" w14:paraId="1E99F2C3" w14:textId="77777777" w:rsidTr="00E80441">
        <w:trPr>
          <w:trHeight w:val="282"/>
        </w:trPr>
        <w:tc>
          <w:tcPr>
            <w:tcW w:w="44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94E1E" w14:textId="3392F876" w:rsidR="0024313A" w:rsidRPr="00E80441" w:rsidRDefault="0024313A" w:rsidP="0051431D">
            <w:pPr>
              <w:rPr>
                <w:rFonts w:ascii="Roboto" w:hAnsi="Roboto"/>
                <w:color w:val="000000"/>
                <w:sz w:val="18"/>
                <w:szCs w:val="18"/>
              </w:rPr>
            </w:pPr>
            <w:r w:rsidRPr="00E80441">
              <w:rPr>
                <w:rFonts w:ascii="Roboto" w:hAnsi="Roboto"/>
                <w:b/>
                <w:bCs/>
                <w:color w:val="000000"/>
                <w:sz w:val="18"/>
                <w:szCs w:val="18"/>
              </w:rPr>
              <w:t>Tabla 1:</w:t>
            </w:r>
            <w:r w:rsidRPr="00E80441">
              <w:rPr>
                <w:rFonts w:ascii="Roboto" w:hAnsi="Roboto"/>
                <w:color w:val="000000"/>
                <w:sz w:val="18"/>
                <w:szCs w:val="18"/>
              </w:rPr>
              <w:t xml:space="preserve"> Saldo neto migratorio en el Bajío 2000-</w:t>
            </w:r>
            <w:r w:rsidR="00E80441" w:rsidRPr="00E80441">
              <w:rPr>
                <w:rFonts w:ascii="Roboto" w:hAnsi="Roboto"/>
                <w:color w:val="000000"/>
                <w:sz w:val="18"/>
                <w:szCs w:val="18"/>
              </w:rPr>
              <w:t>2</w:t>
            </w:r>
            <w:r w:rsidRPr="00E80441">
              <w:rPr>
                <w:rFonts w:ascii="Roboto" w:hAnsi="Roboto"/>
                <w:color w:val="000000"/>
                <w:sz w:val="18"/>
                <w:szCs w:val="18"/>
              </w:rPr>
              <w:t>020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6C5AB" w14:textId="77777777" w:rsidR="0024313A" w:rsidRPr="0024313A" w:rsidRDefault="0024313A" w:rsidP="0051431D">
            <w:pPr>
              <w:rPr>
                <w:rFonts w:ascii="Aptos Narrow" w:hAnsi="Aptos Narrow"/>
                <w:b/>
                <w:bCs/>
                <w:i/>
                <w:iCs/>
                <w:color w:val="000000"/>
                <w:sz w:val="18"/>
                <w:szCs w:val="18"/>
              </w:rPr>
            </w:pPr>
          </w:p>
        </w:tc>
      </w:tr>
      <w:tr w:rsidR="0024313A" w:rsidRPr="0024313A" w14:paraId="3347CEAA" w14:textId="77777777" w:rsidTr="00E80441">
        <w:trPr>
          <w:trHeight w:val="1410"/>
        </w:trPr>
        <w:tc>
          <w:tcPr>
            <w:tcW w:w="18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302DAD1" w14:textId="77777777" w:rsidR="0024313A" w:rsidRPr="0024313A" w:rsidRDefault="0024313A" w:rsidP="0051431D">
            <w:pPr>
              <w:rPr>
                <w:rFonts w:ascii="Aptos Narrow" w:hAnsi="Aptos Narrow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b/>
                <w:bCs/>
                <w:i/>
                <w:iCs/>
                <w:color w:val="000000"/>
                <w:sz w:val="18"/>
                <w:szCs w:val="18"/>
              </w:rPr>
              <w:t>Estado</w:t>
            </w: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F914257" w14:textId="77777777" w:rsidR="0024313A" w:rsidRPr="0024313A" w:rsidRDefault="0024313A" w:rsidP="0051431D">
            <w:pPr>
              <w:jc w:val="right"/>
              <w:rPr>
                <w:rFonts w:ascii="Aptos Narrow" w:hAnsi="Aptos Narrow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b/>
                <w:bCs/>
                <w:i/>
                <w:iCs/>
                <w:color w:val="000000"/>
                <w:sz w:val="18"/>
                <w:szCs w:val="18"/>
              </w:rPr>
              <w:t>2000</w:t>
            </w:r>
          </w:p>
        </w:tc>
        <w:tc>
          <w:tcPr>
            <w:tcW w:w="77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2AAE936" w14:textId="77777777" w:rsidR="0024313A" w:rsidRPr="0024313A" w:rsidRDefault="0024313A" w:rsidP="0051431D">
            <w:pPr>
              <w:jc w:val="right"/>
              <w:rPr>
                <w:rFonts w:ascii="Aptos Narrow" w:hAnsi="Aptos Narrow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b/>
                <w:bCs/>
                <w:i/>
                <w:iCs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1C17BC8" w14:textId="77777777" w:rsidR="0024313A" w:rsidRPr="0024313A" w:rsidRDefault="0024313A" w:rsidP="0051431D">
            <w:pPr>
              <w:jc w:val="right"/>
              <w:rPr>
                <w:rFonts w:ascii="Aptos Narrow" w:hAnsi="Aptos Narrow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b/>
                <w:bCs/>
                <w:i/>
                <w:iCs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10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6B68637" w14:textId="77777777" w:rsidR="0024313A" w:rsidRPr="0024313A" w:rsidRDefault="0024313A" w:rsidP="0051431D">
            <w:pPr>
              <w:jc w:val="center"/>
              <w:rPr>
                <w:rFonts w:ascii="Aptos Narrow" w:hAnsi="Aptos Narrow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b/>
                <w:bCs/>
                <w:i/>
                <w:iCs/>
                <w:color w:val="000000"/>
                <w:sz w:val="18"/>
                <w:szCs w:val="18"/>
              </w:rPr>
              <w:t>Saldo 2020 como porcentaje de la población</w:t>
            </w:r>
          </w:p>
        </w:tc>
      </w:tr>
      <w:tr w:rsidR="0024313A" w:rsidRPr="0024313A" w14:paraId="583A8BFA" w14:textId="77777777" w:rsidTr="00E80441">
        <w:trPr>
          <w:trHeight w:val="282"/>
        </w:trPr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D00BB3" w14:textId="77777777" w:rsidR="0024313A" w:rsidRPr="0024313A" w:rsidRDefault="0024313A" w:rsidP="0051431D">
            <w:pPr>
              <w:rPr>
                <w:rFonts w:ascii="Aptos Narrow" w:hAnsi="Aptos Narrow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b/>
                <w:bCs/>
                <w:i/>
                <w:iCs/>
                <w:color w:val="000000"/>
                <w:sz w:val="18"/>
                <w:szCs w:val="18"/>
              </w:rPr>
              <w:t>Aguascalientes</w:t>
            </w: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5DB7DB" w14:textId="77777777" w:rsidR="0024313A" w:rsidRPr="0024313A" w:rsidRDefault="0024313A" w:rsidP="0051431D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color w:val="000000"/>
                <w:sz w:val="18"/>
                <w:szCs w:val="18"/>
              </w:rPr>
              <w:t>22687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6320A1" w14:textId="77777777" w:rsidR="0024313A" w:rsidRPr="0024313A" w:rsidRDefault="0024313A" w:rsidP="0051431D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color w:val="000000"/>
                <w:sz w:val="18"/>
                <w:szCs w:val="18"/>
              </w:rPr>
              <w:t>16649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E792AF" w14:textId="77777777" w:rsidR="0024313A" w:rsidRPr="0024313A" w:rsidRDefault="0024313A" w:rsidP="0051431D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color w:val="000000"/>
                <w:sz w:val="18"/>
                <w:szCs w:val="18"/>
              </w:rPr>
              <w:t>32757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F32761" w14:textId="77777777" w:rsidR="0024313A" w:rsidRPr="0024313A" w:rsidRDefault="0024313A" w:rsidP="0051431D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color w:val="000000"/>
                <w:sz w:val="18"/>
                <w:szCs w:val="18"/>
              </w:rPr>
              <w:t>2.30%</w:t>
            </w:r>
          </w:p>
        </w:tc>
      </w:tr>
      <w:tr w:rsidR="0024313A" w:rsidRPr="0024313A" w14:paraId="271D03BF" w14:textId="77777777" w:rsidTr="00E80441">
        <w:trPr>
          <w:trHeight w:val="282"/>
        </w:trPr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18EA8F" w14:textId="77777777" w:rsidR="0024313A" w:rsidRPr="0024313A" w:rsidRDefault="0024313A" w:rsidP="0051431D">
            <w:pPr>
              <w:rPr>
                <w:rFonts w:ascii="Aptos Narrow" w:hAnsi="Aptos Narrow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b/>
                <w:bCs/>
                <w:i/>
                <w:iCs/>
                <w:color w:val="000000"/>
                <w:sz w:val="18"/>
                <w:szCs w:val="18"/>
              </w:rPr>
              <w:t>Guanajuato</w:t>
            </w: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EB49A4" w14:textId="77777777" w:rsidR="0024313A" w:rsidRPr="0024313A" w:rsidRDefault="0024313A" w:rsidP="0051431D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color w:val="000000"/>
                <w:sz w:val="18"/>
                <w:szCs w:val="18"/>
              </w:rPr>
              <w:t>19244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74DC4F" w14:textId="77777777" w:rsidR="0024313A" w:rsidRPr="0024313A" w:rsidRDefault="0024313A" w:rsidP="0051431D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color w:val="000000"/>
                <w:sz w:val="18"/>
                <w:szCs w:val="18"/>
              </w:rPr>
              <w:t>16820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34CAB2" w14:textId="77777777" w:rsidR="0024313A" w:rsidRPr="0024313A" w:rsidRDefault="0024313A" w:rsidP="0051431D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color w:val="000000"/>
                <w:sz w:val="18"/>
                <w:szCs w:val="18"/>
              </w:rPr>
              <w:t>25411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50DC37" w14:textId="77777777" w:rsidR="0024313A" w:rsidRPr="0024313A" w:rsidRDefault="0024313A" w:rsidP="0051431D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color w:val="000000"/>
                <w:sz w:val="18"/>
                <w:szCs w:val="18"/>
              </w:rPr>
              <w:t>0.41%</w:t>
            </w:r>
          </w:p>
        </w:tc>
      </w:tr>
      <w:tr w:rsidR="0024313A" w:rsidRPr="0024313A" w14:paraId="580EB17D" w14:textId="77777777" w:rsidTr="00E80441">
        <w:trPr>
          <w:trHeight w:val="282"/>
        </w:trPr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258118" w14:textId="77777777" w:rsidR="0024313A" w:rsidRPr="0024313A" w:rsidRDefault="0024313A" w:rsidP="0051431D">
            <w:pPr>
              <w:rPr>
                <w:rFonts w:ascii="Aptos Narrow" w:hAnsi="Aptos Narrow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b/>
                <w:bCs/>
                <w:i/>
                <w:iCs/>
                <w:color w:val="000000"/>
                <w:sz w:val="18"/>
                <w:szCs w:val="18"/>
              </w:rPr>
              <w:t>Querétaro</w:t>
            </w: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D62CDD" w14:textId="77777777" w:rsidR="0024313A" w:rsidRPr="0024313A" w:rsidRDefault="0024313A" w:rsidP="0051431D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color w:val="000000"/>
                <w:sz w:val="18"/>
                <w:szCs w:val="18"/>
              </w:rPr>
              <w:t>46230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840E80" w14:textId="77777777" w:rsidR="0024313A" w:rsidRPr="0024313A" w:rsidRDefault="0024313A" w:rsidP="0051431D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color w:val="000000"/>
                <w:sz w:val="18"/>
                <w:szCs w:val="18"/>
              </w:rPr>
              <w:t>53442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2D13D9" w14:textId="77777777" w:rsidR="0024313A" w:rsidRPr="0024313A" w:rsidRDefault="0024313A" w:rsidP="0051431D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color w:val="000000"/>
                <w:sz w:val="18"/>
                <w:szCs w:val="18"/>
              </w:rPr>
              <w:t>135000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45F5363" w14:textId="77777777" w:rsidR="0024313A" w:rsidRPr="0024313A" w:rsidRDefault="0024313A" w:rsidP="0051431D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color w:val="000000"/>
                <w:sz w:val="18"/>
                <w:szCs w:val="18"/>
              </w:rPr>
              <w:t>5.70%</w:t>
            </w:r>
          </w:p>
        </w:tc>
      </w:tr>
      <w:tr w:rsidR="0024313A" w:rsidRPr="0024313A" w14:paraId="26787551" w14:textId="77777777" w:rsidTr="00E80441">
        <w:trPr>
          <w:trHeight w:val="282"/>
        </w:trPr>
        <w:tc>
          <w:tcPr>
            <w:tcW w:w="186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6BBEEE9" w14:textId="77777777" w:rsidR="0024313A" w:rsidRPr="0024313A" w:rsidRDefault="0024313A" w:rsidP="0051431D">
            <w:pPr>
              <w:rPr>
                <w:rFonts w:ascii="Aptos Narrow" w:hAnsi="Aptos Narrow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b/>
                <w:bCs/>
                <w:i/>
                <w:iCs/>
                <w:color w:val="000000"/>
                <w:sz w:val="18"/>
                <w:szCs w:val="18"/>
              </w:rPr>
              <w:t>San Luis Potosí</w:t>
            </w: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2C94D11" w14:textId="77777777" w:rsidR="0024313A" w:rsidRPr="0024313A" w:rsidRDefault="0024313A" w:rsidP="0051431D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color w:val="000000"/>
                <w:sz w:val="18"/>
                <w:szCs w:val="18"/>
              </w:rPr>
              <w:t>-22813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F9E58A5" w14:textId="77777777" w:rsidR="0024313A" w:rsidRPr="0024313A" w:rsidRDefault="0024313A" w:rsidP="0051431D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color w:val="000000"/>
                <w:sz w:val="18"/>
                <w:szCs w:val="18"/>
              </w:rPr>
              <w:t>-3250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8BB991F" w14:textId="77777777" w:rsidR="0024313A" w:rsidRPr="0024313A" w:rsidRDefault="0024313A" w:rsidP="0051431D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color w:val="000000"/>
                <w:sz w:val="18"/>
                <w:szCs w:val="18"/>
              </w:rPr>
              <w:t>-2440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FEDF262" w14:textId="77777777" w:rsidR="0024313A" w:rsidRPr="0024313A" w:rsidRDefault="0024313A" w:rsidP="0051431D">
            <w:pPr>
              <w:jc w:val="right"/>
              <w:rPr>
                <w:rFonts w:ascii="Aptos Narrow" w:hAnsi="Aptos Narrow"/>
                <w:color w:val="000000"/>
                <w:sz w:val="18"/>
                <w:szCs w:val="18"/>
              </w:rPr>
            </w:pPr>
            <w:r w:rsidRPr="0024313A">
              <w:rPr>
                <w:rFonts w:ascii="Aptos Narrow" w:hAnsi="Aptos Narrow"/>
                <w:color w:val="000000"/>
                <w:sz w:val="18"/>
                <w:szCs w:val="18"/>
              </w:rPr>
              <w:t>-0.09%</w:t>
            </w:r>
          </w:p>
        </w:tc>
      </w:tr>
    </w:tbl>
    <w:p w14:paraId="611ED610" w14:textId="519936D7" w:rsidR="0024313A" w:rsidRDefault="0024313A" w:rsidP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16"/>
          <w:szCs w:val="16"/>
        </w:rPr>
      </w:pPr>
      <w:r w:rsidRPr="0024313A">
        <w:rPr>
          <w:rFonts w:ascii="Roboto" w:eastAsia="Roboto" w:hAnsi="Roboto" w:cs="Roboto"/>
          <w:color w:val="000000"/>
          <w:sz w:val="16"/>
          <w:szCs w:val="16"/>
        </w:rPr>
        <w:t>Fuente: Elaboración propia con base en los censos de población y vivienda 2000, 2010 Y 2020</w:t>
      </w:r>
      <w:r>
        <w:rPr>
          <w:rFonts w:ascii="Roboto" w:eastAsia="Roboto" w:hAnsi="Roboto" w:cs="Roboto"/>
          <w:color w:val="000000"/>
          <w:sz w:val="16"/>
          <w:szCs w:val="16"/>
        </w:rPr>
        <w:t xml:space="preserve"> INEGI</w:t>
      </w:r>
      <w:r w:rsidRPr="0024313A">
        <w:rPr>
          <w:rFonts w:ascii="Roboto" w:eastAsia="Roboto" w:hAnsi="Roboto" w:cs="Roboto"/>
          <w:color w:val="000000"/>
          <w:sz w:val="16"/>
          <w:szCs w:val="16"/>
        </w:rPr>
        <w:t>.</w:t>
      </w:r>
    </w:p>
    <w:p w14:paraId="424020A7" w14:textId="77777777" w:rsidR="0024313A" w:rsidRPr="00A80797" w:rsidRDefault="0024313A" w:rsidP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16"/>
          <w:szCs w:val="16"/>
        </w:rPr>
      </w:pPr>
    </w:p>
    <w:p w14:paraId="4863A2DC" w14:textId="0B0704E5" w:rsidR="00A80797" w:rsidRPr="00A80797" w:rsidRDefault="00A80797" w:rsidP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A80797">
        <w:rPr>
          <w:rFonts w:ascii="Roboto" w:eastAsia="Roboto" w:hAnsi="Roboto" w:cs="Roboto"/>
          <w:color w:val="000000"/>
          <w:sz w:val="20"/>
          <w:szCs w:val="20"/>
        </w:rPr>
        <w:lastRenderedPageBreak/>
        <w:t xml:space="preserve">Paralelamente, se observa un cambio en la composición de la población extranjera residente en la región. Aunque la población nacida en Estados Unidos continúa siendo el grupo mayoritario, su perfil es heterogéneo e incluye tanto población asociada a movilidad laboral como hijos de </w:t>
      </w:r>
      <w:proofErr w:type="spellStart"/>
      <w:r w:rsidRPr="00A80797">
        <w:rPr>
          <w:rFonts w:ascii="Roboto" w:eastAsia="Roboto" w:hAnsi="Roboto" w:cs="Roboto"/>
          <w:color w:val="000000"/>
          <w:sz w:val="20"/>
          <w:szCs w:val="20"/>
        </w:rPr>
        <w:t>migrantes</w:t>
      </w:r>
      <w:proofErr w:type="spellEnd"/>
      <w:r w:rsidRPr="00A80797">
        <w:rPr>
          <w:rFonts w:ascii="Roboto" w:eastAsia="Roboto" w:hAnsi="Roboto" w:cs="Roboto"/>
          <w:color w:val="000000"/>
          <w:sz w:val="20"/>
          <w:szCs w:val="20"/>
        </w:rPr>
        <w:t xml:space="preserve"> retornados. En contraste, el crecimiento acelerado de población nacida en Japón entre 2010 y 2020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, </w:t>
      </w:r>
      <w:r w:rsidRPr="00A80797">
        <w:rPr>
          <w:rFonts w:ascii="Roboto" w:eastAsia="Roboto" w:hAnsi="Roboto" w:cs="Roboto"/>
          <w:color w:val="000000"/>
          <w:sz w:val="20"/>
          <w:szCs w:val="20"/>
        </w:rPr>
        <w:t xml:space="preserve">particularmente en Guanajuato y </w:t>
      </w:r>
      <w:r w:rsidR="00BE4B81" w:rsidRPr="00A80797">
        <w:rPr>
          <w:rFonts w:ascii="Roboto" w:eastAsia="Roboto" w:hAnsi="Roboto" w:cs="Roboto"/>
          <w:color w:val="000000"/>
          <w:sz w:val="20"/>
          <w:szCs w:val="20"/>
        </w:rPr>
        <w:t>Aguascalientes</w:t>
      </w:r>
      <w:r w:rsidR="00BE4B81">
        <w:rPr>
          <w:rFonts w:ascii="Roboto" w:eastAsia="Roboto" w:hAnsi="Roboto" w:cs="Roboto"/>
          <w:color w:val="000000"/>
          <w:sz w:val="20"/>
          <w:szCs w:val="20"/>
        </w:rPr>
        <w:t xml:space="preserve">, </w:t>
      </w:r>
      <w:r w:rsidR="00BE4B81" w:rsidRPr="00A80797">
        <w:rPr>
          <w:rFonts w:ascii="Roboto" w:eastAsia="Roboto" w:hAnsi="Roboto" w:cs="Roboto"/>
          <w:color w:val="000000"/>
          <w:sz w:val="20"/>
          <w:szCs w:val="20"/>
        </w:rPr>
        <w:t>se</w:t>
      </w:r>
      <w:r w:rsidRPr="00A80797">
        <w:rPr>
          <w:rFonts w:ascii="Roboto" w:eastAsia="Roboto" w:hAnsi="Roboto" w:cs="Roboto"/>
          <w:color w:val="000000"/>
          <w:sz w:val="20"/>
          <w:szCs w:val="20"/>
        </w:rPr>
        <w:t xml:space="preserve"> vincula de manera más directa con la consolidación de inversiones automotrices de</w:t>
      </w:r>
      <w:r w:rsidR="00254A1B">
        <w:rPr>
          <w:rFonts w:ascii="Roboto" w:eastAsia="Roboto" w:hAnsi="Roboto" w:cs="Roboto"/>
          <w:color w:val="000000"/>
          <w:sz w:val="20"/>
          <w:szCs w:val="20"/>
        </w:rPr>
        <w:t>l mismo origen</w:t>
      </w:r>
      <w:r w:rsidRPr="00A80797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</w:p>
    <w:p w14:paraId="316BA851" w14:textId="77777777" w:rsidR="00A80797" w:rsidRPr="00A80797" w:rsidRDefault="00A80797" w:rsidP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A80797">
        <w:rPr>
          <w:rFonts w:ascii="Roboto" w:eastAsia="Roboto" w:hAnsi="Roboto" w:cs="Roboto"/>
          <w:color w:val="000000"/>
          <w:sz w:val="20"/>
          <w:szCs w:val="20"/>
        </w:rPr>
        <w:t>En conjunto, los resultados muestran que el Bajío ha incrementado su capacidad de atracción interna e internacional sin eliminar completamente las dinámicas históricas de expulsión.</w:t>
      </w:r>
    </w:p>
    <w:p w14:paraId="5916DF8B" w14:textId="77777777" w:rsidR="00A80797" w:rsidRDefault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057CD36C" w14:textId="7F197440" w:rsidR="00A80797" w:rsidRPr="00A80797" w:rsidRDefault="00A80797" w:rsidP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 w:rsidRPr="00A80797">
        <w:rPr>
          <w:rFonts w:ascii="Roboto" w:eastAsia="Roboto" w:hAnsi="Roboto" w:cs="Roboto"/>
          <w:b/>
          <w:bCs/>
          <w:color w:val="000000"/>
          <w:sz w:val="20"/>
          <w:szCs w:val="20"/>
        </w:rPr>
        <w:t>CONCLUSIONES</w:t>
      </w:r>
    </w:p>
    <w:p w14:paraId="71532C8B" w14:textId="06079687" w:rsidR="00A80797" w:rsidRPr="00A80797" w:rsidRDefault="00A80797" w:rsidP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A80797">
        <w:rPr>
          <w:rFonts w:ascii="Roboto" w:eastAsia="Roboto" w:hAnsi="Roboto" w:cs="Roboto"/>
          <w:color w:val="000000"/>
          <w:sz w:val="20"/>
          <w:szCs w:val="20"/>
        </w:rPr>
        <w:t>Este trabajo muestra que la transformación productiva del Bajío ha re</w:t>
      </w:r>
      <w:r w:rsidR="00E80441">
        <w:rPr>
          <w:rFonts w:ascii="Roboto" w:eastAsia="Roboto" w:hAnsi="Roboto" w:cs="Roboto"/>
          <w:color w:val="000000"/>
          <w:sz w:val="20"/>
          <w:szCs w:val="20"/>
        </w:rPr>
        <w:t>organizado</w:t>
      </w:r>
      <w:r w:rsidRPr="00A80797">
        <w:rPr>
          <w:rFonts w:ascii="Roboto" w:eastAsia="Roboto" w:hAnsi="Roboto" w:cs="Roboto"/>
          <w:color w:val="000000"/>
          <w:sz w:val="20"/>
          <w:szCs w:val="20"/>
        </w:rPr>
        <w:t xml:space="preserve"> su papel dentro del sistema migratorio nacional e internacional</w:t>
      </w:r>
      <w:r w:rsidR="00E80441">
        <w:rPr>
          <w:rFonts w:ascii="Roboto" w:eastAsia="Roboto" w:hAnsi="Roboto" w:cs="Roboto"/>
          <w:color w:val="000000"/>
          <w:sz w:val="20"/>
          <w:szCs w:val="20"/>
        </w:rPr>
        <w:t>, fortaleciendo</w:t>
      </w:r>
      <w:r w:rsidRPr="00A80797">
        <w:rPr>
          <w:rFonts w:ascii="Roboto" w:eastAsia="Roboto" w:hAnsi="Roboto" w:cs="Roboto"/>
          <w:color w:val="000000"/>
          <w:sz w:val="20"/>
          <w:szCs w:val="20"/>
        </w:rPr>
        <w:t xml:space="preserve"> su capacidad de atracción interna </w:t>
      </w:r>
      <w:r w:rsidR="00E80441">
        <w:rPr>
          <w:rFonts w:ascii="Roboto" w:eastAsia="Roboto" w:hAnsi="Roboto" w:cs="Roboto"/>
          <w:color w:val="000000"/>
          <w:sz w:val="20"/>
          <w:szCs w:val="20"/>
        </w:rPr>
        <w:t>e incorporando</w:t>
      </w:r>
      <w:r w:rsidRPr="00A80797">
        <w:rPr>
          <w:rFonts w:ascii="Roboto" w:eastAsia="Roboto" w:hAnsi="Roboto" w:cs="Roboto"/>
          <w:color w:val="000000"/>
          <w:sz w:val="20"/>
          <w:szCs w:val="20"/>
        </w:rPr>
        <w:t xml:space="preserve"> flujos asociados a la internacionalización productiva, particularmente en sectores estratégicos como el automotriz.</w:t>
      </w:r>
    </w:p>
    <w:p w14:paraId="1EE0B6C7" w14:textId="68630B4D" w:rsidR="00A80797" w:rsidRPr="00A80797" w:rsidRDefault="00A80797" w:rsidP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A80797">
        <w:rPr>
          <w:rFonts w:ascii="Roboto" w:eastAsia="Roboto" w:hAnsi="Roboto" w:cs="Roboto"/>
          <w:color w:val="000000"/>
          <w:sz w:val="20"/>
          <w:szCs w:val="20"/>
        </w:rPr>
        <w:t>Sin embargo, la persistencia de altos niveles de emigración internacional en varias entidades confirma que las redes históricas y las estructuras sociales transnacionales continúan operando como mecanismos relevantes de movilidad. En consecuencia, el Bajío debe entenderse como una región migratoria compleja, caracterizada por la coexistencia  de flujos de expulsión y atracción.</w:t>
      </w:r>
    </w:p>
    <w:p w14:paraId="2DD0A186" w14:textId="77777777" w:rsidR="00A80797" w:rsidRPr="00A80797" w:rsidRDefault="00A80797" w:rsidP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A80797">
        <w:rPr>
          <w:rFonts w:ascii="Roboto" w:eastAsia="Roboto" w:hAnsi="Roboto" w:cs="Roboto"/>
          <w:color w:val="000000"/>
          <w:sz w:val="20"/>
          <w:szCs w:val="20"/>
        </w:rPr>
        <w:t xml:space="preserve">Esta reinterpretación contribuye a superar visiones dicotómicas que clasifican a las regiones exclusivamente como expulsoras o receptoras, y abre líneas de investigación futuras orientadas a profundizar en la diferenciación </w:t>
      </w:r>
      <w:proofErr w:type="spellStart"/>
      <w:r w:rsidRPr="00A80797">
        <w:rPr>
          <w:rFonts w:ascii="Roboto" w:eastAsia="Roboto" w:hAnsi="Roboto" w:cs="Roboto"/>
          <w:color w:val="000000"/>
          <w:sz w:val="20"/>
          <w:szCs w:val="20"/>
        </w:rPr>
        <w:t>intra-regional</w:t>
      </w:r>
      <w:proofErr w:type="spellEnd"/>
      <w:r w:rsidRPr="00A80797">
        <w:rPr>
          <w:rFonts w:ascii="Roboto" w:eastAsia="Roboto" w:hAnsi="Roboto" w:cs="Roboto"/>
          <w:color w:val="000000"/>
          <w:sz w:val="20"/>
          <w:szCs w:val="20"/>
        </w:rPr>
        <w:t xml:space="preserve"> y en la composición sociodemográfica de los nuevos flujos internacionales.</w:t>
      </w:r>
    </w:p>
    <w:p w14:paraId="021BC923" w14:textId="77777777" w:rsidR="00A80797" w:rsidRDefault="00A807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6BDFF2C2" w14:textId="77777777" w:rsidR="009B517D" w:rsidRDefault="009B517D">
      <w:pPr>
        <w:jc w:val="both"/>
        <w:rPr>
          <w:rFonts w:ascii="Roboto" w:eastAsia="Roboto" w:hAnsi="Roboto" w:cs="Roboto"/>
          <w:sz w:val="20"/>
          <w:szCs w:val="20"/>
        </w:rPr>
      </w:pPr>
    </w:p>
    <w:p w14:paraId="0970EB00" w14:textId="31532A09" w:rsidR="009B517D" w:rsidRPr="00161E61" w:rsidRDefault="00000000">
      <w:pPr>
        <w:jc w:val="both"/>
        <w:rPr>
          <w:rFonts w:ascii="Roboto" w:eastAsia="Roboto" w:hAnsi="Roboto" w:cs="Roboto"/>
          <w:b/>
          <w:sz w:val="20"/>
          <w:szCs w:val="20"/>
          <w:lang w:val="en-US"/>
        </w:rPr>
      </w:pPr>
      <w:r w:rsidRPr="00161E61">
        <w:rPr>
          <w:rFonts w:ascii="Roboto" w:eastAsia="Roboto" w:hAnsi="Roboto" w:cs="Roboto"/>
          <w:b/>
          <w:sz w:val="20"/>
          <w:szCs w:val="20"/>
          <w:lang w:val="en-US"/>
        </w:rPr>
        <w:t xml:space="preserve">REFERENCIAS </w:t>
      </w:r>
    </w:p>
    <w:p w14:paraId="7233A321" w14:textId="77777777" w:rsidR="005043D4" w:rsidRPr="00161E61" w:rsidRDefault="005043D4">
      <w:pPr>
        <w:jc w:val="both"/>
        <w:rPr>
          <w:rFonts w:ascii="Roboto" w:eastAsia="Roboto" w:hAnsi="Roboto" w:cs="Roboto"/>
          <w:sz w:val="20"/>
          <w:szCs w:val="20"/>
          <w:lang w:val="en-US"/>
        </w:rPr>
      </w:pPr>
    </w:p>
    <w:p w14:paraId="4B26F9CE" w14:textId="2ADE3152" w:rsidR="005043D4" w:rsidRPr="005043D4" w:rsidRDefault="005043D4" w:rsidP="005043D4">
      <w:pPr>
        <w:rPr>
          <w:rFonts w:ascii="Roboto" w:hAnsi="Roboto"/>
          <w:sz w:val="20"/>
          <w:szCs w:val="20"/>
          <w:lang w:val="en-US"/>
        </w:rPr>
      </w:pPr>
      <w:r w:rsidRPr="005043D4">
        <w:rPr>
          <w:rFonts w:ascii="Roboto" w:hAnsi="Roboto"/>
          <w:sz w:val="20"/>
          <w:szCs w:val="20"/>
          <w:lang w:val="en-US"/>
        </w:rPr>
        <w:t xml:space="preserve">Arango, J. (2000). Explaining migration: A critical view. International Social Science Journal, 52(165), 283–296. </w:t>
      </w:r>
      <w:r w:rsidRPr="005043D4">
        <w:rPr>
          <w:rFonts w:ascii="Roboto" w:hAnsi="Roboto"/>
          <w:color w:val="4472C4" w:themeColor="accent1"/>
          <w:sz w:val="20"/>
          <w:szCs w:val="20"/>
          <w:u w:val="single"/>
          <w:lang w:val="en-US"/>
        </w:rPr>
        <w:t>https://doi.org/10.1111/1468-2451.00259</w:t>
      </w:r>
    </w:p>
    <w:p w14:paraId="42061D5A" w14:textId="6253FD3D" w:rsidR="005043D4" w:rsidRPr="005043D4" w:rsidRDefault="005043D4" w:rsidP="005043D4">
      <w:pPr>
        <w:rPr>
          <w:rFonts w:ascii="Roboto" w:hAnsi="Roboto"/>
          <w:sz w:val="20"/>
          <w:szCs w:val="20"/>
        </w:rPr>
      </w:pPr>
      <w:r w:rsidRPr="005043D4">
        <w:rPr>
          <w:rFonts w:ascii="Roboto" w:hAnsi="Roboto"/>
          <w:sz w:val="20"/>
          <w:szCs w:val="20"/>
        </w:rPr>
        <w:t xml:space="preserve">Campos Vázquez, R. M., &amp; Campos Ortiz, G. A. (2023). </w:t>
      </w:r>
      <w:r w:rsidRPr="005043D4">
        <w:rPr>
          <w:rFonts w:ascii="Roboto" w:hAnsi="Roboto"/>
          <w:i/>
          <w:iCs/>
          <w:sz w:val="20"/>
          <w:szCs w:val="20"/>
        </w:rPr>
        <w:t>Impacto de la industria automotriz en el desarrollo del Bajío en México</w:t>
      </w:r>
      <w:r w:rsidRPr="005043D4">
        <w:rPr>
          <w:rFonts w:ascii="Roboto" w:hAnsi="Roboto"/>
          <w:sz w:val="20"/>
          <w:szCs w:val="20"/>
        </w:rPr>
        <w:t xml:space="preserve">. Problemas del Desarrollo. Revista Latinoamericana de Economía, 54(213), 31–71. </w:t>
      </w:r>
      <w:hyperlink r:id="rId9" w:history="1">
        <w:r w:rsidRPr="005043D4">
          <w:rPr>
            <w:rStyle w:val="Hipervnculo"/>
            <w:rFonts w:ascii="Roboto" w:hAnsi="Roboto"/>
            <w:sz w:val="20"/>
            <w:szCs w:val="20"/>
          </w:rPr>
          <w:t>https://doi.org/10.22201/iiec.20078951e.2023.213.69963</w:t>
        </w:r>
      </w:hyperlink>
    </w:p>
    <w:p w14:paraId="050815B8" w14:textId="77777777" w:rsidR="005043D4" w:rsidRPr="00161E61" w:rsidRDefault="005043D4" w:rsidP="005043D4">
      <w:pPr>
        <w:rPr>
          <w:rFonts w:ascii="Roboto" w:hAnsi="Roboto"/>
          <w:sz w:val="20"/>
          <w:szCs w:val="20"/>
        </w:rPr>
      </w:pPr>
      <w:proofErr w:type="gramStart"/>
      <w:r w:rsidRPr="005043D4">
        <w:rPr>
          <w:rFonts w:ascii="Roboto" w:hAnsi="Roboto"/>
          <w:sz w:val="20"/>
          <w:szCs w:val="20"/>
        </w:rPr>
        <w:t>Castles,  S.</w:t>
      </w:r>
      <w:proofErr w:type="gramEnd"/>
      <w:r w:rsidRPr="005043D4">
        <w:rPr>
          <w:rFonts w:ascii="Roboto" w:hAnsi="Roboto"/>
          <w:sz w:val="20"/>
          <w:szCs w:val="20"/>
        </w:rPr>
        <w:t xml:space="preserve">,  De  </w:t>
      </w:r>
      <w:proofErr w:type="gramStart"/>
      <w:r w:rsidRPr="005043D4">
        <w:rPr>
          <w:rFonts w:ascii="Roboto" w:hAnsi="Roboto"/>
          <w:sz w:val="20"/>
          <w:szCs w:val="20"/>
        </w:rPr>
        <w:t>Haas,  H.</w:t>
      </w:r>
      <w:proofErr w:type="gramEnd"/>
      <w:r w:rsidRPr="005043D4">
        <w:rPr>
          <w:rFonts w:ascii="Roboto" w:hAnsi="Roboto"/>
          <w:sz w:val="20"/>
          <w:szCs w:val="20"/>
        </w:rPr>
        <w:t xml:space="preserve">,  &amp;  </w:t>
      </w:r>
      <w:proofErr w:type="gramStart"/>
      <w:r w:rsidRPr="005043D4">
        <w:rPr>
          <w:rFonts w:ascii="Roboto" w:hAnsi="Roboto"/>
          <w:sz w:val="20"/>
          <w:szCs w:val="20"/>
        </w:rPr>
        <w:t>Miller,  M.</w:t>
      </w:r>
      <w:proofErr w:type="gramEnd"/>
      <w:r w:rsidRPr="005043D4">
        <w:rPr>
          <w:rFonts w:ascii="Roboto" w:hAnsi="Roboto"/>
          <w:sz w:val="20"/>
          <w:szCs w:val="20"/>
        </w:rPr>
        <w:t xml:space="preserve">  </w:t>
      </w:r>
      <w:r w:rsidRPr="005043D4">
        <w:rPr>
          <w:rFonts w:ascii="Roboto" w:hAnsi="Roboto"/>
          <w:sz w:val="20"/>
          <w:szCs w:val="20"/>
          <w:lang w:val="en-US"/>
        </w:rPr>
        <w:t xml:space="preserve">J.  (2019). The  age  of  migration:  International  population movements in the modern world. </w:t>
      </w:r>
      <w:proofErr w:type="spellStart"/>
      <w:r w:rsidRPr="00161E61">
        <w:rPr>
          <w:rFonts w:ascii="Roboto" w:hAnsi="Roboto"/>
          <w:sz w:val="20"/>
          <w:szCs w:val="20"/>
        </w:rPr>
        <w:t>Bloomsbury</w:t>
      </w:r>
      <w:proofErr w:type="spellEnd"/>
      <w:r w:rsidRPr="00161E61">
        <w:rPr>
          <w:rFonts w:ascii="Roboto" w:hAnsi="Roboto"/>
          <w:sz w:val="20"/>
          <w:szCs w:val="20"/>
        </w:rPr>
        <w:t xml:space="preserve"> Publishing</w:t>
      </w:r>
    </w:p>
    <w:p w14:paraId="5FFC4A69" w14:textId="55E5F167" w:rsidR="005043D4" w:rsidRPr="005043D4" w:rsidRDefault="005043D4" w:rsidP="005043D4">
      <w:pPr>
        <w:widowControl w:val="0"/>
        <w:tabs>
          <w:tab w:val="left" w:pos="3444"/>
        </w:tabs>
        <w:rPr>
          <w:rFonts w:ascii="Roboto" w:hAnsi="Roboto"/>
          <w:sz w:val="20"/>
          <w:szCs w:val="20"/>
        </w:rPr>
      </w:pPr>
      <w:r w:rsidRPr="005043D4">
        <w:rPr>
          <w:rFonts w:ascii="Roboto" w:eastAsia="Arvo" w:hAnsi="Roboto" w:cs="Arvo"/>
          <w:color w:val="434343"/>
          <w:sz w:val="20"/>
          <w:szCs w:val="20"/>
        </w:rPr>
        <w:t xml:space="preserve">Instituto Nacional de Estadística y Geografía (INEGI). (2004). </w:t>
      </w:r>
      <w:r w:rsidRPr="005043D4">
        <w:rPr>
          <w:rFonts w:ascii="Roboto" w:eastAsia="Arvo" w:hAnsi="Roboto" w:cs="Arvo"/>
          <w:i/>
          <w:iCs/>
          <w:color w:val="434343"/>
          <w:sz w:val="20"/>
          <w:szCs w:val="20"/>
        </w:rPr>
        <w:t>Anuario estadístico y geográfico por entidad federativa 2004</w:t>
      </w:r>
      <w:r w:rsidRPr="005043D4">
        <w:rPr>
          <w:rFonts w:ascii="Roboto" w:eastAsia="Arvo" w:hAnsi="Roboto" w:cs="Arvo"/>
          <w:color w:val="434343"/>
          <w:sz w:val="20"/>
          <w:szCs w:val="20"/>
        </w:rPr>
        <w:t xml:space="preserve">. </w:t>
      </w:r>
      <w:hyperlink r:id="rId10" w:tgtFrame="_new" w:history="1">
        <w:r w:rsidRPr="005043D4">
          <w:rPr>
            <w:rStyle w:val="Hipervnculo"/>
            <w:rFonts w:ascii="Roboto" w:eastAsia="Arvo" w:hAnsi="Roboto" w:cs="Arvo"/>
            <w:sz w:val="20"/>
            <w:szCs w:val="20"/>
          </w:rPr>
          <w:t>https://www.inegi.org.mx/contenidos/productos/prod_serv/contenidos/espanol/bvinegi/productos/historicos</w:t>
        </w:r>
        <w:r w:rsidRPr="005043D4">
          <w:rPr>
            <w:rStyle w:val="Hipervnculo"/>
            <w:rFonts w:ascii="Roboto" w:eastAsia="Arvo" w:hAnsi="Roboto" w:cs="Arvo"/>
            <w:sz w:val="20"/>
            <w:szCs w:val="20"/>
          </w:rPr>
          <w:t>/1334/702825158651/702825158651_14.pdf</w:t>
        </w:r>
      </w:hyperlink>
    </w:p>
    <w:p w14:paraId="6CBF8E29" w14:textId="77777777" w:rsidR="005043D4" w:rsidRPr="005043D4" w:rsidRDefault="005043D4" w:rsidP="005043D4">
      <w:pPr>
        <w:widowControl w:val="0"/>
        <w:tabs>
          <w:tab w:val="left" w:pos="3444"/>
        </w:tabs>
        <w:rPr>
          <w:rFonts w:ascii="Roboto" w:hAnsi="Roboto"/>
          <w:sz w:val="20"/>
          <w:szCs w:val="20"/>
        </w:rPr>
      </w:pPr>
      <w:r w:rsidRPr="005043D4">
        <w:rPr>
          <w:rFonts w:ascii="Roboto" w:hAnsi="Roboto"/>
          <w:sz w:val="20"/>
          <w:szCs w:val="20"/>
        </w:rPr>
        <w:t xml:space="preserve">Instituto Nacional de Estadística y Geografía (INEGI). (2015). </w:t>
      </w:r>
      <w:r w:rsidRPr="005043D4">
        <w:rPr>
          <w:rFonts w:ascii="Roboto" w:hAnsi="Roboto"/>
          <w:i/>
          <w:iCs/>
          <w:sz w:val="20"/>
          <w:szCs w:val="20"/>
        </w:rPr>
        <w:t>Los extranjeros en México</w:t>
      </w:r>
      <w:r w:rsidRPr="005043D4">
        <w:rPr>
          <w:rFonts w:ascii="Roboto" w:hAnsi="Roboto"/>
          <w:sz w:val="20"/>
          <w:szCs w:val="20"/>
        </w:rPr>
        <w:t xml:space="preserve">. </w:t>
      </w:r>
      <w:hyperlink r:id="rId11" w:tgtFrame="_new" w:history="1">
        <w:r w:rsidRPr="005043D4">
          <w:rPr>
            <w:rStyle w:val="Hipervnculo"/>
            <w:rFonts w:ascii="Roboto" w:hAnsi="Roboto"/>
            <w:sz w:val="20"/>
            <w:szCs w:val="20"/>
          </w:rPr>
          <w:t>https://www.inegi.org.mx/contenidos/productos/prod_serv/contenidos/espanol/bvinegi/productos/estudios/sociodemografico/ext_en_mex/extraen_mex.pdf</w:t>
        </w:r>
      </w:hyperlink>
    </w:p>
    <w:p w14:paraId="062D3D86" w14:textId="2916F2BA" w:rsidR="005043D4" w:rsidRPr="005043D4" w:rsidRDefault="005043D4" w:rsidP="005043D4">
      <w:pPr>
        <w:widowControl w:val="0"/>
        <w:tabs>
          <w:tab w:val="left" w:pos="3444"/>
        </w:tabs>
        <w:rPr>
          <w:rFonts w:ascii="Roboto" w:eastAsia="Arvo" w:hAnsi="Roboto" w:cs="Arvo"/>
          <w:color w:val="434343"/>
          <w:sz w:val="20"/>
          <w:szCs w:val="20"/>
        </w:rPr>
      </w:pPr>
      <w:r w:rsidRPr="005043D4">
        <w:rPr>
          <w:rFonts w:ascii="Roboto" w:eastAsia="Arvo" w:hAnsi="Roboto" w:cs="Arvo"/>
          <w:color w:val="434343"/>
          <w:sz w:val="20"/>
          <w:szCs w:val="20"/>
        </w:rPr>
        <w:t xml:space="preserve">Instituto Nacional de Estadística y Geografía (INEGI). (2020). </w:t>
      </w:r>
      <w:r w:rsidRPr="005043D4">
        <w:rPr>
          <w:rFonts w:ascii="Roboto" w:eastAsia="Arvo" w:hAnsi="Roboto" w:cs="Arvo"/>
          <w:i/>
          <w:iCs/>
          <w:color w:val="434343"/>
          <w:sz w:val="20"/>
          <w:szCs w:val="20"/>
        </w:rPr>
        <w:t>La migración en México: Indicadores estadísticos (Serie histórica 2104)</w:t>
      </w:r>
      <w:r w:rsidRPr="005043D4">
        <w:rPr>
          <w:rFonts w:ascii="Roboto" w:eastAsia="Arvo" w:hAnsi="Roboto" w:cs="Arvo"/>
          <w:color w:val="434343"/>
          <w:sz w:val="20"/>
          <w:szCs w:val="20"/>
        </w:rPr>
        <w:t xml:space="preserve">. </w:t>
      </w:r>
      <w:hyperlink r:id="rId12" w:tgtFrame="_new" w:history="1">
        <w:r w:rsidRPr="005043D4">
          <w:rPr>
            <w:rStyle w:val="Hipervnculo"/>
            <w:rFonts w:ascii="Roboto" w:eastAsia="Arvo" w:hAnsi="Roboto" w:cs="Arvo"/>
            <w:sz w:val="20"/>
            <w:szCs w:val="20"/>
          </w:rPr>
          <w:t>https://www.inegi.org.mx/contenido/productos/prod_serv/contenidos/espanol/bvinegi/productos/historicos/2104/702825491512/702825491512_2.pdf</w:t>
        </w:r>
      </w:hyperlink>
    </w:p>
    <w:p w14:paraId="39F19C5B" w14:textId="706A9E89" w:rsidR="005043D4" w:rsidRPr="005043D4" w:rsidRDefault="005043D4" w:rsidP="005043D4">
      <w:pPr>
        <w:rPr>
          <w:rFonts w:ascii="Roboto" w:hAnsi="Roboto"/>
          <w:sz w:val="20"/>
          <w:szCs w:val="20"/>
        </w:rPr>
      </w:pPr>
      <w:r w:rsidRPr="005043D4">
        <w:rPr>
          <w:rFonts w:ascii="Roboto" w:hAnsi="Roboto"/>
          <w:sz w:val="20"/>
          <w:szCs w:val="20"/>
          <w:lang w:val="en-US"/>
        </w:rPr>
        <w:t xml:space="preserve">Lee, E. S. (1966). </w:t>
      </w:r>
      <w:r w:rsidRPr="005043D4">
        <w:rPr>
          <w:rFonts w:ascii="Roboto" w:hAnsi="Roboto"/>
          <w:i/>
          <w:iCs/>
          <w:sz w:val="20"/>
          <w:szCs w:val="20"/>
          <w:lang w:val="en-US"/>
        </w:rPr>
        <w:t>A theory of migration</w:t>
      </w:r>
      <w:r w:rsidRPr="005043D4">
        <w:rPr>
          <w:rFonts w:ascii="Roboto" w:hAnsi="Roboto"/>
          <w:sz w:val="20"/>
          <w:szCs w:val="20"/>
          <w:lang w:val="en-US"/>
        </w:rPr>
        <w:t xml:space="preserve">. </w:t>
      </w:r>
      <w:proofErr w:type="spellStart"/>
      <w:r w:rsidRPr="00161E61">
        <w:rPr>
          <w:rFonts w:ascii="Roboto" w:hAnsi="Roboto"/>
          <w:sz w:val="20"/>
          <w:szCs w:val="20"/>
        </w:rPr>
        <w:t>Demography</w:t>
      </w:r>
      <w:proofErr w:type="spellEnd"/>
      <w:r w:rsidRPr="00161E61">
        <w:rPr>
          <w:rFonts w:ascii="Roboto" w:hAnsi="Roboto"/>
          <w:sz w:val="20"/>
          <w:szCs w:val="20"/>
        </w:rPr>
        <w:t xml:space="preserve">, 3(1), 47–57. </w:t>
      </w:r>
      <w:hyperlink r:id="rId13" w:history="1">
        <w:r w:rsidRPr="005043D4">
          <w:rPr>
            <w:rStyle w:val="Hipervnculo"/>
            <w:rFonts w:ascii="Roboto" w:hAnsi="Roboto"/>
            <w:sz w:val="20"/>
            <w:szCs w:val="20"/>
          </w:rPr>
          <w:t>https://doi.org/10.2307/2060063</w:t>
        </w:r>
      </w:hyperlink>
    </w:p>
    <w:p w14:paraId="14440BD3" w14:textId="77777777" w:rsidR="005043D4" w:rsidRPr="005043D4" w:rsidRDefault="005043D4" w:rsidP="005043D4">
      <w:pPr>
        <w:rPr>
          <w:rFonts w:ascii="Roboto" w:hAnsi="Roboto"/>
          <w:sz w:val="20"/>
          <w:szCs w:val="20"/>
        </w:rPr>
      </w:pPr>
      <w:r w:rsidRPr="005043D4">
        <w:rPr>
          <w:rFonts w:ascii="Roboto" w:hAnsi="Roboto"/>
          <w:sz w:val="20"/>
          <w:szCs w:val="20"/>
        </w:rPr>
        <w:t>Pérez Hernández, María del Pilar Monserrat. (2015). Ambientes innovadores en México: el caso del Corredor Industrial El Bajío. </w:t>
      </w:r>
      <w:r w:rsidRPr="005043D4">
        <w:rPr>
          <w:rFonts w:ascii="Roboto" w:hAnsi="Roboto"/>
          <w:i/>
          <w:iCs/>
          <w:sz w:val="20"/>
          <w:szCs w:val="20"/>
        </w:rPr>
        <w:t>Revista de geografía Norte Grande</w:t>
      </w:r>
      <w:r w:rsidRPr="005043D4">
        <w:rPr>
          <w:rFonts w:ascii="Roboto" w:hAnsi="Roboto"/>
          <w:sz w:val="20"/>
          <w:szCs w:val="20"/>
        </w:rPr>
        <w:t>, (62), 203-221. </w:t>
      </w:r>
      <w:hyperlink r:id="rId14" w:history="1">
        <w:r w:rsidRPr="005043D4">
          <w:rPr>
            <w:rStyle w:val="Hipervnculo"/>
            <w:rFonts w:ascii="Roboto" w:hAnsi="Roboto"/>
            <w:sz w:val="20"/>
            <w:szCs w:val="20"/>
          </w:rPr>
          <w:t>https://dx.doi.org/10.4067/S0718-34022015000300012</w:t>
        </w:r>
      </w:hyperlink>
    </w:p>
    <w:p w14:paraId="738A86F4" w14:textId="77777777" w:rsidR="005043D4" w:rsidRPr="005043D4" w:rsidRDefault="005043D4" w:rsidP="005043D4">
      <w:pPr>
        <w:rPr>
          <w:rFonts w:ascii="Roboto" w:hAnsi="Roboto"/>
          <w:sz w:val="20"/>
          <w:szCs w:val="20"/>
        </w:rPr>
      </w:pPr>
      <w:proofErr w:type="spellStart"/>
      <w:r w:rsidRPr="005043D4">
        <w:rPr>
          <w:rFonts w:ascii="Roboto" w:hAnsi="Roboto"/>
          <w:sz w:val="20"/>
          <w:szCs w:val="20"/>
          <w:lang w:val="en-US"/>
        </w:rPr>
        <w:t>Piore</w:t>
      </w:r>
      <w:proofErr w:type="spellEnd"/>
      <w:r w:rsidRPr="005043D4">
        <w:rPr>
          <w:rFonts w:ascii="Roboto" w:hAnsi="Roboto"/>
          <w:sz w:val="20"/>
          <w:szCs w:val="20"/>
          <w:lang w:val="en-US"/>
        </w:rPr>
        <w:t xml:space="preserve">,  M.  J.  (1979).  Birds  of  passage:  Migrant  labor  and  industrial  societies.  </w:t>
      </w:r>
      <w:r w:rsidRPr="005043D4">
        <w:rPr>
          <w:rFonts w:ascii="Roboto" w:hAnsi="Roboto"/>
          <w:sz w:val="20"/>
          <w:szCs w:val="20"/>
        </w:rPr>
        <w:t xml:space="preserve">Cambridge  </w:t>
      </w:r>
      <w:proofErr w:type="spellStart"/>
      <w:r w:rsidRPr="005043D4">
        <w:rPr>
          <w:rFonts w:ascii="Roboto" w:hAnsi="Roboto"/>
          <w:sz w:val="20"/>
          <w:szCs w:val="20"/>
        </w:rPr>
        <w:t>University</w:t>
      </w:r>
      <w:proofErr w:type="spellEnd"/>
      <w:r w:rsidRPr="005043D4">
        <w:rPr>
          <w:rFonts w:ascii="Roboto" w:hAnsi="Roboto"/>
          <w:sz w:val="20"/>
          <w:szCs w:val="20"/>
        </w:rPr>
        <w:t xml:space="preserve"> Press. </w:t>
      </w:r>
      <w:hyperlink r:id="rId15" w:history="1">
        <w:r w:rsidRPr="005043D4">
          <w:rPr>
            <w:rStyle w:val="Hipervnculo"/>
            <w:rFonts w:ascii="Roboto" w:hAnsi="Roboto"/>
            <w:sz w:val="20"/>
            <w:szCs w:val="20"/>
          </w:rPr>
          <w:t>https://doi.org/10.1017/CBO9780511572210</w:t>
        </w:r>
      </w:hyperlink>
    </w:p>
    <w:p w14:paraId="6F025FF2" w14:textId="5E8072EF" w:rsidR="009B517D" w:rsidRPr="005043D4" w:rsidRDefault="009B517D">
      <w:pPr>
        <w:jc w:val="both"/>
        <w:rPr>
          <w:rFonts w:ascii="Roboto" w:eastAsia="Roboto" w:hAnsi="Roboto" w:cs="Roboto"/>
          <w:sz w:val="20"/>
          <w:szCs w:val="20"/>
        </w:rPr>
      </w:pPr>
    </w:p>
    <w:sectPr w:rsidR="009B517D" w:rsidRPr="005043D4">
      <w:type w:val="continuous"/>
      <w:pgSz w:w="11906" w:h="16838"/>
      <w:pgMar w:top="1134" w:right="851" w:bottom="1134" w:left="851" w:header="357" w:footer="720" w:gutter="0"/>
      <w:cols w:num="2" w:space="720" w:equalWidth="0">
        <w:col w:w="4934" w:space="335"/>
        <w:col w:w="4934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053F97" w14:textId="77777777" w:rsidR="00C15F44" w:rsidRDefault="00C15F44">
      <w:r>
        <w:separator/>
      </w:r>
    </w:p>
  </w:endnote>
  <w:endnote w:type="continuationSeparator" w:id="0">
    <w:p w14:paraId="3C85A7C8" w14:textId="77777777" w:rsidR="00C15F44" w:rsidRDefault="00C15F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42789679-7658-47D5-9C8A-8415E74E1389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2" w:fontKey="{6E751699-A0FC-431B-81F7-FA7E18488456}"/>
    <w:embedItalic r:id="rId3" w:fontKey="{0FC60FC9-5E38-4EF1-99F6-087F3EB3A3F3}"/>
  </w:font>
  <w:font w:name="Roboto">
    <w:charset w:val="00"/>
    <w:family w:val="auto"/>
    <w:pitch w:val="variable"/>
    <w:sig w:usb0="E0000AFF" w:usb1="5000217F" w:usb2="00000021" w:usb3="00000000" w:csb0="0000019F" w:csb1="00000000"/>
    <w:embedRegular r:id="rId4" w:fontKey="{C948495A-11F2-4BFB-9631-3D6D8247EEBB}"/>
    <w:embedBold r:id="rId5" w:fontKey="{259A7B84-ED69-47D6-A4B3-51F4C07C9CFD}"/>
    <w:embedItalic r:id="rId6" w:fontKey="{768E77F9-18DF-4C81-A4D8-78238132F66C}"/>
  </w:font>
  <w:font w:name="Aptos Narrow">
    <w:charset w:val="00"/>
    <w:family w:val="swiss"/>
    <w:pitch w:val="variable"/>
    <w:sig w:usb0="20000287" w:usb1="00000003" w:usb2="00000000" w:usb3="00000000" w:csb0="0000019F" w:csb1="00000000"/>
    <w:embedRegular r:id="rId7" w:fontKey="{5832BC11-A11E-4AB5-9A31-C47ABD10815C}"/>
    <w:embedBoldItalic r:id="rId8" w:fontKey="{D4C25BFE-DA02-4AA9-B078-D82668B4792D}"/>
  </w:font>
  <w:font w:name="Arvo">
    <w:altName w:val="Arvo"/>
    <w:charset w:val="00"/>
    <w:family w:val="auto"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9" w:fontKey="{80E2441A-D1BB-440E-9BD8-09F3DA352EA6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711493" w14:textId="77777777" w:rsidR="00C15F44" w:rsidRDefault="00C15F44">
      <w:r>
        <w:separator/>
      </w:r>
    </w:p>
  </w:footnote>
  <w:footnote w:type="continuationSeparator" w:id="0">
    <w:p w14:paraId="22211A51" w14:textId="77777777" w:rsidR="00C15F44" w:rsidRDefault="00C15F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C6C66" w14:textId="77777777" w:rsidR="009B517D" w:rsidRDefault="009B517D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9B517D" w14:paraId="3EF943E6" w14:textId="77777777">
      <w:trPr>
        <w:trHeight w:val="345"/>
        <w:jc w:val="center"/>
      </w:trPr>
      <w:tc>
        <w:tcPr>
          <w:tcW w:w="6306" w:type="dxa"/>
          <w:vAlign w:val="center"/>
        </w:tcPr>
        <w:p w14:paraId="5EB77466" w14:textId="77777777" w:rsidR="009B517D" w:rsidRDefault="009B517D">
          <w:pPr>
            <w:jc w:val="center"/>
            <w:rPr>
              <w:i/>
              <w:sz w:val="18"/>
              <w:szCs w:val="18"/>
            </w:rPr>
          </w:pPr>
        </w:p>
      </w:tc>
    </w:tr>
  </w:tbl>
  <w:p w14:paraId="7BAE9608" w14:textId="77777777" w:rsidR="009B517D" w:rsidRDefault="009B517D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517D"/>
    <w:rsid w:val="00161E61"/>
    <w:rsid w:val="0024313A"/>
    <w:rsid w:val="00254A1B"/>
    <w:rsid w:val="00295288"/>
    <w:rsid w:val="0031516A"/>
    <w:rsid w:val="003E5081"/>
    <w:rsid w:val="00402E27"/>
    <w:rsid w:val="004176AF"/>
    <w:rsid w:val="005043D4"/>
    <w:rsid w:val="0052211D"/>
    <w:rsid w:val="005277E9"/>
    <w:rsid w:val="0062784C"/>
    <w:rsid w:val="008430DD"/>
    <w:rsid w:val="009B517D"/>
    <w:rsid w:val="00A11B34"/>
    <w:rsid w:val="00A80797"/>
    <w:rsid w:val="00BE4B81"/>
    <w:rsid w:val="00C15F44"/>
    <w:rsid w:val="00E80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279897"/>
  <w15:docId w15:val="{7F83BC26-1531-41E8-B9F1-7E24E262C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https://doi.org/10.2307/2060063" TargetMode="Externa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yperlink" Target="https://www.inegi.org.mx/contenido/productos/prod_serv/contenidos/espanol/bvinegi/productos/historicos/2104/702825491512/702825491512_2.pdf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inegi.org.mx/contenidos/productos/prod_serv/contenidos/espanol/bvinegi/productos/estudios/sociodemografico/ext_en_mex/extraen_mex.pdf?utm_source=chatgpt.com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doi.org/10.1017/CBO9780511572210" TargetMode="External"/><Relationship Id="rId10" Type="http://schemas.openxmlformats.org/officeDocument/2006/relationships/hyperlink" Target="https://www.inegi.org.mx/contenidos/productos/prod_serv/contenidos/espanol/bvinegi/productos/historicos/1334/702825158651/702825158651_14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22201/iiec.20078951e.2023.213.69963" TargetMode="External"/><Relationship Id="rId14" Type="http://schemas.openxmlformats.org/officeDocument/2006/relationships/hyperlink" Target="https://dx.doi.org/10.4067/S0718-34022015000300012" TargetMode="Externa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https://redanahuac-my.sharepoint.com/personal/bribrilia_cota_anahuac_mx/Documents/Escritorio/INVESTIGACI&#211;N/2026/LIBRO%20ECONOM&#205;A%20Y%20NEGOCIOS/gr&#225;ficas%20migraci&#243;n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2537270341207349"/>
          <c:y val="5.0925925925925923E-2"/>
          <c:w val="0.76793153980752415"/>
          <c:h val="0.63834135316418794"/>
        </c:manualLayout>
      </c:layout>
      <c:lineChart>
        <c:grouping val="standard"/>
        <c:varyColors val="0"/>
        <c:ser>
          <c:idx val="0"/>
          <c:order val="0"/>
          <c:tx>
            <c:v>Sector agropecuario</c:v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dPt>
            <c:idx val="1"/>
            <c:marker>
              <c:symbol val="circle"/>
              <c:size val="5"/>
              <c:spPr>
                <a:solidFill>
                  <a:schemeClr val="accent1"/>
                </a:solidFill>
                <a:ln w="9525">
                  <a:solidFill>
                    <a:schemeClr val="accent1"/>
                  </a:solidFill>
                </a:ln>
                <a:effectLst/>
              </c:spPr>
            </c:marker>
            <c:bubble3D val="0"/>
            <c:spPr>
              <a:ln w="28575" cap="rnd">
                <a:solidFill>
                  <a:schemeClr val="accent1"/>
                </a:solidFill>
                <a:round/>
              </a:ln>
              <a:effectLst/>
            </c:spPr>
            <c:extLst>
              <c:ext xmlns:c16="http://schemas.microsoft.com/office/drawing/2014/chart" uri="{C3380CC4-5D6E-409C-BE32-E72D297353CC}">
                <c16:uniqueId val="{00000001-12E6-46B6-9F1F-FE6FDEF4AACC}"/>
              </c:ext>
            </c:extLst>
          </c:dPt>
          <c:dPt>
            <c:idx val="2"/>
            <c:marker>
              <c:symbol val="circle"/>
              <c:size val="5"/>
              <c:spPr>
                <a:solidFill>
                  <a:schemeClr val="accent1"/>
                </a:solidFill>
                <a:ln w="9525">
                  <a:solidFill>
                    <a:schemeClr val="accent1"/>
                  </a:solidFill>
                </a:ln>
                <a:effectLst/>
              </c:spPr>
            </c:marker>
            <c:bubble3D val="0"/>
            <c:spPr>
              <a:ln w="28575" cap="rnd">
                <a:solidFill>
                  <a:schemeClr val="accent1"/>
                </a:solidFill>
                <a:round/>
              </a:ln>
              <a:effectLst/>
            </c:spPr>
            <c:extLst>
              <c:ext xmlns:c16="http://schemas.microsoft.com/office/drawing/2014/chart" uri="{C3380CC4-5D6E-409C-BE32-E72D297353CC}">
                <c16:uniqueId val="{00000003-12E6-46B6-9F1F-FE6FDEF4AACC}"/>
              </c:ext>
            </c:extLst>
          </c:dPt>
          <c:cat>
            <c:numRef>
              <c:f>Hoja1!$A$11:$A$13</c:f>
              <c:numCache>
                <c:formatCode>General</c:formatCode>
                <c:ptCount val="3"/>
                <c:pt idx="0">
                  <c:v>1970</c:v>
                </c:pt>
                <c:pt idx="1">
                  <c:v>1980</c:v>
                </c:pt>
                <c:pt idx="2">
                  <c:v>1990</c:v>
                </c:pt>
              </c:numCache>
            </c:numRef>
          </c:cat>
          <c:val>
            <c:numRef>
              <c:f>Hoja1!$B$11:$B$13</c:f>
              <c:numCache>
                <c:formatCode>General</c:formatCode>
                <c:ptCount val="3"/>
                <c:pt idx="0">
                  <c:v>46.8</c:v>
                </c:pt>
                <c:pt idx="1">
                  <c:v>25</c:v>
                </c:pt>
                <c:pt idx="2">
                  <c:v>21.7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4-12E6-46B6-9F1F-FE6FDEF4AACC}"/>
            </c:ext>
          </c:extLst>
        </c:ser>
        <c:ser>
          <c:idx val="1"/>
          <c:order val="1"/>
          <c:tx>
            <c:v>Industria de la transformación</c:v>
          </c:tx>
          <c:spPr>
            <a:ln w="28575" cap="rnd">
              <a:solidFill>
                <a:schemeClr val="accent6">
                  <a:lumMod val="50000"/>
                </a:schemeClr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6">
                  <a:lumMod val="50000"/>
                </a:schemeClr>
              </a:solidFill>
              <a:ln w="9525">
                <a:solidFill>
                  <a:schemeClr val="accent6">
                    <a:lumMod val="50000"/>
                  </a:schemeClr>
                </a:solidFill>
              </a:ln>
              <a:effectLst/>
            </c:spPr>
          </c:marker>
          <c:cat>
            <c:numRef>
              <c:f>Hoja1!$A$11:$A$13</c:f>
              <c:numCache>
                <c:formatCode>General</c:formatCode>
                <c:ptCount val="3"/>
                <c:pt idx="0">
                  <c:v>1970</c:v>
                </c:pt>
                <c:pt idx="1">
                  <c:v>1980</c:v>
                </c:pt>
                <c:pt idx="2">
                  <c:v>1990</c:v>
                </c:pt>
              </c:numCache>
            </c:numRef>
          </c:cat>
          <c:val>
            <c:numRef>
              <c:f>Hoja1!$C$11:$C$13</c:f>
              <c:numCache>
                <c:formatCode>General</c:formatCode>
                <c:ptCount val="3"/>
                <c:pt idx="0">
                  <c:v>14.2</c:v>
                </c:pt>
                <c:pt idx="1">
                  <c:v>12.5</c:v>
                </c:pt>
                <c:pt idx="2">
                  <c:v>23.2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5-12E6-46B6-9F1F-FE6FDEF4AAC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467429775"/>
        <c:axId val="1467425935"/>
      </c:lineChart>
      <c:catAx>
        <c:axId val="1467429775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467425935"/>
        <c:crosses val="autoZero"/>
        <c:auto val="1"/>
        <c:lblAlgn val="ctr"/>
        <c:lblOffset val="100"/>
        <c:noMultiLvlLbl val="0"/>
      </c:catAx>
      <c:valAx>
        <c:axId val="1467425935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s-MX" sz="800"/>
                  <a:t>% de población ocupada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8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s-MX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467429775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18219313210848642"/>
          <c:y val="0.77430446194225722"/>
          <c:w val="0.67058464566929143"/>
          <c:h val="0.1134281131525226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MX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noFill/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MX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3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973</Words>
  <Characters>6564</Characters>
  <Application>Microsoft Office Word</Application>
  <DocSecurity>0</DocSecurity>
  <Lines>200</Lines>
  <Paragraphs>61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Bribrilia Cota Cabrera</cp:lastModifiedBy>
  <cp:revision>5</cp:revision>
  <dcterms:created xsi:type="dcterms:W3CDTF">2026-02-28T05:31:00Z</dcterms:created>
  <dcterms:modified xsi:type="dcterms:W3CDTF">2026-02-28T06:44:00Z</dcterms:modified>
</cp:coreProperties>
</file>