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58E0C3" w14:textId="77777777" w:rsidR="00696C3B" w:rsidRDefault="00696C3B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</w:rPr>
      </w:pPr>
      <w:r w:rsidRPr="00696C3B">
        <w:rPr>
          <w:rFonts w:ascii="Roboto" w:eastAsia="Roboto" w:hAnsi="Roboto" w:cs="Roboto"/>
          <w:b/>
          <w:color w:val="000000"/>
        </w:rPr>
        <w:t xml:space="preserve">Simuladores como eje de integración curricular: aprendizaje activo de </w:t>
      </w:r>
      <w:r w:rsidR="00914681">
        <w:rPr>
          <w:rFonts w:ascii="Roboto" w:eastAsia="Roboto" w:hAnsi="Roboto" w:cs="Roboto"/>
          <w:b/>
          <w:color w:val="000000"/>
        </w:rPr>
        <w:t xml:space="preserve">algunos temas de </w:t>
      </w:r>
      <w:r w:rsidRPr="00696C3B">
        <w:rPr>
          <w:rFonts w:ascii="Roboto" w:eastAsia="Roboto" w:hAnsi="Roboto" w:cs="Roboto"/>
          <w:b/>
          <w:color w:val="000000"/>
        </w:rPr>
        <w:t>probabilidad en la educación superior</w:t>
      </w:r>
    </w:p>
    <w:p w14:paraId="08B3742E" w14:textId="77777777" w:rsidR="00337569" w:rsidRDefault="00995EB1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López-Barrientos, J.D.</w:t>
      </w:r>
      <w:r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1*</w:t>
      </w:r>
      <w:r w:rsidR="00C12B64">
        <w:rPr>
          <w:rFonts w:ascii="Roboto" w:eastAsia="Roboto" w:hAnsi="Roboto" w:cs="Roboto"/>
          <w:b/>
          <w:color w:val="000000"/>
          <w:sz w:val="20"/>
          <w:szCs w:val="20"/>
        </w:rPr>
        <w:t xml:space="preserve">, </w:t>
      </w:r>
      <w:r w:rsidR="00696C3B">
        <w:rPr>
          <w:rFonts w:ascii="Roboto" w:eastAsia="Roboto" w:hAnsi="Roboto" w:cs="Roboto"/>
          <w:b/>
          <w:color w:val="000000"/>
          <w:sz w:val="20"/>
          <w:szCs w:val="20"/>
        </w:rPr>
        <w:t>Lemus-Rodríguez, E</w:t>
      </w:r>
      <w:r w:rsidR="00C12B64">
        <w:rPr>
          <w:rFonts w:ascii="Roboto" w:eastAsia="Roboto" w:hAnsi="Roboto" w:cs="Roboto"/>
          <w:b/>
          <w:color w:val="000000"/>
          <w:sz w:val="20"/>
          <w:szCs w:val="20"/>
        </w:rPr>
        <w:t>.</w:t>
      </w:r>
      <w:r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2</w:t>
      </w:r>
      <w:r w:rsidRPr="00995EB1">
        <w:rPr>
          <w:rFonts w:ascii="Roboto" w:eastAsia="Roboto" w:hAnsi="Roboto" w:cs="Roboto"/>
          <w:b/>
          <w:color w:val="000000"/>
          <w:sz w:val="20"/>
          <w:szCs w:val="20"/>
        </w:rPr>
        <w:t xml:space="preserve"> 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y Flores-Herrera, A.P.</w:t>
      </w:r>
      <w:r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3</w:t>
      </w:r>
    </w:p>
    <w:p w14:paraId="677CCC4B" w14:textId="77777777" w:rsidR="00337569" w:rsidRDefault="00995EB1">
      <w:pPr>
        <w:jc w:val="center"/>
        <w:rPr>
          <w:rStyle w:val="Hipervnculo"/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  <w:vertAlign w:val="superscript"/>
        </w:rPr>
        <w:t>1</w:t>
      </w:r>
      <w:r w:rsidR="00696C3B">
        <w:rPr>
          <w:rFonts w:ascii="Roboto" w:eastAsia="Roboto" w:hAnsi="Roboto" w:cs="Roboto"/>
          <w:color w:val="000000"/>
          <w:sz w:val="18"/>
          <w:szCs w:val="18"/>
        </w:rPr>
        <w:t>Facultad de Ciencias Actuariales</w:t>
      </w:r>
      <w:r w:rsidR="00C12B64">
        <w:rPr>
          <w:rFonts w:ascii="Roboto" w:eastAsia="Roboto" w:hAnsi="Roboto" w:cs="Roboto"/>
          <w:sz w:val="18"/>
          <w:szCs w:val="18"/>
        </w:rPr>
        <w:t xml:space="preserve">, </w:t>
      </w:r>
      <w:r w:rsidR="00413BB8">
        <w:rPr>
          <w:rFonts w:ascii="Roboto" w:eastAsia="Roboto" w:hAnsi="Roboto" w:cs="Roboto"/>
          <w:color w:val="000000"/>
          <w:sz w:val="18"/>
          <w:szCs w:val="18"/>
        </w:rPr>
        <w:t>Universidad Anáhuac México</w:t>
      </w:r>
      <w:r w:rsidR="00413BB8">
        <w:rPr>
          <w:rFonts w:ascii="Roboto" w:eastAsia="Roboto" w:hAnsi="Roboto" w:cs="Roboto"/>
          <w:sz w:val="18"/>
          <w:szCs w:val="18"/>
        </w:rPr>
        <w:t xml:space="preserve"> </w:t>
      </w:r>
      <w:hyperlink r:id="rId9" w:history="1">
        <w:r w:rsidR="0043541B" w:rsidRPr="0043541B">
          <w:rPr>
            <w:rStyle w:val="Hipervnculo"/>
            <w:rFonts w:ascii="Roboto" w:eastAsia="Roboto" w:hAnsi="Roboto" w:cs="Roboto"/>
            <w:sz w:val="18"/>
            <w:szCs w:val="18"/>
          </w:rPr>
          <w:t>0000-0001-9315-1227</w:t>
        </w:r>
      </w:hyperlink>
    </w:p>
    <w:p w14:paraId="39B6534E" w14:textId="77777777" w:rsidR="00696C3B" w:rsidRDefault="00995EB1" w:rsidP="00696C3B">
      <w:pPr>
        <w:jc w:val="center"/>
        <w:rPr>
          <w:rFonts w:ascii="Roboto" w:eastAsia="Roboto" w:hAnsi="Roboto" w:cs="Roboto"/>
          <w:color w:val="000000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  <w:vertAlign w:val="superscript"/>
        </w:rPr>
        <w:t>2</w:t>
      </w:r>
      <w:r w:rsidR="00696C3B">
        <w:rPr>
          <w:rFonts w:ascii="Roboto" w:eastAsia="Roboto" w:hAnsi="Roboto" w:cs="Roboto"/>
          <w:color w:val="000000"/>
          <w:sz w:val="18"/>
          <w:szCs w:val="18"/>
        </w:rPr>
        <w:t>Centro Universitario Incarnate Word</w:t>
      </w:r>
    </w:p>
    <w:p w14:paraId="22A6AD0E" w14:textId="77777777" w:rsidR="00995EB1" w:rsidRPr="00995EB1" w:rsidRDefault="00995EB1" w:rsidP="00995EB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3</w:t>
      </w:r>
      <w:r>
        <w:rPr>
          <w:rFonts w:ascii="Roboto" w:eastAsia="Roboto" w:hAnsi="Roboto" w:cs="Roboto"/>
          <w:color w:val="000000"/>
          <w:sz w:val="18"/>
          <w:szCs w:val="18"/>
        </w:rPr>
        <w:t xml:space="preserve">Facultad de Comunicación, Universidad Anáhuac México </w:t>
      </w:r>
      <w:hyperlink r:id="rId10" w:history="1">
        <w:r w:rsidRPr="0043541B">
          <w:rPr>
            <w:rStyle w:val="Hipervnculo"/>
            <w:rFonts w:ascii="Roboto" w:eastAsia="Roboto" w:hAnsi="Roboto" w:cs="Roboto"/>
            <w:sz w:val="18"/>
            <w:szCs w:val="18"/>
          </w:rPr>
          <w:t>0009-0006-0870-5605</w:t>
        </w:r>
      </w:hyperlink>
    </w:p>
    <w:p w14:paraId="6F49C421" w14:textId="30D4983A" w:rsidR="00337569" w:rsidRDefault="00C12B64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*Autor de correspondencia (e-mail:</w:t>
      </w:r>
      <w:r>
        <w:rPr>
          <w:rFonts w:ascii="Roboto" w:eastAsia="Roboto" w:hAnsi="Roboto" w:cs="Roboto"/>
          <w:sz w:val="18"/>
          <w:szCs w:val="18"/>
          <w:highlight w:val="white"/>
        </w:rPr>
        <w:t xml:space="preserve"> </w:t>
      </w:r>
      <w:hyperlink r:id="rId11" w:history="1">
        <w:r w:rsidR="00907D91">
          <w:rPr>
            <w:rStyle w:val="Hipervnculo"/>
            <w:rFonts w:ascii="Roboto" w:eastAsia="Roboto" w:hAnsi="Roboto" w:cs="Roboto"/>
            <w:sz w:val="18"/>
            <w:szCs w:val="18"/>
          </w:rPr>
          <w:t>daniel.lopez</w:t>
        </w:r>
        <w:r w:rsidR="00CE2CA3" w:rsidRPr="001239DF">
          <w:rPr>
            <w:rStyle w:val="Hipervnculo"/>
            <w:rFonts w:ascii="Roboto" w:eastAsia="Roboto" w:hAnsi="Roboto" w:cs="Roboto"/>
            <w:sz w:val="18"/>
            <w:szCs w:val="18"/>
          </w:rPr>
          <w:t>@anahuac.mx</w:t>
        </w:r>
      </w:hyperlink>
      <w:r>
        <w:rPr>
          <w:rFonts w:ascii="Roboto" w:eastAsia="Roboto" w:hAnsi="Roboto" w:cs="Roboto"/>
          <w:sz w:val="18"/>
          <w:szCs w:val="18"/>
        </w:rPr>
        <w:t>)</w:t>
      </w:r>
    </w:p>
    <w:p w14:paraId="7BF62237" w14:textId="77777777" w:rsidR="00337569" w:rsidRDefault="00000000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337569">
          <w:headerReference w:type="default" r:id="rId12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pict w14:anchorId="3DAC1D3D">
          <v:rect id="_x0000_i1025" style="width:0;height:1.5pt" o:hralign="center" o:hrstd="t" o:hr="t" fillcolor="#a0a0a0" stroked="f"/>
        </w:pict>
      </w:r>
    </w:p>
    <w:p w14:paraId="573A0F57" w14:textId="77777777" w:rsidR="006441BC" w:rsidRDefault="00625662" w:rsidP="0062566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625662">
        <w:rPr>
          <w:rFonts w:ascii="Roboto" w:eastAsia="Roboto" w:hAnsi="Roboto" w:cs="Roboto"/>
          <w:color w:val="000000"/>
          <w:sz w:val="20"/>
          <w:szCs w:val="20"/>
        </w:rPr>
        <w:t xml:space="preserve">Este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trabajo </w:t>
      </w:r>
      <w:r w:rsidRPr="00625662">
        <w:rPr>
          <w:rFonts w:ascii="Roboto" w:eastAsia="Roboto" w:hAnsi="Roboto" w:cs="Roboto"/>
          <w:color w:val="000000"/>
          <w:sz w:val="20"/>
          <w:szCs w:val="20"/>
        </w:rPr>
        <w:t xml:space="preserve">propone un marco estructurado y práctico para diseñar un entorno de aprendizaje eficaz para la enseñanza de </w:t>
      </w:r>
      <w:r w:rsidR="00914681">
        <w:rPr>
          <w:rFonts w:ascii="Roboto" w:eastAsia="Roboto" w:hAnsi="Roboto" w:cs="Roboto"/>
          <w:color w:val="000000"/>
          <w:sz w:val="20"/>
          <w:szCs w:val="20"/>
        </w:rPr>
        <w:t>a</w:t>
      </w:r>
      <w:r w:rsidRPr="00625662">
        <w:rPr>
          <w:rFonts w:ascii="Roboto" w:eastAsia="Roboto" w:hAnsi="Roboto" w:cs="Roboto"/>
          <w:color w:val="000000"/>
          <w:sz w:val="20"/>
          <w:szCs w:val="20"/>
        </w:rPr>
        <w:t>l</w:t>
      </w:r>
      <w:r w:rsidR="00914681">
        <w:rPr>
          <w:rFonts w:ascii="Roboto" w:eastAsia="Roboto" w:hAnsi="Roboto" w:cs="Roboto"/>
          <w:color w:val="000000"/>
          <w:sz w:val="20"/>
          <w:szCs w:val="20"/>
        </w:rPr>
        <w:t>gun</w:t>
      </w:r>
      <w:r w:rsidRPr="00625662">
        <w:rPr>
          <w:rFonts w:ascii="Roboto" w:eastAsia="Roboto" w:hAnsi="Roboto" w:cs="Roboto"/>
          <w:color w:val="000000"/>
          <w:sz w:val="20"/>
          <w:szCs w:val="20"/>
        </w:rPr>
        <w:t xml:space="preserve">os </w:t>
      </w:r>
      <w:r w:rsidR="00914681">
        <w:rPr>
          <w:rFonts w:ascii="Roboto" w:eastAsia="Roboto" w:hAnsi="Roboto" w:cs="Roboto"/>
          <w:color w:val="000000"/>
          <w:sz w:val="20"/>
          <w:szCs w:val="20"/>
        </w:rPr>
        <w:t xml:space="preserve">temas relacionados con la probabilidad </w:t>
      </w:r>
      <w:r w:rsidRPr="00625662">
        <w:rPr>
          <w:rFonts w:ascii="Roboto" w:eastAsia="Roboto" w:hAnsi="Roboto" w:cs="Roboto"/>
          <w:color w:val="000000"/>
          <w:sz w:val="20"/>
          <w:szCs w:val="20"/>
        </w:rPr>
        <w:t>durante los primeros semestres de los estudios universitarios en matemáticas</w:t>
      </w:r>
      <w:r w:rsidR="0048605E">
        <w:rPr>
          <w:rFonts w:ascii="Roboto" w:eastAsia="Roboto" w:hAnsi="Roboto" w:cs="Roboto"/>
          <w:color w:val="000000"/>
          <w:sz w:val="20"/>
          <w:szCs w:val="20"/>
        </w:rPr>
        <w:t xml:space="preserve"> a nivel universitario</w:t>
      </w:r>
      <w:r w:rsidRPr="00625662">
        <w:rPr>
          <w:rFonts w:ascii="Roboto" w:eastAsia="Roboto" w:hAnsi="Roboto" w:cs="Roboto"/>
          <w:color w:val="000000"/>
          <w:sz w:val="20"/>
          <w:szCs w:val="20"/>
        </w:rPr>
        <w:t xml:space="preserve">. Nuestro enfoque integra comprensión conceptual, descubrimiento guiado, intuición visual y resolución aplicada de problemas, </w:t>
      </w:r>
      <w:r w:rsidR="006E00BE">
        <w:rPr>
          <w:rFonts w:ascii="Roboto" w:eastAsia="Roboto" w:hAnsi="Roboto" w:cs="Roboto"/>
          <w:color w:val="000000"/>
          <w:sz w:val="20"/>
          <w:szCs w:val="20"/>
        </w:rPr>
        <w:t xml:space="preserve">e integra nuestros simuladores </w:t>
      </w:r>
      <w:r w:rsidRPr="00625662">
        <w:rPr>
          <w:rFonts w:ascii="Roboto" w:eastAsia="Roboto" w:hAnsi="Roboto" w:cs="Roboto"/>
          <w:color w:val="000000"/>
          <w:sz w:val="20"/>
          <w:szCs w:val="20"/>
        </w:rPr>
        <w:t xml:space="preserve">en tres universidades mexicanas. </w:t>
      </w:r>
    </w:p>
    <w:p w14:paraId="28DBF1C5" w14:textId="7536ED49" w:rsidR="006441BC" w:rsidRDefault="00625662" w:rsidP="0062566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625662">
        <w:rPr>
          <w:rFonts w:ascii="Roboto" w:eastAsia="Roboto" w:hAnsi="Roboto" w:cs="Roboto"/>
          <w:color w:val="000000"/>
          <w:sz w:val="20"/>
          <w:szCs w:val="20"/>
        </w:rPr>
        <w:t xml:space="preserve">Las actividades propuestas modernizan el enfoque clásico de </w:t>
      </w:r>
      <w:sdt>
        <w:sdtPr>
          <w:rPr>
            <w:rFonts w:ascii="Roboto" w:eastAsia="Roboto" w:hAnsi="Roboto" w:cs="Roboto"/>
            <w:color w:val="000000"/>
            <w:sz w:val="20"/>
            <w:szCs w:val="20"/>
          </w:rPr>
          <w:id w:val="1936169666"/>
          <w:citation/>
        </w:sdtPr>
        <w:sdtContent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begin"/>
          </w:r>
          <w:r>
            <w:rPr>
              <w:rFonts w:eastAsia="Roboto" w:cs="Roboto"/>
              <w:color w:val="000000"/>
              <w:sz w:val="20"/>
              <w:szCs w:val="20"/>
            </w:rPr>
            <w:instrText xml:space="preserve"> CITATION Mos62 \l 2058 </w:instrText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separate"/>
          </w:r>
          <w:r w:rsidR="00E24403" w:rsidRPr="00E24403">
            <w:rPr>
              <w:rFonts w:eastAsia="Roboto" w:cs="Roboto"/>
              <w:noProof/>
              <w:color w:val="000000"/>
              <w:sz w:val="20"/>
              <w:szCs w:val="20"/>
            </w:rPr>
            <w:t>(Mosteller, 1962)</w:t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end"/>
          </w:r>
        </w:sdtContent>
      </w:sdt>
      <w:r>
        <w:rPr>
          <w:rFonts w:ascii="Roboto" w:eastAsia="Roboto" w:hAnsi="Roboto" w:cs="Roboto"/>
          <w:color w:val="000000"/>
          <w:sz w:val="20"/>
          <w:szCs w:val="20"/>
        </w:rPr>
        <w:t xml:space="preserve"> y </w:t>
      </w:r>
      <w:sdt>
        <w:sdtPr>
          <w:rPr>
            <w:rFonts w:ascii="Roboto" w:eastAsia="Roboto" w:hAnsi="Roboto" w:cs="Roboto"/>
            <w:color w:val="000000"/>
            <w:sz w:val="20"/>
            <w:szCs w:val="20"/>
          </w:rPr>
          <w:id w:val="-1622760154"/>
          <w:citation/>
        </w:sdtPr>
        <w:sdtContent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begin"/>
          </w:r>
          <w:r>
            <w:rPr>
              <w:rFonts w:eastAsia="Roboto" w:cs="Roboto"/>
              <w:color w:val="000000"/>
              <w:sz w:val="20"/>
              <w:szCs w:val="20"/>
            </w:rPr>
            <w:instrText xml:space="preserve"> CITATION Nau68 \l 2058 </w:instrText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separate"/>
          </w:r>
          <w:r w:rsidR="00E24403" w:rsidRPr="00E24403">
            <w:rPr>
              <w:rFonts w:eastAsia="Roboto" w:cs="Roboto"/>
              <w:noProof/>
              <w:color w:val="000000"/>
              <w:sz w:val="20"/>
              <w:szCs w:val="20"/>
            </w:rPr>
            <w:t>(Naus, 1968)</w:t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end"/>
          </w:r>
        </w:sdtContent>
      </w:sdt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625662">
        <w:rPr>
          <w:rFonts w:ascii="Roboto" w:eastAsia="Roboto" w:hAnsi="Roboto" w:cs="Roboto"/>
          <w:color w:val="000000"/>
          <w:sz w:val="20"/>
          <w:szCs w:val="20"/>
        </w:rPr>
        <w:t xml:space="preserve">al incorporar </w:t>
      </w:r>
      <w:r w:rsidR="006E00BE">
        <w:rPr>
          <w:rFonts w:ascii="Roboto" w:eastAsia="Roboto" w:hAnsi="Roboto" w:cs="Roboto"/>
          <w:color w:val="000000"/>
          <w:sz w:val="20"/>
          <w:szCs w:val="20"/>
        </w:rPr>
        <w:t xml:space="preserve">tecnologías de la información modernas aplicadas a la enseñanza </w:t>
      </w:r>
      <w:r w:rsidRPr="00625662">
        <w:rPr>
          <w:rFonts w:ascii="Roboto" w:eastAsia="Roboto" w:hAnsi="Roboto" w:cs="Roboto"/>
          <w:color w:val="000000"/>
          <w:sz w:val="20"/>
          <w:szCs w:val="20"/>
        </w:rPr>
        <w:t>y vincular problemas de coincidencias; están diseñadas para lograr ambos objetivos: fomentar la comprensión conceptual y facilitar una comprensión más profunda.</w:t>
      </w:r>
      <w:r w:rsidR="006441BC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625662">
        <w:rPr>
          <w:rFonts w:ascii="Roboto" w:eastAsia="Roboto" w:hAnsi="Roboto" w:cs="Roboto"/>
          <w:color w:val="000000"/>
          <w:sz w:val="20"/>
          <w:szCs w:val="20"/>
        </w:rPr>
        <w:t>Basamos nuestras actividades en exploraciones empíricas —lanzamientos de dados, ruletas y cumpleaños compartidos— que invitan a los estudiantes a investigar repeticiones en espacios finitos</w:t>
      </w:r>
      <w:r w:rsidR="00914681">
        <w:rPr>
          <w:rFonts w:ascii="Roboto" w:eastAsia="Roboto" w:hAnsi="Roboto" w:cs="Roboto"/>
          <w:color w:val="000000"/>
          <w:sz w:val="20"/>
          <w:szCs w:val="20"/>
        </w:rPr>
        <w:t xml:space="preserve"> de probabilidad</w:t>
      </w:r>
      <w:r w:rsidRPr="00625662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6441BC">
        <w:rPr>
          <w:rFonts w:ascii="Roboto" w:eastAsia="Roboto" w:hAnsi="Roboto" w:cs="Roboto"/>
          <w:color w:val="000000"/>
          <w:sz w:val="20"/>
          <w:szCs w:val="20"/>
        </w:rPr>
        <w:t xml:space="preserve">En este sentido, uno de nuestros hallazgos es que, en la variante presencial de la actividad, la comunicación humana fluye en torno a las soluciones de los problemas </w:t>
      </w:r>
      <w:r w:rsidR="006441BC">
        <w:rPr>
          <w:rFonts w:ascii="Roboto" w:eastAsia="Roboto" w:hAnsi="Roboto" w:cs="Roboto"/>
          <w:i/>
          <w:iCs/>
          <w:color w:val="000000"/>
          <w:sz w:val="20"/>
          <w:szCs w:val="20"/>
        </w:rPr>
        <w:t>per se</w:t>
      </w:r>
      <w:r w:rsidR="006441BC">
        <w:rPr>
          <w:rFonts w:ascii="Roboto" w:eastAsia="Roboto" w:hAnsi="Roboto" w:cs="Roboto"/>
          <w:color w:val="000000"/>
          <w:sz w:val="20"/>
          <w:szCs w:val="20"/>
        </w:rPr>
        <w:t xml:space="preserve">; mientras que, en la asincrónica, los estudiantes regresan al profesor con dudas sobre las referencias bibliográficas, tras intercambiar sus puntos de vista entre ellos. </w:t>
      </w:r>
    </w:p>
    <w:p w14:paraId="584189AB" w14:textId="77777777" w:rsidR="006441BC" w:rsidRDefault="00914681" w:rsidP="0062566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Proponemos </w:t>
      </w:r>
      <w:r w:rsidR="00625662" w:rsidRPr="00625662">
        <w:rPr>
          <w:rFonts w:ascii="Roboto" w:eastAsia="Roboto" w:hAnsi="Roboto" w:cs="Roboto"/>
          <w:color w:val="000000"/>
          <w:sz w:val="20"/>
          <w:szCs w:val="20"/>
        </w:rPr>
        <w:t>simula</w:t>
      </w:r>
      <w:r>
        <w:rPr>
          <w:rFonts w:ascii="Roboto" w:eastAsia="Roboto" w:hAnsi="Roboto" w:cs="Roboto"/>
          <w:color w:val="000000"/>
          <w:sz w:val="20"/>
          <w:szCs w:val="20"/>
        </w:rPr>
        <w:t>d</w:t>
      </w:r>
      <w:r w:rsidR="00625662" w:rsidRPr="00625662">
        <w:rPr>
          <w:rFonts w:ascii="Roboto" w:eastAsia="Roboto" w:hAnsi="Roboto" w:cs="Roboto"/>
          <w:color w:val="000000"/>
          <w:sz w:val="20"/>
          <w:szCs w:val="20"/>
        </w:rPr>
        <w:t>o</w:t>
      </w:r>
      <w:r>
        <w:rPr>
          <w:rFonts w:ascii="Roboto" w:eastAsia="Roboto" w:hAnsi="Roboto" w:cs="Roboto"/>
          <w:color w:val="000000"/>
          <w:sz w:val="20"/>
          <w:szCs w:val="20"/>
        </w:rPr>
        <w:t>r</w:t>
      </w:r>
      <w:r w:rsidR="00625662" w:rsidRPr="00625662">
        <w:rPr>
          <w:rFonts w:ascii="Roboto" w:eastAsia="Roboto" w:hAnsi="Roboto" w:cs="Roboto"/>
          <w:color w:val="000000"/>
          <w:sz w:val="20"/>
          <w:szCs w:val="20"/>
        </w:rPr>
        <w:t xml:space="preserve">es </w:t>
      </w:r>
      <w:r w:rsidR="00CE2CA3">
        <w:rPr>
          <w:rFonts w:ascii="Roboto" w:eastAsia="Roboto" w:hAnsi="Roboto" w:cs="Roboto"/>
          <w:color w:val="000000"/>
          <w:sz w:val="20"/>
          <w:szCs w:val="20"/>
        </w:rPr>
        <w:t>a partir d</w:t>
      </w:r>
      <w:r w:rsidR="00625662" w:rsidRPr="00625662">
        <w:rPr>
          <w:rFonts w:ascii="Roboto" w:eastAsia="Roboto" w:hAnsi="Roboto" w:cs="Roboto"/>
          <w:color w:val="000000"/>
          <w:sz w:val="20"/>
          <w:szCs w:val="20"/>
        </w:rPr>
        <w:t xml:space="preserve">e </w:t>
      </w:r>
      <w:r w:rsidR="006441BC">
        <w:rPr>
          <w:rFonts w:ascii="Roboto" w:eastAsia="Roboto" w:hAnsi="Roboto" w:cs="Roboto"/>
          <w:color w:val="000000"/>
          <w:sz w:val="20"/>
          <w:szCs w:val="20"/>
        </w:rPr>
        <w:t xml:space="preserve">tecnología de la información aplicada a la enseñanza </w:t>
      </w:r>
      <w:r w:rsidR="00CE2CA3">
        <w:rPr>
          <w:rFonts w:ascii="Roboto" w:eastAsia="Roboto" w:hAnsi="Roboto" w:cs="Roboto"/>
          <w:color w:val="000000"/>
          <w:sz w:val="20"/>
          <w:szCs w:val="20"/>
        </w:rPr>
        <w:t xml:space="preserve">y demostraciones matemáticas que </w:t>
      </w:r>
      <w:r w:rsidR="00625662" w:rsidRPr="00625662">
        <w:rPr>
          <w:rFonts w:ascii="Roboto" w:eastAsia="Roboto" w:hAnsi="Roboto" w:cs="Roboto"/>
          <w:color w:val="000000"/>
          <w:sz w:val="20"/>
          <w:szCs w:val="20"/>
        </w:rPr>
        <w:t xml:space="preserve">permiten a los alumnos de tres cursos secuenciales de licenciatura calcular y visualizar probabilidades, revelando la rapidez con la que surgen coincidencias conforme aumenta el número de ensayos. Introducimos los logaritmos mediante aproximaciones geométricas e integrales, motivamos la identidad fundamental </w:t>
      </w:r>
      <m:oMath>
        <m:r>
          <w:rPr>
            <w:rFonts w:ascii="Cambria Math" w:eastAsia="Roboto" w:hAnsi="Cambria Math" w:cs="Roboto"/>
            <w:color w:val="000000"/>
            <w:sz w:val="20"/>
            <w:szCs w:val="20"/>
          </w:rPr>
          <m:t>ln(xy) = ln(x) + ln(y)</m:t>
        </m:r>
      </m:oMath>
      <w:r w:rsidR="00625662" w:rsidRPr="00625662">
        <w:rPr>
          <w:rFonts w:ascii="Roboto" w:eastAsia="Roboto" w:hAnsi="Roboto" w:cs="Roboto"/>
          <w:color w:val="000000"/>
          <w:sz w:val="20"/>
          <w:szCs w:val="20"/>
        </w:rPr>
        <w:t xml:space="preserve"> y situamos su importancia histórica en la reducción de la complejidad de los cálculos numéricos de gran escala. </w:t>
      </w:r>
    </w:p>
    <w:p w14:paraId="034B89F6" w14:textId="696B6654" w:rsidR="00625662" w:rsidRPr="00625662" w:rsidRDefault="00625662" w:rsidP="0062566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625662">
        <w:rPr>
          <w:rFonts w:ascii="Roboto" w:eastAsia="Roboto" w:hAnsi="Roboto" w:cs="Roboto"/>
          <w:color w:val="000000"/>
          <w:sz w:val="20"/>
          <w:szCs w:val="20"/>
        </w:rPr>
        <w:t xml:space="preserve">En este entorno, la constante </w:t>
      </w:r>
      <m:oMath>
        <m:r>
          <w:rPr>
            <w:rFonts w:ascii="Cambria Math" w:eastAsia="Roboto" w:hAnsi="Cambria Math" w:cs="Roboto"/>
            <w:color w:val="000000"/>
            <w:sz w:val="20"/>
            <w:szCs w:val="20"/>
          </w:rPr>
          <m:t>e</m:t>
        </m:r>
      </m:oMath>
      <w:r w:rsidRPr="00625662">
        <w:rPr>
          <w:rFonts w:ascii="Roboto" w:eastAsia="Roboto" w:hAnsi="Roboto" w:cs="Roboto"/>
          <w:color w:val="000000"/>
          <w:sz w:val="20"/>
          <w:szCs w:val="20"/>
        </w:rPr>
        <w:t xml:space="preserve"> surge de manera natural, lo que permite aproximaciones precisas de probabilidades de coincidencia mediante las </w:t>
      </w:r>
      <w:r w:rsidRPr="00625662">
        <w:rPr>
          <w:rFonts w:ascii="Roboto" w:eastAsia="Roboto" w:hAnsi="Roboto" w:cs="Roboto"/>
          <w:iCs/>
          <w:color w:val="000000"/>
          <w:sz w:val="20"/>
          <w:szCs w:val="20"/>
        </w:rPr>
        <w:t>fórmulas</w:t>
      </w:r>
      <w:r w:rsidRPr="00625662">
        <w:rPr>
          <w:rFonts w:ascii="Roboto" w:eastAsia="Roboto" w:hAnsi="Roboto" w:cs="Roboto"/>
          <w:color w:val="000000"/>
          <w:sz w:val="20"/>
          <w:szCs w:val="20"/>
        </w:rPr>
        <w:t xml:space="preserve"> exponenciales de Euler.</w:t>
      </w:r>
    </w:p>
    <w:p w14:paraId="03F85B77" w14:textId="0888F00D" w:rsidR="00625662" w:rsidRPr="00625662" w:rsidRDefault="00625662" w:rsidP="0062566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625662">
        <w:rPr>
          <w:rFonts w:ascii="Roboto" w:eastAsia="Roboto" w:hAnsi="Roboto" w:cs="Roboto"/>
          <w:color w:val="000000"/>
          <w:sz w:val="20"/>
          <w:szCs w:val="20"/>
        </w:rPr>
        <w:t xml:space="preserve">Presentamos tres actividades adaptables para el aula (centradas en probabilidad, logaritmos y el número de Euler) que </w:t>
      </w:r>
      <w:r w:rsidR="006E00BE">
        <w:rPr>
          <w:rFonts w:ascii="Roboto" w:eastAsia="Roboto" w:hAnsi="Roboto" w:cs="Roboto"/>
          <w:color w:val="000000"/>
          <w:sz w:val="20"/>
          <w:szCs w:val="20"/>
        </w:rPr>
        <w:t xml:space="preserve">se benefician de la comunicación humana dentro del aula; y de la metodología activa del aula invertida, en su versión asíncrona, para </w:t>
      </w:r>
      <w:r w:rsidRPr="00625662">
        <w:rPr>
          <w:rFonts w:ascii="Roboto" w:eastAsia="Roboto" w:hAnsi="Roboto" w:cs="Roboto"/>
          <w:color w:val="000000"/>
          <w:sz w:val="20"/>
          <w:szCs w:val="20"/>
        </w:rPr>
        <w:t>conecta</w:t>
      </w:r>
      <w:r w:rsidR="006E00BE">
        <w:rPr>
          <w:rFonts w:ascii="Roboto" w:eastAsia="Roboto" w:hAnsi="Roboto" w:cs="Roboto"/>
          <w:color w:val="000000"/>
          <w:sz w:val="20"/>
          <w:szCs w:val="20"/>
        </w:rPr>
        <w:t>r</w:t>
      </w:r>
      <w:r w:rsidRPr="00625662">
        <w:rPr>
          <w:rFonts w:ascii="Roboto" w:eastAsia="Roboto" w:hAnsi="Roboto" w:cs="Roboto"/>
          <w:color w:val="000000"/>
          <w:sz w:val="20"/>
          <w:szCs w:val="20"/>
        </w:rPr>
        <w:t xml:space="preserve"> la probabilidad clásica con el pensamiento computacional. Estas actividades son secuenciales, adecuadas para cursos de precálculo, cálculo y probabilidad introductoria, y están diseñadas para conducir progresivamente a los estudiantes hacia una </w:t>
      </w:r>
      <w:r w:rsidRPr="00625662">
        <w:rPr>
          <w:rFonts w:ascii="Roboto" w:eastAsia="Roboto" w:hAnsi="Roboto" w:cs="Roboto"/>
          <w:color w:val="000000"/>
          <w:sz w:val="20"/>
          <w:szCs w:val="20"/>
        </w:rPr>
        <w:t>comprensión coherente y significativa de las estructuras logarítmicas. Los simuladores están estructurados para alinearse con teorías cognitivas que predicen una mejora en la participación y la retención estudiantil.</w:t>
      </w:r>
    </w:p>
    <w:p w14:paraId="69D9A771" w14:textId="77777777" w:rsidR="00CE2CA3" w:rsidRDefault="00CE2CA3" w:rsidP="0023256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iCs/>
          <w:color w:val="000000"/>
          <w:sz w:val="20"/>
          <w:szCs w:val="20"/>
        </w:rPr>
      </w:pPr>
      <w:r w:rsidRPr="00CE2CA3">
        <w:rPr>
          <w:rFonts w:ascii="Roboto" w:eastAsia="Roboto" w:hAnsi="Roboto" w:cs="Roboto"/>
          <w:b/>
          <w:iCs/>
          <w:color w:val="000000"/>
          <w:sz w:val="20"/>
          <w:szCs w:val="20"/>
        </w:rPr>
        <w:t>Primer simulador: “Dados, ruletas de la fortuna y cumpleaños”</w:t>
      </w:r>
    </w:p>
    <w:p w14:paraId="5DF98842" w14:textId="77777777" w:rsidR="0023256D" w:rsidRPr="0023256D" w:rsidRDefault="0023256D" w:rsidP="0023256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E</w:t>
      </w:r>
      <w:r w:rsidRPr="0023256D">
        <w:rPr>
          <w:rFonts w:ascii="Roboto" w:eastAsia="Roboto" w:hAnsi="Roboto" w:cs="Roboto"/>
          <w:color w:val="000000"/>
          <w:sz w:val="20"/>
          <w:szCs w:val="20"/>
        </w:rPr>
        <w:t xml:space="preserve">l primer simulador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se imparte dentro </w:t>
      </w:r>
      <w:r w:rsidRPr="0023256D">
        <w:rPr>
          <w:rFonts w:ascii="Roboto" w:eastAsia="Roboto" w:hAnsi="Roboto" w:cs="Roboto"/>
          <w:color w:val="000000"/>
          <w:sz w:val="20"/>
          <w:szCs w:val="20"/>
        </w:rPr>
        <w:t xml:space="preserve">del curso </w:t>
      </w:r>
      <w:bookmarkStart w:id="0" w:name="_Hlk216427078"/>
      <w:r w:rsidRPr="0023256D">
        <w:rPr>
          <w:rFonts w:ascii="Roboto" w:eastAsia="Roboto" w:hAnsi="Roboto" w:cs="Roboto"/>
          <w:iCs/>
          <w:color w:val="000000"/>
          <w:sz w:val="20"/>
          <w:szCs w:val="20"/>
        </w:rPr>
        <w:t>Matemáticas Básicas para Actuarios (Precálculo</w:t>
      </w:r>
      <w:bookmarkEnd w:id="0"/>
      <w:r w:rsidRPr="0023256D">
        <w:rPr>
          <w:rFonts w:ascii="Roboto" w:eastAsia="Roboto" w:hAnsi="Roboto" w:cs="Roboto"/>
          <w:iCs/>
          <w:color w:val="000000"/>
          <w:sz w:val="20"/>
          <w:szCs w:val="20"/>
        </w:rPr>
        <w:t>)</w:t>
      </w:r>
      <w:r w:rsidRPr="0023256D">
        <w:rPr>
          <w:rFonts w:ascii="Roboto" w:eastAsia="Roboto" w:hAnsi="Roboto" w:cs="Roboto"/>
          <w:color w:val="000000"/>
          <w:sz w:val="20"/>
          <w:szCs w:val="20"/>
        </w:rPr>
        <w:t xml:space="preserve">, un módulo obligatorio de 60 sesiones en UAMX y CUIW. </w:t>
      </w:r>
      <w:r>
        <w:rPr>
          <w:rFonts w:ascii="Roboto" w:eastAsia="Roboto" w:hAnsi="Roboto" w:cs="Roboto"/>
          <w:color w:val="000000"/>
          <w:sz w:val="20"/>
          <w:szCs w:val="20"/>
        </w:rPr>
        <w:t>L</w:t>
      </w:r>
      <w:r w:rsidRPr="0023256D">
        <w:rPr>
          <w:rFonts w:ascii="Roboto" w:eastAsia="Roboto" w:hAnsi="Roboto" w:cs="Roboto"/>
          <w:color w:val="000000"/>
          <w:sz w:val="20"/>
          <w:szCs w:val="20"/>
        </w:rPr>
        <w:t xml:space="preserve">os resultados de aprendizaje del curso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son: </w:t>
      </w:r>
      <w:r w:rsidRPr="0023256D">
        <w:rPr>
          <w:rFonts w:ascii="Roboto" w:eastAsia="Roboto" w:hAnsi="Roboto" w:cs="Roboto"/>
          <w:color w:val="000000"/>
          <w:sz w:val="20"/>
          <w:szCs w:val="20"/>
        </w:rPr>
        <w:t>fortalecer fundamentos de álgebra, aplicar trigonometría y resolver problemas algebraicos. El simulador se inserta en las sesiones prácticas del tema de logaritmos, lo que establece los indicadores temporales para su implementación.</w:t>
      </w:r>
    </w:p>
    <w:p w14:paraId="48ED4450" w14:textId="77777777" w:rsidR="0023256D" w:rsidRPr="0023256D" w:rsidRDefault="0023256D" w:rsidP="0023256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23256D">
        <w:rPr>
          <w:rFonts w:ascii="Roboto" w:eastAsia="Roboto" w:hAnsi="Roboto" w:cs="Roboto"/>
          <w:color w:val="000000"/>
          <w:sz w:val="20"/>
          <w:szCs w:val="20"/>
        </w:rPr>
        <w:t xml:space="preserve">El objetivo pedagógico del simulador es guiar a los estudiantes hacia la comprensión de las probabilidades de coincidencia mediante un enfoque constructivista. La pregunta central es: </w:t>
      </w:r>
      <w:r w:rsidRPr="0023256D">
        <w:rPr>
          <w:rFonts w:ascii="Roboto" w:eastAsia="Roboto" w:hAnsi="Roboto" w:cs="Roboto"/>
          <w:i/>
          <w:iCs/>
          <w:color w:val="000000"/>
          <w:sz w:val="20"/>
          <w:szCs w:val="20"/>
        </w:rPr>
        <w:t>¿Cuál es la probabilidad de obtener al menos un resultado repetido después de varios ensayos del mismo experimento?</w:t>
      </w:r>
      <w:r w:rsidRPr="0023256D">
        <w:rPr>
          <w:rFonts w:ascii="Roboto" w:eastAsia="Roboto" w:hAnsi="Roboto" w:cs="Roboto"/>
          <w:color w:val="000000"/>
          <w:sz w:val="20"/>
          <w:szCs w:val="20"/>
        </w:rPr>
        <w:t xml:space="preserve"> Las competencias desarrolladas incluyen comprender las reglas de multiplicación y complemento en probabilidad, generar y organizar datos computacionales y adaptar modelos recursivos a espacios con distinto número de resultados posibles.</w:t>
      </w:r>
    </w:p>
    <w:p w14:paraId="51627FF6" w14:textId="77777777" w:rsidR="0023256D" w:rsidRDefault="0023256D" w:rsidP="0023256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E</w:t>
      </w:r>
      <w:r w:rsidRPr="0023256D">
        <w:rPr>
          <w:rFonts w:ascii="Roboto" w:eastAsia="Roboto" w:hAnsi="Roboto" w:cs="Roboto"/>
          <w:color w:val="000000"/>
          <w:sz w:val="20"/>
          <w:szCs w:val="20"/>
        </w:rPr>
        <w:t>xamina</w:t>
      </w:r>
      <w:r>
        <w:rPr>
          <w:rFonts w:ascii="Roboto" w:eastAsia="Roboto" w:hAnsi="Roboto" w:cs="Roboto"/>
          <w:color w:val="000000"/>
          <w:sz w:val="20"/>
          <w:szCs w:val="20"/>
        </w:rPr>
        <w:t>remos</w:t>
      </w:r>
      <w:r w:rsidRPr="0023256D">
        <w:rPr>
          <w:rFonts w:ascii="Roboto" w:eastAsia="Roboto" w:hAnsi="Roboto" w:cs="Roboto"/>
          <w:color w:val="000000"/>
          <w:sz w:val="20"/>
          <w:szCs w:val="20"/>
        </w:rPr>
        <w:t xml:space="preserve"> casos simples de repeticiones mediante lanzamientos de dados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y </w:t>
      </w:r>
      <w:r w:rsidRPr="0023256D">
        <w:rPr>
          <w:rFonts w:ascii="Roboto" w:eastAsia="Roboto" w:hAnsi="Roboto" w:cs="Roboto"/>
          <w:color w:val="000000"/>
          <w:sz w:val="20"/>
          <w:szCs w:val="20"/>
        </w:rPr>
        <w:t>calcula</w:t>
      </w:r>
      <w:r>
        <w:rPr>
          <w:rFonts w:ascii="Roboto" w:eastAsia="Roboto" w:hAnsi="Roboto" w:cs="Roboto"/>
          <w:color w:val="000000"/>
          <w:sz w:val="20"/>
          <w:szCs w:val="20"/>
        </w:rPr>
        <w:t>remos</w:t>
      </w:r>
      <w:r w:rsidRPr="0023256D">
        <w:rPr>
          <w:rFonts w:ascii="Roboto" w:eastAsia="Roboto" w:hAnsi="Roboto" w:cs="Roboto"/>
          <w:color w:val="000000"/>
          <w:sz w:val="20"/>
          <w:szCs w:val="20"/>
        </w:rPr>
        <w:t xml:space="preserve"> la probabilidad de no observar repeticiones en k ensayos a través de productos recursivos, lo que muestra la rápida disminución de secuencias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de experimentos </w:t>
      </w:r>
      <w:r w:rsidRPr="0023256D">
        <w:rPr>
          <w:rFonts w:ascii="Roboto" w:eastAsia="Roboto" w:hAnsi="Roboto" w:cs="Roboto"/>
          <w:color w:val="000000"/>
          <w:sz w:val="20"/>
          <w:szCs w:val="20"/>
        </w:rPr>
        <w:t xml:space="preserve">sin colisiones. </w:t>
      </w:r>
      <w:r>
        <w:rPr>
          <w:rFonts w:ascii="Roboto" w:eastAsia="Roboto" w:hAnsi="Roboto" w:cs="Roboto"/>
          <w:color w:val="000000"/>
          <w:sz w:val="20"/>
          <w:szCs w:val="20"/>
        </w:rPr>
        <w:t>Asimismo,</w:t>
      </w:r>
      <w:r w:rsidRPr="0023256D">
        <w:rPr>
          <w:rFonts w:ascii="Roboto" w:eastAsia="Roboto" w:hAnsi="Roboto" w:cs="Roboto"/>
          <w:color w:val="000000"/>
          <w:sz w:val="20"/>
          <w:szCs w:val="20"/>
        </w:rPr>
        <w:t xml:space="preserve"> presenta</w:t>
      </w:r>
      <w:r>
        <w:rPr>
          <w:rFonts w:ascii="Roboto" w:eastAsia="Roboto" w:hAnsi="Roboto" w:cs="Roboto"/>
          <w:color w:val="000000"/>
          <w:sz w:val="20"/>
          <w:szCs w:val="20"/>
        </w:rPr>
        <w:t>remos</w:t>
      </w:r>
      <w:r w:rsidRPr="0023256D">
        <w:rPr>
          <w:rFonts w:ascii="Roboto" w:eastAsia="Roboto" w:hAnsi="Roboto" w:cs="Roboto"/>
          <w:color w:val="000000"/>
          <w:sz w:val="20"/>
          <w:szCs w:val="20"/>
        </w:rPr>
        <w:t xml:space="preserve"> una actividad grupal en hoja de cálculo usando una “rueda de la fortuna” de 12 secciones. </w:t>
      </w:r>
    </w:p>
    <w:p w14:paraId="4AD3E479" w14:textId="77777777" w:rsidR="005618FC" w:rsidRDefault="005618FC" w:rsidP="005618F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noProof/>
          <w:color w:val="000000"/>
          <w:sz w:val="20"/>
          <w:szCs w:val="20"/>
        </w:rPr>
        <w:drawing>
          <wp:inline distT="0" distB="0" distL="0" distR="0" wp14:anchorId="0EEA728C" wp14:editId="3230A08C">
            <wp:extent cx="1181100" cy="1106533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7198" cy="1130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F0C335" w14:textId="77777777" w:rsidR="005618FC" w:rsidRPr="0023256D" w:rsidRDefault="005618FC" w:rsidP="005618F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>Figura 1</w:t>
      </w:r>
      <w:r>
        <w:rPr>
          <w:rFonts w:ascii="Roboto" w:eastAsia="Roboto" w:hAnsi="Roboto" w:cs="Roboto"/>
          <w:sz w:val="20"/>
          <w:szCs w:val="20"/>
        </w:rPr>
        <w:t>. Una rueda de la fortuna con 12 secciones.</w:t>
      </w:r>
    </w:p>
    <w:p w14:paraId="587DAC82" w14:textId="77777777" w:rsidR="005618FC" w:rsidRDefault="005618FC" w:rsidP="005618F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23256D">
        <w:rPr>
          <w:rFonts w:ascii="Roboto" w:eastAsia="Roboto" w:hAnsi="Roboto" w:cs="Roboto"/>
          <w:color w:val="000000"/>
          <w:sz w:val="20"/>
          <w:szCs w:val="20"/>
        </w:rPr>
        <w:t>Los estudiantes calculan recursivamente las probabilidades de repetición y no repetición, arrastran fórmulas para generar tablas completas e identifican los umbrales donde las colisiones se vuelven probables o ciertas. Luego amplían el modelo a n = 365 para reproducir el clásico problema de los cumpleaños, observando que la probabilidad de coincidencia supera 50% con 23 individuos y 99% con 57.</w:t>
      </w:r>
      <w:r w:rsidR="00A03261" w:rsidRPr="00A03261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A03261">
        <w:rPr>
          <w:rFonts w:ascii="Roboto" w:eastAsia="Roboto" w:hAnsi="Roboto" w:cs="Roboto"/>
          <w:color w:val="000000"/>
          <w:sz w:val="20"/>
          <w:szCs w:val="20"/>
        </w:rPr>
        <w:t xml:space="preserve">Esta actividad es </w:t>
      </w:r>
      <w:r w:rsidR="00A03261">
        <w:rPr>
          <w:rFonts w:ascii="Roboto" w:eastAsia="Roboto" w:hAnsi="Roboto" w:cs="Roboto"/>
          <w:color w:val="000000"/>
          <w:sz w:val="20"/>
          <w:szCs w:val="20"/>
        </w:rPr>
        <w:lastRenderedPageBreak/>
        <w:t xml:space="preserve">una actualización de las presentadas en, por ejemplo </w:t>
      </w:r>
      <w:sdt>
        <w:sdtPr>
          <w:rPr>
            <w:rFonts w:ascii="Roboto" w:eastAsia="Roboto" w:hAnsi="Roboto" w:cs="Roboto"/>
            <w:color w:val="000000"/>
            <w:sz w:val="20"/>
            <w:szCs w:val="20"/>
          </w:rPr>
          <w:id w:val="-222691824"/>
          <w:citation/>
        </w:sdtPr>
        <w:sdtContent>
          <w:r w:rsidR="00A03261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begin"/>
          </w:r>
          <w:r w:rsidR="00A03261">
            <w:rPr>
              <w:rFonts w:eastAsia="Roboto" w:cs="Roboto"/>
              <w:color w:val="000000"/>
              <w:sz w:val="20"/>
              <w:szCs w:val="20"/>
            </w:rPr>
            <w:instrText xml:space="preserve"> CITATION Kos13 \l 2058 </w:instrText>
          </w:r>
          <w:r w:rsidR="00A03261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separate"/>
          </w:r>
          <w:r w:rsidR="00E24403" w:rsidRPr="00E24403">
            <w:rPr>
              <w:rFonts w:eastAsia="Roboto" w:cs="Roboto"/>
              <w:noProof/>
              <w:color w:val="000000"/>
              <w:sz w:val="20"/>
              <w:szCs w:val="20"/>
            </w:rPr>
            <w:t>(Kostadinov, 2013)</w:t>
          </w:r>
          <w:r w:rsidR="00A03261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end"/>
          </w:r>
        </w:sdtContent>
      </w:sdt>
      <w:r w:rsidR="00A03261">
        <w:rPr>
          <w:rFonts w:ascii="Roboto" w:eastAsia="Roboto" w:hAnsi="Roboto" w:cs="Roboto"/>
          <w:color w:val="000000"/>
          <w:sz w:val="20"/>
          <w:szCs w:val="20"/>
        </w:rPr>
        <w:t xml:space="preserve"> y </w:t>
      </w:r>
      <w:sdt>
        <w:sdtPr>
          <w:rPr>
            <w:rFonts w:ascii="Roboto" w:eastAsia="Roboto" w:hAnsi="Roboto" w:cs="Roboto"/>
            <w:color w:val="000000"/>
            <w:sz w:val="20"/>
            <w:szCs w:val="20"/>
          </w:rPr>
          <w:id w:val="645094420"/>
          <w:citation/>
        </w:sdtPr>
        <w:sdtContent>
          <w:r w:rsidR="00A03261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begin"/>
          </w:r>
          <w:r w:rsidR="00A03261">
            <w:rPr>
              <w:rFonts w:eastAsia="Roboto" w:cs="Roboto"/>
              <w:color w:val="000000"/>
              <w:sz w:val="20"/>
              <w:szCs w:val="20"/>
            </w:rPr>
            <w:instrText xml:space="preserve"> CITATION Lóp23 \l 2058 </w:instrText>
          </w:r>
          <w:r w:rsidR="00A03261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separate"/>
          </w:r>
          <w:r w:rsidR="00E24403" w:rsidRPr="00E24403">
            <w:rPr>
              <w:rFonts w:eastAsia="Roboto" w:cs="Roboto"/>
              <w:noProof/>
              <w:color w:val="000000"/>
              <w:sz w:val="20"/>
              <w:szCs w:val="20"/>
            </w:rPr>
            <w:t>(López-Barrientos, Silva, &amp; Lemus-Rodríguez, 2023)</w:t>
          </w:r>
          <w:r w:rsidR="00A03261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end"/>
          </w:r>
        </w:sdtContent>
      </w:sdt>
      <w:r w:rsidR="00A03261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</w:p>
    <w:p w14:paraId="684FD26A" w14:textId="77777777" w:rsidR="0023256D" w:rsidRPr="0023256D" w:rsidRDefault="00CE2CA3" w:rsidP="0023256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El documento completo que compartimos con los alumnos</w:t>
      </w:r>
      <w:r w:rsidR="008F474D">
        <w:rPr>
          <w:rFonts w:ascii="Roboto" w:eastAsia="Roboto" w:hAnsi="Roboto" w:cs="Roboto"/>
          <w:color w:val="000000"/>
          <w:sz w:val="20"/>
          <w:szCs w:val="20"/>
        </w:rPr>
        <w:t xml:space="preserve"> (en su versión respondida) puede verse </w:t>
      </w:r>
      <w:hyperlink r:id="rId14" w:history="1">
        <w:r w:rsidR="008F474D" w:rsidRPr="008F474D">
          <w:rPr>
            <w:rStyle w:val="Hipervnculo"/>
            <w:rFonts w:ascii="Roboto" w:eastAsia="Roboto" w:hAnsi="Roboto" w:cs="Roboto"/>
            <w:sz w:val="20"/>
            <w:szCs w:val="20"/>
          </w:rPr>
          <w:t>aquí</w:t>
        </w:r>
      </w:hyperlink>
      <w:r w:rsidR="008F474D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59480885" w14:textId="77777777" w:rsidR="008F474D" w:rsidRDefault="008F474D" w:rsidP="005618F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 w:rsidRPr="008F474D">
        <w:rPr>
          <w:rFonts w:ascii="Roboto" w:eastAsia="Roboto" w:hAnsi="Roboto" w:cs="Roboto"/>
          <w:b/>
          <w:color w:val="000000"/>
          <w:sz w:val="20"/>
          <w:szCs w:val="20"/>
        </w:rPr>
        <w:t>Segundo simulador: “La regla del trape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c</w:t>
      </w:r>
      <w:r w:rsidRPr="008F474D">
        <w:rPr>
          <w:rFonts w:ascii="Roboto" w:eastAsia="Roboto" w:hAnsi="Roboto" w:cs="Roboto"/>
          <w:b/>
          <w:color w:val="000000"/>
          <w:sz w:val="20"/>
          <w:szCs w:val="20"/>
        </w:rPr>
        <w:t>i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o”</w:t>
      </w:r>
    </w:p>
    <w:p w14:paraId="3B7BB241" w14:textId="77777777" w:rsidR="005618FC" w:rsidRPr="005618FC" w:rsidRDefault="005618FC" w:rsidP="005618F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E</w:t>
      </w:r>
      <w:r w:rsidRPr="005618FC">
        <w:rPr>
          <w:rFonts w:ascii="Roboto" w:eastAsia="Roboto" w:hAnsi="Roboto" w:cs="Roboto"/>
          <w:color w:val="000000"/>
          <w:sz w:val="20"/>
          <w:szCs w:val="20"/>
        </w:rPr>
        <w:t xml:space="preserve">l segundo simulador </w:t>
      </w:r>
      <w:r w:rsidR="00D5632F">
        <w:rPr>
          <w:rFonts w:ascii="Roboto" w:eastAsia="Roboto" w:hAnsi="Roboto" w:cs="Roboto"/>
          <w:color w:val="000000"/>
          <w:sz w:val="20"/>
          <w:szCs w:val="20"/>
        </w:rPr>
        <w:t xml:space="preserve">se asemeja al presentado por </w:t>
      </w:r>
      <w:sdt>
        <w:sdtPr>
          <w:rPr>
            <w:rFonts w:ascii="Roboto" w:eastAsia="Roboto" w:hAnsi="Roboto" w:cs="Roboto"/>
            <w:color w:val="000000"/>
            <w:sz w:val="20"/>
            <w:szCs w:val="20"/>
          </w:rPr>
          <w:id w:val="2067995358"/>
          <w:citation/>
        </w:sdtPr>
        <w:sdtContent>
          <w:r w:rsidR="00D5632F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begin"/>
          </w:r>
          <w:r w:rsidR="00D5632F">
            <w:rPr>
              <w:rFonts w:eastAsia="Roboto" w:cs="Roboto"/>
              <w:color w:val="000000"/>
              <w:sz w:val="20"/>
              <w:szCs w:val="20"/>
            </w:rPr>
            <w:instrText xml:space="preserve"> CITATION Gla20 \l 2058 </w:instrText>
          </w:r>
          <w:r w:rsidR="00D5632F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separate"/>
          </w:r>
          <w:r w:rsidR="00E24403" w:rsidRPr="00E24403">
            <w:rPr>
              <w:rFonts w:eastAsia="Roboto" w:cs="Roboto"/>
              <w:noProof/>
              <w:color w:val="000000"/>
              <w:sz w:val="20"/>
              <w:szCs w:val="20"/>
            </w:rPr>
            <w:t>(Glassmeyer, Smith, &amp; Gardner, 2020)</w:t>
          </w:r>
          <w:r w:rsidR="00D5632F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end"/>
          </w:r>
        </w:sdtContent>
      </w:sdt>
      <w:r w:rsidR="00D5632F">
        <w:rPr>
          <w:rFonts w:ascii="Roboto" w:eastAsia="Roboto" w:hAnsi="Roboto" w:cs="Roboto"/>
          <w:color w:val="000000"/>
          <w:sz w:val="20"/>
          <w:szCs w:val="20"/>
        </w:rPr>
        <w:t xml:space="preserve"> y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se sitúa </w:t>
      </w:r>
      <w:r w:rsidRPr="005618FC">
        <w:rPr>
          <w:rFonts w:ascii="Roboto" w:eastAsia="Roboto" w:hAnsi="Roboto" w:cs="Roboto"/>
          <w:color w:val="000000"/>
          <w:sz w:val="20"/>
          <w:szCs w:val="20"/>
        </w:rPr>
        <w:t xml:space="preserve">dentro del curso de </w:t>
      </w:r>
      <w:r w:rsidRPr="005618FC">
        <w:rPr>
          <w:rFonts w:ascii="Roboto" w:eastAsia="Roboto" w:hAnsi="Roboto" w:cs="Roboto"/>
          <w:iCs/>
          <w:color w:val="000000"/>
          <w:sz w:val="20"/>
          <w:szCs w:val="20"/>
        </w:rPr>
        <w:t>Cálculo Integral</w:t>
      </w:r>
      <w:r w:rsidRPr="005618FC">
        <w:rPr>
          <w:rFonts w:ascii="Roboto" w:eastAsia="Roboto" w:hAnsi="Roboto" w:cs="Roboto"/>
          <w:color w:val="000000"/>
          <w:sz w:val="20"/>
          <w:szCs w:val="20"/>
        </w:rPr>
        <w:t>, impartido en el segundo semestre en las tres universidades. Los estudiantes cursan simultáneamente Álgebra Lineal, Macroeconomía, Seguros de Vida, Lenguajes de Programación, Teoría del Interés y Administración. El simulador se apoya en la madurez conceptual adquirida previamente en Geometría Analítica y Razonamiento Matemático.</w:t>
      </w:r>
    </w:p>
    <w:p w14:paraId="13723C96" w14:textId="77777777" w:rsidR="005618FC" w:rsidRPr="005618FC" w:rsidRDefault="005618FC" w:rsidP="005618F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5618FC">
        <w:rPr>
          <w:rFonts w:ascii="Roboto" w:eastAsia="Roboto" w:hAnsi="Roboto" w:cs="Roboto"/>
          <w:color w:val="000000"/>
          <w:sz w:val="20"/>
          <w:szCs w:val="20"/>
        </w:rPr>
        <w:t xml:space="preserve">El propósito principal del simulador es introducir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con </w:t>
      </w:r>
      <w:r w:rsidRPr="005618FC">
        <w:rPr>
          <w:rFonts w:ascii="Roboto" w:eastAsia="Roboto" w:hAnsi="Roboto" w:cs="Roboto"/>
          <w:color w:val="000000"/>
          <w:sz w:val="20"/>
          <w:szCs w:val="20"/>
        </w:rPr>
        <w:t>rig</w:t>
      </w:r>
      <w:r>
        <w:rPr>
          <w:rFonts w:ascii="Roboto" w:eastAsia="Roboto" w:hAnsi="Roboto" w:cs="Roboto"/>
          <w:color w:val="000000"/>
          <w:sz w:val="20"/>
          <w:szCs w:val="20"/>
        </w:rPr>
        <w:t>or</w:t>
      </w:r>
      <w:r w:rsidRPr="005618FC">
        <w:rPr>
          <w:rFonts w:ascii="Roboto" w:eastAsia="Roboto" w:hAnsi="Roboto" w:cs="Roboto"/>
          <w:color w:val="000000"/>
          <w:sz w:val="20"/>
          <w:szCs w:val="20"/>
        </w:rPr>
        <w:t xml:space="preserve"> el logaritmo natural mediante su definición integral: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m:oMath>
        <m:func>
          <m:funcPr>
            <m:ctrlPr>
              <w:rPr>
                <w:rFonts w:ascii="Cambria Math" w:eastAsia="Roboto" w:hAnsi="Cambria Math" w:cs="Roboto"/>
                <w:i/>
                <w:color w:val="000000"/>
                <w:sz w:val="20"/>
                <w:szCs w:val="20"/>
              </w:rPr>
            </m:ctrlPr>
          </m:funcPr>
          <m:fName>
            <m:r>
              <m:rPr>
                <m:sty m:val="p"/>
              </m:rPr>
              <w:rPr>
                <w:rFonts w:ascii="Cambria Math" w:eastAsia="Roboto" w:hAnsi="Cambria Math" w:cs="Roboto"/>
                <w:color w:val="000000"/>
                <w:sz w:val="20"/>
                <w:szCs w:val="20"/>
              </w:rPr>
              <m:t>ln</m:t>
            </m:r>
          </m:fName>
          <m:e>
            <m:r>
              <w:rPr>
                <w:rFonts w:ascii="Cambria Math" w:eastAsia="Roboto" w:hAnsi="Cambria Math" w:cs="Roboto"/>
                <w:color w:val="000000"/>
                <w:sz w:val="20"/>
                <w:szCs w:val="20"/>
              </w:rPr>
              <m:t>x</m:t>
            </m:r>
          </m:e>
        </m:func>
        <m:r>
          <w:rPr>
            <w:rFonts w:ascii="Cambria Math" w:eastAsia="Roboto" w:hAnsi="Cambria Math" w:cs="Roboto"/>
            <w:color w:val="000000"/>
            <w:sz w:val="20"/>
            <w:szCs w:val="20"/>
          </w:rPr>
          <m:t>=</m:t>
        </m:r>
        <m:nary>
          <m:naryPr>
            <m:limLoc m:val="subSup"/>
            <m:ctrlPr>
              <w:rPr>
                <w:rFonts w:ascii="Cambria Math" w:eastAsia="Roboto" w:hAnsi="Cambria Math" w:cs="Roboto"/>
                <w:i/>
                <w:color w:val="000000"/>
                <w:sz w:val="20"/>
                <w:szCs w:val="20"/>
              </w:rPr>
            </m:ctrlPr>
          </m:naryPr>
          <m:sub>
            <m:r>
              <w:rPr>
                <w:rFonts w:ascii="Cambria Math" w:eastAsia="Roboto" w:hAnsi="Cambria Math" w:cs="Roboto"/>
                <w:color w:val="000000"/>
                <w:sz w:val="20"/>
                <w:szCs w:val="20"/>
              </w:rPr>
              <m:t>1</m:t>
            </m:r>
          </m:sub>
          <m:sup>
            <m:r>
              <w:rPr>
                <w:rFonts w:ascii="Cambria Math" w:eastAsia="Roboto" w:hAnsi="Cambria Math" w:cs="Roboto"/>
                <w:color w:val="000000"/>
                <w:sz w:val="20"/>
                <w:szCs w:val="20"/>
              </w:rPr>
              <m:t>x</m:t>
            </m:r>
          </m:sup>
          <m:e>
            <m:f>
              <m:fPr>
                <m:ctrlPr>
                  <w:rPr>
                    <w:rFonts w:ascii="Cambria Math" w:eastAsia="Roboto" w:hAnsi="Cambria Math" w:cs="Roboto"/>
                    <w:i/>
                    <w:color w:val="000000"/>
                    <w:sz w:val="20"/>
                    <w:szCs w:val="20"/>
                  </w:rPr>
                </m:ctrlPr>
              </m:fPr>
              <m:num>
                <m:r>
                  <w:rPr>
                    <w:rFonts w:ascii="Cambria Math" w:eastAsia="Roboto" w:hAnsi="Cambria Math" w:cs="Roboto"/>
                    <w:color w:val="000000"/>
                    <w:sz w:val="20"/>
                    <w:szCs w:val="20"/>
                  </w:rPr>
                  <m:t>1</m:t>
                </m:r>
              </m:num>
              <m:den>
                <m:r>
                  <w:rPr>
                    <w:rFonts w:ascii="Cambria Math" w:eastAsia="Roboto" w:hAnsi="Cambria Math" w:cs="Roboto"/>
                    <w:color w:val="000000"/>
                    <w:sz w:val="20"/>
                    <w:szCs w:val="20"/>
                  </w:rPr>
                  <m:t>t</m:t>
                </m:r>
              </m:den>
            </m:f>
            <m:r>
              <w:rPr>
                <w:rFonts w:ascii="Cambria Math" w:eastAsia="Roboto" w:hAnsi="Cambria Math" w:cs="Roboto"/>
                <w:color w:val="000000"/>
                <w:sz w:val="20"/>
                <w:szCs w:val="20"/>
              </w:rPr>
              <m:t>dt</m:t>
            </m:r>
          </m:e>
        </m:nary>
      </m:oMath>
      <w:r w:rsidRPr="005618FC">
        <w:rPr>
          <w:rFonts w:ascii="Roboto" w:eastAsia="Roboto" w:hAnsi="Roboto" w:cs="Roboto"/>
          <w:color w:val="000000"/>
          <w:sz w:val="20"/>
          <w:szCs w:val="20"/>
        </w:rPr>
        <w:t>,</w:t>
      </w:r>
      <w:r w:rsidR="00605770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5618FC">
        <w:rPr>
          <w:rFonts w:ascii="Roboto" w:eastAsia="Roboto" w:hAnsi="Roboto" w:cs="Roboto"/>
          <w:color w:val="000000"/>
          <w:sz w:val="20"/>
          <w:szCs w:val="20"/>
        </w:rPr>
        <w:t xml:space="preserve">y mostrar cómo este enfoque permitió históricamente realizar cálculos enormes antes de la llegada de las calculadoras modernas. </w:t>
      </w:r>
      <w:r w:rsidR="00605770">
        <w:rPr>
          <w:rFonts w:ascii="Roboto" w:eastAsia="Roboto" w:hAnsi="Roboto" w:cs="Roboto"/>
          <w:color w:val="000000"/>
          <w:sz w:val="20"/>
          <w:szCs w:val="20"/>
        </w:rPr>
        <w:t>En efecto</w:t>
      </w:r>
      <w:r w:rsidRPr="005618FC">
        <w:rPr>
          <w:rFonts w:ascii="Roboto" w:eastAsia="Roboto" w:hAnsi="Roboto" w:cs="Roboto"/>
          <w:color w:val="000000"/>
          <w:sz w:val="20"/>
          <w:szCs w:val="20"/>
        </w:rPr>
        <w:t>, hace un siglo, los productos extensos eran difíciles de calcular, lo que motivó la creación y utilidad pedagógica de los logaritmos.</w:t>
      </w:r>
    </w:p>
    <w:p w14:paraId="208AF939" w14:textId="77777777" w:rsidR="005618FC" w:rsidRDefault="00605770" w:rsidP="005618F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E</w:t>
      </w:r>
      <w:r w:rsidR="005618FC" w:rsidRPr="005618FC">
        <w:rPr>
          <w:rFonts w:ascii="Roboto" w:eastAsia="Roboto" w:hAnsi="Roboto" w:cs="Roboto"/>
          <w:color w:val="000000"/>
          <w:sz w:val="20"/>
          <w:szCs w:val="20"/>
        </w:rPr>
        <w:t>l primer componente del simulador: aproximar áreas bajo la curva y = 1/x usando trapezoides. Los estudiantes comparan particiones gruesas y refinadas para observar la disminución del error, comprendiendo cómo surgen las integrales como límites de procesos de aproximación y por qué la regla del trapecio mejora al reducir el tamaño de los intervalos.</w:t>
      </w:r>
    </w:p>
    <w:p w14:paraId="0E87B210" w14:textId="77777777" w:rsidR="00605770" w:rsidRDefault="00605770" w:rsidP="0060577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noProof/>
          <w:color w:val="000000"/>
          <w:sz w:val="20"/>
          <w:szCs w:val="20"/>
        </w:rPr>
        <w:drawing>
          <wp:inline distT="0" distB="0" distL="0" distR="0" wp14:anchorId="518C9FB9" wp14:editId="66E0AD07">
            <wp:extent cx="1300245" cy="1065132"/>
            <wp:effectExtent l="0" t="0" r="0" b="190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8941" cy="10804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C6C5B1" w14:textId="77777777" w:rsidR="00A03261" w:rsidRPr="005618FC" w:rsidRDefault="00A03261" w:rsidP="0060577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>Figura 2</w:t>
      </w:r>
      <w:r>
        <w:rPr>
          <w:rFonts w:ascii="Roboto" w:eastAsia="Roboto" w:hAnsi="Roboto" w:cs="Roboto"/>
          <w:sz w:val="20"/>
          <w:szCs w:val="20"/>
        </w:rPr>
        <w:t>. Áreas debajo de la curva y=1/x.</w:t>
      </w:r>
    </w:p>
    <w:p w14:paraId="129ABB6B" w14:textId="77777777" w:rsidR="005618FC" w:rsidRPr="005618FC" w:rsidRDefault="00A03261" w:rsidP="005618F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L</w:t>
      </w:r>
      <w:r w:rsidR="005618FC" w:rsidRPr="005618FC">
        <w:rPr>
          <w:rFonts w:ascii="Roboto" w:eastAsia="Roboto" w:hAnsi="Roboto" w:cs="Roboto"/>
          <w:color w:val="000000"/>
          <w:sz w:val="20"/>
          <w:szCs w:val="20"/>
        </w:rPr>
        <w:t>a idea matemática clave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es que</w:t>
      </w:r>
      <w:r w:rsidR="005618FC" w:rsidRPr="005618FC">
        <w:rPr>
          <w:rFonts w:ascii="Roboto" w:eastAsia="Roboto" w:hAnsi="Roboto" w:cs="Roboto"/>
          <w:color w:val="000000"/>
          <w:sz w:val="20"/>
          <w:szCs w:val="20"/>
        </w:rPr>
        <w:t xml:space="preserve"> el área bajo </w:t>
      </w:r>
      <w:r>
        <w:rPr>
          <w:rFonts w:ascii="Roboto" w:eastAsia="Roboto" w:hAnsi="Roboto" w:cs="Roboto"/>
          <w:color w:val="000000"/>
          <w:sz w:val="20"/>
          <w:szCs w:val="20"/>
        </w:rPr>
        <w:t>y=</w:t>
      </w:r>
      <w:r w:rsidR="005618FC" w:rsidRPr="005618FC">
        <w:rPr>
          <w:rFonts w:ascii="Roboto" w:eastAsia="Roboto" w:hAnsi="Roboto" w:cs="Roboto"/>
          <w:color w:val="000000"/>
          <w:sz w:val="20"/>
          <w:szCs w:val="20"/>
        </w:rPr>
        <w:t>1/x se conserva bajo traslaciones horizontales. Analizando las coordenadas de los trapezoides antes y después de la traslación, los estudiantes derivan la identidad logarítmica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m:oMath>
        <m:r>
          <w:rPr>
            <w:rFonts w:ascii="Cambria Math" w:eastAsia="Roboto" w:hAnsi="Cambria Math" w:cs="Roboto"/>
            <w:color w:val="000000"/>
            <w:sz w:val="20"/>
            <w:szCs w:val="20"/>
          </w:rPr>
          <m:t>ln(xy) = ln(x) + ln(y)</m:t>
        </m:r>
      </m:oMath>
      <w:r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5618FC" w:rsidRPr="005618FC">
        <w:rPr>
          <w:rFonts w:ascii="Roboto" w:eastAsia="Roboto" w:hAnsi="Roboto" w:cs="Roboto"/>
          <w:color w:val="000000"/>
          <w:sz w:val="20"/>
          <w:szCs w:val="20"/>
        </w:rPr>
        <w:t>Esta construcción proporciona una justificación geométrica e intuitiva de la aditividad de los logaritmos.</w:t>
      </w:r>
    </w:p>
    <w:p w14:paraId="5514C07A" w14:textId="7FDE4B6F" w:rsidR="005618FC" w:rsidRPr="005618FC" w:rsidRDefault="005618FC" w:rsidP="005618F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5618FC">
        <w:rPr>
          <w:rFonts w:ascii="Roboto" w:eastAsia="Roboto" w:hAnsi="Roboto" w:cs="Roboto"/>
          <w:color w:val="000000"/>
          <w:sz w:val="20"/>
          <w:szCs w:val="20"/>
        </w:rPr>
        <w:t>La actividad grupal</w:t>
      </w:r>
      <w:r w:rsidR="00A03261">
        <w:rPr>
          <w:rFonts w:ascii="Roboto" w:eastAsia="Roboto" w:hAnsi="Roboto" w:cs="Roboto"/>
          <w:color w:val="000000"/>
          <w:sz w:val="20"/>
          <w:szCs w:val="20"/>
        </w:rPr>
        <w:t xml:space="preserve"> propuesta consiste en</w:t>
      </w:r>
      <w:r w:rsidRPr="005618FC">
        <w:rPr>
          <w:rFonts w:ascii="Roboto" w:eastAsia="Roboto" w:hAnsi="Roboto" w:cs="Roboto"/>
          <w:color w:val="000000"/>
          <w:sz w:val="20"/>
          <w:szCs w:val="20"/>
        </w:rPr>
        <w:t xml:space="preserve"> usar una </w:t>
      </w:r>
      <w:r w:rsidR="006E00BE">
        <w:rPr>
          <w:rFonts w:ascii="Roboto" w:eastAsia="Roboto" w:hAnsi="Roboto" w:cs="Roboto"/>
          <w:color w:val="000000"/>
          <w:sz w:val="20"/>
          <w:szCs w:val="20"/>
        </w:rPr>
        <w:t xml:space="preserve">tecnología de la información aplicada a la enseñanza </w:t>
      </w:r>
      <w:r w:rsidRPr="005618FC">
        <w:rPr>
          <w:rFonts w:ascii="Roboto" w:eastAsia="Roboto" w:hAnsi="Roboto" w:cs="Roboto"/>
          <w:color w:val="000000"/>
          <w:sz w:val="20"/>
          <w:szCs w:val="20"/>
        </w:rPr>
        <w:t xml:space="preserve">para </w:t>
      </w:r>
      <w:r w:rsidR="00A03261">
        <w:rPr>
          <w:rFonts w:ascii="Roboto" w:eastAsia="Roboto" w:hAnsi="Roboto" w:cs="Roboto"/>
          <w:color w:val="000000"/>
          <w:sz w:val="20"/>
          <w:szCs w:val="20"/>
        </w:rPr>
        <w:t xml:space="preserve">calcular el logaritmo de 100! </w:t>
      </w:r>
      <w:r w:rsidRPr="005618FC">
        <w:rPr>
          <w:rFonts w:ascii="Roboto" w:eastAsia="Roboto" w:hAnsi="Roboto" w:cs="Roboto"/>
          <w:color w:val="000000"/>
          <w:sz w:val="20"/>
          <w:szCs w:val="20"/>
        </w:rPr>
        <w:t>sumando lnk</w:t>
      </w:r>
      <w:r w:rsidR="00E24403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5618FC">
        <w:rPr>
          <w:rFonts w:ascii="Roboto" w:eastAsia="Roboto" w:hAnsi="Roboto" w:cs="Roboto"/>
          <w:color w:val="000000"/>
          <w:sz w:val="20"/>
          <w:szCs w:val="20"/>
        </w:rPr>
        <w:t>para k = 1,</w:t>
      </w:r>
      <w:r w:rsidR="00A03261">
        <w:rPr>
          <w:rFonts w:ascii="Roboto" w:eastAsia="Roboto" w:hAnsi="Roboto" w:cs="Roboto"/>
          <w:color w:val="000000"/>
          <w:sz w:val="20"/>
          <w:szCs w:val="20"/>
        </w:rPr>
        <w:t>…</w:t>
      </w:r>
      <w:r w:rsidRPr="005618FC">
        <w:rPr>
          <w:rFonts w:ascii="Roboto" w:eastAsia="Roboto" w:hAnsi="Roboto" w:cs="Roboto"/>
          <w:color w:val="000000"/>
          <w:sz w:val="20"/>
          <w:szCs w:val="20"/>
        </w:rPr>
        <w:t xml:space="preserve">,100. Esto demuestra cómo los logaritmos simplifican productos grandes y reproduce el espíritu de las antiguas tablas logarítmicas. El resultado </w:t>
      </w:r>
      <w:r w:rsidR="00A03261">
        <w:rPr>
          <w:rFonts w:ascii="Roboto" w:eastAsia="Roboto" w:hAnsi="Roboto" w:cs="Roboto"/>
          <w:color w:val="000000"/>
          <w:sz w:val="20"/>
          <w:szCs w:val="20"/>
        </w:rPr>
        <w:t xml:space="preserve">se </w:t>
      </w:r>
      <w:r w:rsidRPr="005618FC">
        <w:rPr>
          <w:rFonts w:ascii="Roboto" w:eastAsia="Roboto" w:hAnsi="Roboto" w:cs="Roboto"/>
          <w:color w:val="000000"/>
          <w:sz w:val="20"/>
          <w:szCs w:val="20"/>
        </w:rPr>
        <w:t>aproxima</w:t>
      </w:r>
      <w:r w:rsidR="00A03261">
        <w:rPr>
          <w:rFonts w:ascii="Roboto" w:eastAsia="Roboto" w:hAnsi="Roboto" w:cs="Roboto"/>
          <w:color w:val="000000"/>
          <w:sz w:val="20"/>
          <w:szCs w:val="20"/>
        </w:rPr>
        <w:t xml:space="preserve"> a </w:t>
      </w:r>
      <w:r w:rsidRPr="005618FC">
        <w:rPr>
          <w:rFonts w:ascii="Roboto" w:eastAsia="Roboto" w:hAnsi="Roboto" w:cs="Roboto"/>
          <w:color w:val="000000"/>
          <w:sz w:val="20"/>
          <w:szCs w:val="20"/>
        </w:rPr>
        <w:t>363.739.</w:t>
      </w:r>
    </w:p>
    <w:p w14:paraId="1828E289" w14:textId="77777777" w:rsidR="005618FC" w:rsidRPr="005618FC" w:rsidRDefault="00A03261" w:rsidP="005618F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Al igu</w:t>
      </w:r>
      <w:r w:rsidR="005618FC" w:rsidRPr="005618FC">
        <w:rPr>
          <w:rFonts w:ascii="Roboto" w:eastAsia="Roboto" w:hAnsi="Roboto" w:cs="Roboto"/>
          <w:color w:val="000000"/>
          <w:sz w:val="20"/>
          <w:szCs w:val="20"/>
        </w:rPr>
        <w:t>a</w:t>
      </w:r>
      <w:r>
        <w:rPr>
          <w:rFonts w:ascii="Roboto" w:eastAsia="Roboto" w:hAnsi="Roboto" w:cs="Roboto"/>
          <w:color w:val="000000"/>
          <w:sz w:val="20"/>
          <w:szCs w:val="20"/>
        </w:rPr>
        <w:t>l</w:t>
      </w:r>
      <w:r w:rsidR="005618FC" w:rsidRPr="005618FC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>
        <w:rPr>
          <w:rFonts w:ascii="Roboto" w:eastAsia="Roboto" w:hAnsi="Roboto" w:cs="Roboto"/>
          <w:color w:val="000000"/>
          <w:sz w:val="20"/>
          <w:szCs w:val="20"/>
        </w:rPr>
        <w:t>que previamente,</w:t>
      </w:r>
      <w:r w:rsidR="005618FC" w:rsidRPr="005618FC">
        <w:rPr>
          <w:rFonts w:ascii="Roboto" w:eastAsia="Roboto" w:hAnsi="Roboto" w:cs="Roboto"/>
          <w:color w:val="000000"/>
          <w:sz w:val="20"/>
          <w:szCs w:val="20"/>
        </w:rPr>
        <w:t xml:space="preserve"> ofrec</w:t>
      </w:r>
      <w:r>
        <w:rPr>
          <w:rFonts w:ascii="Roboto" w:eastAsia="Roboto" w:hAnsi="Roboto" w:cs="Roboto"/>
          <w:color w:val="000000"/>
          <w:sz w:val="20"/>
          <w:szCs w:val="20"/>
        </w:rPr>
        <w:t>emos</w:t>
      </w:r>
      <w:r w:rsidR="005618FC" w:rsidRPr="005618FC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8F474D">
        <w:rPr>
          <w:rFonts w:ascii="Roboto" w:eastAsia="Roboto" w:hAnsi="Roboto" w:cs="Roboto"/>
          <w:color w:val="000000"/>
          <w:sz w:val="20"/>
          <w:szCs w:val="20"/>
        </w:rPr>
        <w:t xml:space="preserve">el </w:t>
      </w:r>
      <w:hyperlink r:id="rId16" w:history="1">
        <w:r w:rsidR="008F474D" w:rsidRPr="008F474D">
          <w:rPr>
            <w:rStyle w:val="Hipervnculo"/>
            <w:rFonts w:ascii="Roboto" w:eastAsia="Roboto" w:hAnsi="Roboto" w:cs="Roboto"/>
            <w:sz w:val="20"/>
            <w:szCs w:val="20"/>
          </w:rPr>
          <w:t>texto</w:t>
        </w:r>
      </w:hyperlink>
      <w:r w:rsidR="008F474D">
        <w:rPr>
          <w:rFonts w:ascii="Roboto" w:eastAsia="Roboto" w:hAnsi="Roboto" w:cs="Roboto"/>
          <w:color w:val="000000"/>
          <w:sz w:val="20"/>
          <w:szCs w:val="20"/>
        </w:rPr>
        <w:t xml:space="preserve"> (resuelto) q</w:t>
      </w:r>
      <w:r w:rsidR="005618FC" w:rsidRPr="005618FC">
        <w:rPr>
          <w:rFonts w:ascii="Roboto" w:eastAsia="Roboto" w:hAnsi="Roboto" w:cs="Roboto"/>
          <w:color w:val="000000"/>
          <w:sz w:val="20"/>
          <w:szCs w:val="20"/>
        </w:rPr>
        <w:t>u</w:t>
      </w:r>
      <w:r w:rsidR="008F474D">
        <w:rPr>
          <w:rFonts w:ascii="Roboto" w:eastAsia="Roboto" w:hAnsi="Roboto" w:cs="Roboto"/>
          <w:color w:val="000000"/>
          <w:sz w:val="20"/>
          <w:szCs w:val="20"/>
        </w:rPr>
        <w:t>e compartimos co</w:t>
      </w:r>
      <w:r w:rsidR="005618FC" w:rsidRPr="005618FC">
        <w:rPr>
          <w:rFonts w:ascii="Roboto" w:eastAsia="Roboto" w:hAnsi="Roboto" w:cs="Roboto"/>
          <w:color w:val="000000"/>
          <w:sz w:val="20"/>
          <w:szCs w:val="20"/>
        </w:rPr>
        <w:t>n</w:t>
      </w:r>
      <w:r w:rsidR="008F474D">
        <w:rPr>
          <w:rFonts w:ascii="Roboto" w:eastAsia="Roboto" w:hAnsi="Roboto" w:cs="Roboto"/>
          <w:color w:val="000000"/>
          <w:sz w:val="20"/>
          <w:szCs w:val="20"/>
        </w:rPr>
        <w:t xml:space="preserve"> los estudi</w:t>
      </w:r>
      <w:r w:rsidR="005618FC" w:rsidRPr="005618FC">
        <w:rPr>
          <w:rFonts w:ascii="Roboto" w:eastAsia="Roboto" w:hAnsi="Roboto" w:cs="Roboto"/>
          <w:color w:val="000000"/>
          <w:sz w:val="20"/>
          <w:szCs w:val="20"/>
        </w:rPr>
        <w:t>a</w:t>
      </w:r>
      <w:r w:rsidR="008F474D">
        <w:rPr>
          <w:rFonts w:ascii="Roboto" w:eastAsia="Roboto" w:hAnsi="Roboto" w:cs="Roboto"/>
          <w:color w:val="000000"/>
          <w:sz w:val="20"/>
          <w:szCs w:val="20"/>
        </w:rPr>
        <w:t>ntes</w:t>
      </w:r>
      <w:r w:rsidR="005618FC" w:rsidRPr="005618FC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8F474D">
        <w:rPr>
          <w:rFonts w:ascii="Roboto" w:eastAsia="Roboto" w:hAnsi="Roboto" w:cs="Roboto"/>
          <w:color w:val="000000"/>
          <w:sz w:val="20"/>
          <w:szCs w:val="20"/>
        </w:rPr>
        <w:t>en las versiones síncronas y en aula inve</w:t>
      </w:r>
      <w:r w:rsidR="005618FC" w:rsidRPr="005618FC">
        <w:rPr>
          <w:rFonts w:ascii="Roboto" w:eastAsia="Roboto" w:hAnsi="Roboto" w:cs="Roboto"/>
          <w:color w:val="000000"/>
          <w:sz w:val="20"/>
          <w:szCs w:val="20"/>
        </w:rPr>
        <w:t>r</w:t>
      </w:r>
      <w:r w:rsidR="008F474D">
        <w:rPr>
          <w:rFonts w:ascii="Roboto" w:eastAsia="Roboto" w:hAnsi="Roboto" w:cs="Roboto"/>
          <w:color w:val="000000"/>
          <w:sz w:val="20"/>
          <w:szCs w:val="20"/>
        </w:rPr>
        <w:t>tida.</w:t>
      </w:r>
    </w:p>
    <w:p w14:paraId="73876FEB" w14:textId="77777777" w:rsidR="00391B0C" w:rsidRDefault="008F474D" w:rsidP="00D5632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 w:rsidRPr="008F474D">
        <w:rPr>
          <w:rFonts w:ascii="Roboto" w:eastAsia="Roboto" w:hAnsi="Roboto" w:cs="Roboto"/>
          <w:b/>
          <w:color w:val="000000"/>
          <w:sz w:val="20"/>
          <w:szCs w:val="20"/>
        </w:rPr>
        <w:t>Tercer simulador: “¿Es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cribimos</w:t>
      </w:r>
      <w:r w:rsidRPr="008F474D">
        <w:rPr>
          <w:rFonts w:ascii="Roboto" w:eastAsia="Roboto" w:hAnsi="Roboto" w:cs="Roboto"/>
          <w:b/>
          <w:color w:val="000000"/>
          <w:sz w:val="20"/>
          <w:szCs w:val="20"/>
        </w:rPr>
        <w:t xml:space="preserve"> e 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 xml:space="preserve">por </w:t>
      </w:r>
      <w:r w:rsidRPr="008F474D">
        <w:rPr>
          <w:rFonts w:ascii="Roboto" w:eastAsia="Roboto" w:hAnsi="Roboto" w:cs="Roboto"/>
          <w:b/>
          <w:color w:val="000000"/>
          <w:sz w:val="20"/>
          <w:szCs w:val="20"/>
        </w:rPr>
        <w:t>Euler?”</w:t>
      </w:r>
    </w:p>
    <w:p w14:paraId="2DDD7585" w14:textId="77777777" w:rsidR="00D5632F" w:rsidRPr="00D5632F" w:rsidRDefault="00D5632F" w:rsidP="00D5632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El 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 xml:space="preserve">tercer simulador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está en 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 xml:space="preserve">el curso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de </w:t>
      </w:r>
      <w:r w:rsidRPr="00D5632F">
        <w:rPr>
          <w:rFonts w:ascii="Roboto" w:eastAsia="Roboto" w:hAnsi="Roboto" w:cs="Roboto"/>
          <w:iCs/>
          <w:color w:val="000000"/>
          <w:sz w:val="20"/>
          <w:szCs w:val="20"/>
        </w:rPr>
        <w:t>Probabilidad Básica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 xml:space="preserve">, un módulo obligatorio que se estudia después 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 xml:space="preserve">de Precálculo y Cálculo Integral. Aunque las tres universidades imparten los mismos contenidos esenciales, la duración del curso varía (45–90 horas), por lo que el simulador se adapta tanto a clases presenciales como a un modelo de aula invertida. Las actividades </w:t>
      </w:r>
      <w:r w:rsidR="00E24403">
        <w:rPr>
          <w:rFonts w:ascii="Roboto" w:eastAsia="Roboto" w:hAnsi="Roboto" w:cs="Roboto"/>
          <w:color w:val="000000"/>
          <w:sz w:val="20"/>
          <w:szCs w:val="20"/>
        </w:rPr>
        <w:t xml:space="preserve">están basadas en la teoría contenida en el Apéndice 2 del libro de </w:t>
      </w:r>
      <w:sdt>
        <w:sdtPr>
          <w:rPr>
            <w:rFonts w:ascii="Roboto" w:eastAsia="Roboto" w:hAnsi="Roboto" w:cs="Roboto"/>
            <w:color w:val="000000"/>
            <w:sz w:val="20"/>
            <w:szCs w:val="20"/>
          </w:rPr>
          <w:id w:val="-713963259"/>
          <w:citation/>
        </w:sdtPr>
        <w:sdtContent>
          <w:r w:rsidR="00E24403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begin"/>
          </w:r>
          <w:r w:rsidR="00E24403">
            <w:rPr>
              <w:rFonts w:eastAsia="Roboto" w:cs="Roboto"/>
              <w:color w:val="000000"/>
              <w:sz w:val="20"/>
              <w:szCs w:val="20"/>
            </w:rPr>
            <w:instrText xml:space="preserve"> CITATION Chu03 \l 2058 </w:instrText>
          </w:r>
          <w:r w:rsidR="00E24403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separate"/>
          </w:r>
          <w:r w:rsidR="00E24403" w:rsidRPr="00E24403">
            <w:rPr>
              <w:rFonts w:eastAsia="Roboto" w:cs="Roboto"/>
              <w:noProof/>
              <w:color w:val="000000"/>
              <w:sz w:val="20"/>
              <w:szCs w:val="20"/>
            </w:rPr>
            <w:t>(Chung &amp; AitSahlia, 2003)</w:t>
          </w:r>
          <w:r w:rsidR="00E24403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end"/>
          </w:r>
        </w:sdtContent>
      </w:sdt>
      <w:r w:rsidR="00E24403">
        <w:rPr>
          <w:rFonts w:ascii="Roboto" w:eastAsia="Roboto" w:hAnsi="Roboto" w:cs="Roboto"/>
          <w:color w:val="000000"/>
          <w:sz w:val="20"/>
          <w:szCs w:val="20"/>
        </w:rPr>
        <w:t xml:space="preserve"> y 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>aprovechan la madurez adquirida por los estudiantes en geometría, razonamiento, cálculo, teoría del interés y programación.</w:t>
      </w:r>
      <w:r w:rsidR="00120CB8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>El simulador aborda tres objetivos:</w:t>
      </w:r>
    </w:p>
    <w:p w14:paraId="23F23F91" w14:textId="77777777" w:rsidR="00D5632F" w:rsidRPr="00D5632F" w:rsidRDefault="00D5632F" w:rsidP="00D5632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D5632F">
        <w:rPr>
          <w:rFonts w:ascii="Roboto" w:eastAsia="Roboto" w:hAnsi="Roboto" w:cs="Roboto"/>
          <w:color w:val="000000"/>
          <w:sz w:val="20"/>
          <w:szCs w:val="20"/>
        </w:rPr>
        <w:t xml:space="preserve">Comprender el comportamiento de </w:t>
      </w:r>
      <m:oMath>
        <m:func>
          <m:funcPr>
            <m:ctrlPr>
              <w:rPr>
                <w:rFonts w:ascii="Cambria Math" w:eastAsia="Roboto" w:hAnsi="Cambria Math" w:cs="Roboto"/>
                <w:i/>
                <w:color w:val="000000"/>
                <w:sz w:val="20"/>
                <w:szCs w:val="20"/>
              </w:rPr>
            </m:ctrlPr>
          </m:funcPr>
          <m:fName>
            <m:r>
              <m:rPr>
                <m:sty m:val="p"/>
              </m:rPr>
              <w:rPr>
                <w:rFonts w:ascii="Cambria Math" w:eastAsia="Roboto" w:hAnsi="Cambria Math" w:cs="Roboto"/>
                <w:color w:val="000000"/>
                <w:sz w:val="20"/>
                <w:szCs w:val="20"/>
              </w:rPr>
              <m:t>ln</m:t>
            </m:r>
          </m:fName>
          <m:e>
            <m:r>
              <w:rPr>
                <w:rFonts w:ascii="Cambria Math" w:eastAsia="Roboto" w:hAnsi="Cambria Math" w:cs="Roboto"/>
                <w:color w:val="000000"/>
                <w:sz w:val="20"/>
                <w:szCs w:val="20"/>
              </w:rPr>
              <m:t>(1±x</m:t>
            </m:r>
          </m:e>
        </m:func>
      </m:oMath>
      <w:r w:rsidRPr="00D5632F">
        <w:rPr>
          <w:rFonts w:ascii="Roboto" w:eastAsia="Roboto" w:hAnsi="Roboto" w:cs="Roboto"/>
          <w:color w:val="000000"/>
          <w:sz w:val="20"/>
          <w:szCs w:val="20"/>
        </w:rPr>
        <w:t>) para valores pequeños de x.</w:t>
      </w:r>
    </w:p>
    <w:p w14:paraId="1F7D65C2" w14:textId="77777777" w:rsidR="00D5632F" w:rsidRPr="00D5632F" w:rsidRDefault="00D5632F" w:rsidP="00D5632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D5632F">
        <w:rPr>
          <w:rFonts w:ascii="Roboto" w:eastAsia="Roboto" w:hAnsi="Roboto" w:cs="Roboto"/>
          <w:color w:val="000000"/>
          <w:sz w:val="20"/>
          <w:szCs w:val="20"/>
        </w:rPr>
        <w:t>Utilizar esta aproximación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 xml:space="preserve">para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aproximar 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>el número de Euler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>mediante iteraciones en una hoja de cálculo.</w:t>
      </w:r>
    </w:p>
    <w:p w14:paraId="28B59347" w14:textId="77777777" w:rsidR="00D5632F" w:rsidRPr="00D5632F" w:rsidRDefault="00D5632F" w:rsidP="00D5632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D5632F">
        <w:rPr>
          <w:rFonts w:ascii="Roboto" w:eastAsia="Roboto" w:hAnsi="Roboto" w:cs="Roboto"/>
          <w:color w:val="000000"/>
          <w:sz w:val="20"/>
          <w:szCs w:val="20"/>
        </w:rPr>
        <w:t xml:space="preserve">Retomar el problema de las coincidencias y derivar aproximaciones de primer y segundo orden para la probabilidad de </w:t>
      </w:r>
      <w:r w:rsidRPr="00D5632F">
        <w:rPr>
          <w:rFonts w:ascii="Roboto" w:eastAsia="Roboto" w:hAnsi="Roboto" w:cs="Roboto"/>
          <w:i/>
          <w:iCs/>
          <w:color w:val="000000"/>
          <w:sz w:val="20"/>
          <w:szCs w:val="20"/>
        </w:rPr>
        <w:t>no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 xml:space="preserve"> observar repeticiones en k ensayos con n posibles resultados.</w:t>
      </w:r>
    </w:p>
    <w:p w14:paraId="58DFCF6D" w14:textId="77777777" w:rsidR="00E24403" w:rsidRDefault="00D5632F" w:rsidP="00E2440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Proponemos una actividad guiada en la que 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>los estudiantes usan una hoja de cálculo para evaluar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m:oMath>
        <m:sSup>
          <m:sSupPr>
            <m:ctrlPr>
              <w:rPr>
                <w:rFonts w:ascii="Cambria Math" w:eastAsia="Roboto" w:hAnsi="Cambria Math" w:cs="Roboto"/>
                <w:color w:val="000000"/>
                <w:sz w:val="20"/>
                <w:szCs w:val="20"/>
              </w:rPr>
            </m:ctrlPr>
          </m:sSupPr>
          <m:e>
            <m:d>
              <m:dPr>
                <m:ctrlPr>
                  <w:rPr>
                    <w:rFonts w:ascii="Cambria Math" w:eastAsia="Roboto" w:hAnsi="Cambria Math" w:cs="Roboto"/>
                    <w:color w:val="000000"/>
                    <w:sz w:val="20"/>
                    <w:szCs w:val="20"/>
                  </w:rPr>
                </m:ctrlPr>
              </m:dPr>
              <m:e>
                <m:r>
                  <w:rPr>
                    <w:rFonts w:ascii="Cambria Math" w:eastAsia="Roboto" w:hAnsi="Cambria Math" w:cs="Roboto"/>
                    <w:color w:val="000000"/>
                    <w:sz w:val="20"/>
                    <w:szCs w:val="20"/>
                  </w:rPr>
                  <m:t>1+</m:t>
                </m:r>
                <m:f>
                  <m:fPr>
                    <m:ctrlPr>
                      <w:rPr>
                        <w:rFonts w:ascii="Cambria Math" w:eastAsia="Roboto" w:hAnsi="Cambria Math" w:cs="Roboto"/>
                        <w:i/>
                        <w:color w:val="000000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eastAsia="Roboto" w:hAnsi="Cambria Math" w:cs="Roboto"/>
                        <w:color w:val="000000"/>
                        <w:sz w:val="20"/>
                        <w:szCs w:val="20"/>
                      </w:rPr>
                      <m:t>1</m:t>
                    </m:r>
                  </m:num>
                  <m:den>
                    <m:r>
                      <w:rPr>
                        <w:rFonts w:ascii="Cambria Math" w:eastAsia="Roboto" w:hAnsi="Cambria Math" w:cs="Roboto"/>
                        <w:color w:val="000000"/>
                        <w:sz w:val="20"/>
                        <w:szCs w:val="20"/>
                      </w:rPr>
                      <m:t>n</m:t>
                    </m:r>
                  </m:den>
                </m:f>
              </m:e>
            </m:d>
          </m:e>
          <m:sup>
            <m:r>
              <w:rPr>
                <w:rFonts w:ascii="Cambria Math" w:eastAsia="Roboto" w:hAnsi="Cambria Math" w:cs="Roboto"/>
                <w:color w:val="000000"/>
                <w:sz w:val="20"/>
                <w:szCs w:val="20"/>
              </w:rPr>
              <m:t>n</m:t>
            </m:r>
          </m:sup>
        </m:sSup>
      </m:oMath>
      <w:r w:rsidRPr="00D5632F">
        <w:rPr>
          <w:rFonts w:ascii="Roboto" w:eastAsia="Roboto" w:hAnsi="Roboto" w:cs="Roboto"/>
          <w:color w:val="000000"/>
          <w:sz w:val="20"/>
          <w:szCs w:val="20"/>
        </w:rPr>
        <w:t>para valores crecientes de n, observando su convergencia hacia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m:oMath>
        <m:r>
          <w:rPr>
            <w:rFonts w:ascii="Cambria Math" w:eastAsia="Roboto" w:hAnsi="Cambria Math" w:cs="Roboto"/>
            <w:color w:val="000000"/>
            <w:sz w:val="20"/>
            <w:szCs w:val="20"/>
          </w:rPr>
          <m:t>e≈</m:t>
        </m:r>
        <m:r>
          <m:rPr>
            <m:sty m:val="p"/>
          </m:rPr>
          <w:rPr>
            <w:rFonts w:ascii="Cambria Math" w:eastAsia="Roboto" w:hAnsi="Cambria Math" w:cs="Roboto"/>
            <w:color w:val="000000"/>
            <w:sz w:val="20"/>
            <w:szCs w:val="20"/>
          </w:rPr>
          <m:t>2.71828</m:t>
        </m:r>
      </m:oMath>
      <w:r w:rsidRPr="00D5632F">
        <w:rPr>
          <w:rFonts w:ascii="Roboto" w:eastAsia="Roboto" w:hAnsi="Roboto" w:cs="Roboto"/>
          <w:color w:val="000000"/>
          <w:sz w:val="20"/>
          <w:szCs w:val="20"/>
        </w:rPr>
        <w:t>. Paralelamente</w:t>
      </w:r>
      <w:r w:rsidR="00E24403">
        <w:rPr>
          <w:rFonts w:ascii="Roboto" w:eastAsia="Roboto" w:hAnsi="Roboto" w:cs="Roboto"/>
          <w:color w:val="000000"/>
          <w:sz w:val="20"/>
          <w:szCs w:val="20"/>
        </w:rPr>
        <w:t xml:space="preserve"> vemos cómo </w:t>
      </w:r>
      <m:oMath>
        <m:func>
          <m:funcPr>
            <m:ctrlPr>
              <w:rPr>
                <w:rFonts w:ascii="Cambria Math" w:eastAsia="Roboto" w:hAnsi="Cambria Math" w:cs="Roboto"/>
                <w:i/>
                <w:color w:val="000000"/>
                <w:sz w:val="20"/>
                <w:szCs w:val="20"/>
              </w:rPr>
            </m:ctrlPr>
          </m:funcPr>
          <m:fName>
            <m:r>
              <m:rPr>
                <m:sty m:val="p"/>
              </m:rPr>
              <w:rPr>
                <w:rFonts w:ascii="Cambria Math" w:eastAsia="Roboto" w:hAnsi="Cambria Math" w:cs="Roboto"/>
                <w:color w:val="000000"/>
                <w:sz w:val="20"/>
                <w:szCs w:val="20"/>
              </w:rPr>
              <m:t>ln</m:t>
            </m:r>
          </m:fName>
          <m:e>
            <m:sSup>
              <m:sSupPr>
                <m:ctrlPr>
                  <w:rPr>
                    <w:rFonts w:ascii="Cambria Math" w:eastAsia="Roboto" w:hAnsi="Cambria Math" w:cs="Roboto"/>
                    <w:color w:val="000000"/>
                    <w:sz w:val="20"/>
                    <w:szCs w:val="20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="Roboto" w:hAnsi="Cambria Math" w:cs="Roboto"/>
                        <w:color w:val="000000"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eastAsia="Roboto" w:hAnsi="Cambria Math" w:cs="Roboto"/>
                        <w:color w:val="000000"/>
                        <w:sz w:val="20"/>
                        <w:szCs w:val="20"/>
                      </w:rPr>
                      <m:t>1+</m:t>
                    </m:r>
                    <m:f>
                      <m:fPr>
                        <m:ctrlPr>
                          <w:rPr>
                            <w:rFonts w:ascii="Cambria Math" w:eastAsia="Roboto" w:hAnsi="Cambria Math" w:cs="Roboto"/>
                            <w:i/>
                            <w:color w:val="000000"/>
                            <w:sz w:val="20"/>
                            <w:szCs w:val="20"/>
                          </w:rPr>
                        </m:ctrlPr>
                      </m:fPr>
                      <m:num>
                        <m:r>
                          <w:rPr>
                            <w:rFonts w:ascii="Cambria Math" w:eastAsia="Roboto" w:hAnsi="Cambria Math" w:cs="Roboto"/>
                            <w:color w:val="000000"/>
                            <w:sz w:val="20"/>
                            <w:szCs w:val="20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eastAsia="Roboto" w:hAnsi="Cambria Math" w:cs="Roboto"/>
                            <w:color w:val="000000"/>
                            <w:sz w:val="20"/>
                            <w:szCs w:val="20"/>
                          </w:rPr>
                          <m:t>n</m:t>
                        </m:r>
                      </m:den>
                    </m:f>
                  </m:e>
                </m:d>
              </m:e>
              <m:sup>
                <m:r>
                  <w:rPr>
                    <w:rFonts w:ascii="Cambria Math" w:eastAsia="Roboto" w:hAnsi="Cambria Math" w:cs="Roboto"/>
                    <w:color w:val="000000"/>
                    <w:sz w:val="20"/>
                    <w:szCs w:val="20"/>
                  </w:rPr>
                  <m:t>n</m:t>
                </m:r>
              </m:sup>
            </m:sSup>
            <m:r>
              <w:rPr>
                <w:rFonts w:ascii="Cambria Math" w:eastAsia="Roboto" w:hAnsi="Cambria Math" w:cs="Roboto"/>
                <w:color w:val="000000"/>
                <w:sz w:val="20"/>
                <w:szCs w:val="20"/>
              </w:rPr>
              <m:t>→1</m:t>
            </m:r>
          </m:e>
        </m:func>
      </m:oMath>
      <w:r w:rsidRPr="00D5632F">
        <w:rPr>
          <w:rFonts w:ascii="Roboto" w:eastAsia="Roboto" w:hAnsi="Roboto" w:cs="Roboto"/>
          <w:color w:val="000000"/>
          <w:sz w:val="20"/>
          <w:szCs w:val="20"/>
        </w:rPr>
        <w:t>, reforzando la intuición logarítmica.</w:t>
      </w:r>
      <w:r w:rsidR="00E24403">
        <w:rPr>
          <w:rFonts w:ascii="Roboto" w:eastAsia="Roboto" w:hAnsi="Roboto" w:cs="Roboto"/>
          <w:color w:val="000000"/>
          <w:sz w:val="20"/>
          <w:szCs w:val="20"/>
        </w:rPr>
        <w:t xml:space="preserve"> Posteriormente 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>aplica</w:t>
      </w:r>
      <w:r w:rsidR="00E24403">
        <w:rPr>
          <w:rFonts w:ascii="Roboto" w:eastAsia="Roboto" w:hAnsi="Roboto" w:cs="Roboto"/>
          <w:color w:val="000000"/>
          <w:sz w:val="20"/>
          <w:szCs w:val="20"/>
        </w:rPr>
        <w:t>mos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 xml:space="preserve"> esta aproximación a la probabilidad de no colisión</w:t>
      </w:r>
      <w:r w:rsidR="00E24403">
        <w:rPr>
          <w:rFonts w:ascii="Roboto" w:eastAsia="Roboto" w:hAnsi="Roboto" w:cs="Roboto"/>
          <w:color w:val="000000"/>
          <w:sz w:val="20"/>
          <w:szCs w:val="20"/>
        </w:rPr>
        <w:t xml:space="preserve"> para 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>deriva</w:t>
      </w:r>
      <w:r w:rsidR="00E24403">
        <w:rPr>
          <w:rFonts w:ascii="Roboto" w:eastAsia="Roboto" w:hAnsi="Roboto" w:cs="Roboto"/>
          <w:color w:val="000000"/>
          <w:sz w:val="20"/>
          <w:szCs w:val="20"/>
        </w:rPr>
        <w:t>r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 xml:space="preserve"> la estimación exponencial clásica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br/>
      </w:r>
      <m:oMath>
        <m:sSubSup>
          <m:sSubSupPr>
            <m:ctrlPr>
              <w:rPr>
                <w:rFonts w:ascii="Cambria Math" w:eastAsia="Roboto" w:hAnsi="Cambria Math" w:cs="Roboto"/>
                <w:i/>
                <w:color w:val="000000"/>
                <w:sz w:val="20"/>
                <w:szCs w:val="20"/>
              </w:rPr>
            </m:ctrlPr>
          </m:sSubSupPr>
          <m:e>
            <m:r>
              <w:rPr>
                <w:rFonts w:ascii="Cambria Math" w:eastAsia="Roboto" w:hAnsi="Cambria Math" w:cs="Roboto"/>
                <w:color w:val="000000"/>
                <w:sz w:val="20"/>
                <w:szCs w:val="20"/>
              </w:rPr>
              <m:t>p</m:t>
            </m:r>
          </m:e>
          <m:sub>
            <m:r>
              <w:rPr>
                <w:rFonts w:ascii="Cambria Math" w:eastAsia="Roboto" w:hAnsi="Cambria Math" w:cs="Roboto"/>
                <w:color w:val="000000"/>
                <w:sz w:val="20"/>
                <w:szCs w:val="20"/>
              </w:rPr>
              <m:t>k</m:t>
            </m:r>
          </m:sub>
          <m:sup>
            <m:r>
              <w:rPr>
                <w:rFonts w:ascii="Cambria Math" w:eastAsia="Roboto" w:hAnsi="Cambria Math" w:cs="Roboto"/>
                <w:color w:val="000000"/>
                <w:sz w:val="20"/>
                <w:szCs w:val="20"/>
              </w:rPr>
              <m:t>k</m:t>
            </m:r>
          </m:sup>
        </m:sSubSup>
        <m:r>
          <w:rPr>
            <w:rFonts w:ascii="Cambria Math" w:eastAsia="Roboto" w:hAnsi="Cambria Math" w:cs="Roboto"/>
            <w:color w:val="000000"/>
            <w:sz w:val="20"/>
            <w:szCs w:val="20"/>
          </w:rPr>
          <m:t>≈</m:t>
        </m:r>
        <m:sSup>
          <m:sSupPr>
            <m:ctrlPr>
              <w:rPr>
                <w:rFonts w:ascii="Cambria Math" w:eastAsia="Roboto" w:hAnsi="Cambria Math" w:cs="Roboto"/>
                <w:i/>
                <w:color w:val="000000"/>
                <w:sz w:val="20"/>
                <w:szCs w:val="20"/>
              </w:rPr>
            </m:ctrlPr>
          </m:sSupPr>
          <m:e>
            <m:r>
              <w:rPr>
                <w:rFonts w:ascii="Cambria Math" w:eastAsia="Roboto" w:hAnsi="Cambria Math" w:cs="Roboto"/>
                <w:color w:val="000000"/>
                <w:sz w:val="20"/>
                <w:szCs w:val="20"/>
              </w:rPr>
              <m:t>e</m:t>
            </m:r>
          </m:e>
          <m:sup>
            <m:r>
              <w:rPr>
                <w:rFonts w:ascii="Cambria Math" w:eastAsia="Roboto" w:hAnsi="Cambria Math" w:cs="Roboto"/>
                <w:color w:val="000000"/>
                <w:sz w:val="20"/>
                <w:szCs w:val="20"/>
              </w:rPr>
              <m:t>-</m:t>
            </m:r>
            <m:f>
              <m:fPr>
                <m:ctrlPr>
                  <w:rPr>
                    <w:rFonts w:ascii="Cambria Math" w:eastAsia="Roboto" w:hAnsi="Cambria Math" w:cs="Roboto"/>
                    <w:i/>
                    <w:color w:val="000000"/>
                    <w:sz w:val="20"/>
                    <w:szCs w:val="20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="Roboto" w:hAnsi="Cambria Math" w:cs="Roboto"/>
                        <w:i/>
                        <w:color w:val="000000"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eastAsia="Roboto" w:hAnsi="Cambria Math" w:cs="Roboto"/>
                        <w:color w:val="000000"/>
                        <w:sz w:val="20"/>
                        <w:szCs w:val="20"/>
                      </w:rPr>
                      <m:t>k</m:t>
                    </m:r>
                  </m:e>
                  <m:sup>
                    <m:r>
                      <w:rPr>
                        <w:rFonts w:ascii="Cambria Math" w:eastAsia="Roboto" w:hAnsi="Cambria Math" w:cs="Roboto"/>
                        <w:color w:val="000000"/>
                        <w:sz w:val="20"/>
                        <w:szCs w:val="20"/>
                      </w:rPr>
                      <m:t>2</m:t>
                    </m:r>
                  </m:sup>
                </m:sSup>
                <m:r>
                  <w:rPr>
                    <w:rFonts w:ascii="Cambria Math" w:eastAsia="Roboto" w:hAnsi="Cambria Math" w:cs="Roboto"/>
                    <w:color w:val="000000"/>
                    <w:sz w:val="20"/>
                    <w:szCs w:val="20"/>
                  </w:rPr>
                  <m:t>-k</m:t>
                </m:r>
              </m:num>
              <m:den>
                <m:r>
                  <w:rPr>
                    <w:rFonts w:ascii="Cambria Math" w:eastAsia="Roboto" w:hAnsi="Cambria Math" w:cs="Roboto"/>
                    <w:color w:val="000000"/>
                    <w:sz w:val="20"/>
                    <w:szCs w:val="20"/>
                  </w:rPr>
                  <m:t>2n</m:t>
                </m:r>
              </m:den>
            </m:f>
          </m:sup>
        </m:sSup>
      </m:oMath>
      <w:r w:rsidRPr="00D5632F">
        <w:rPr>
          <w:rFonts w:ascii="Roboto" w:eastAsia="Roboto" w:hAnsi="Roboto" w:cs="Roboto"/>
          <w:color w:val="000000"/>
          <w:sz w:val="20"/>
          <w:szCs w:val="20"/>
        </w:rPr>
        <w:t>,</w:t>
      </w:r>
      <w:r w:rsidR="00E24403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 xml:space="preserve">y luego una versión más precisa basada en una expansión de segundo orden. </w:t>
      </w:r>
      <w:r w:rsidR="00E24403">
        <w:rPr>
          <w:rFonts w:ascii="Roboto" w:eastAsia="Roboto" w:hAnsi="Roboto" w:cs="Roboto"/>
          <w:color w:val="000000"/>
          <w:sz w:val="20"/>
          <w:szCs w:val="20"/>
        </w:rPr>
        <w:t>C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>ompara</w:t>
      </w:r>
      <w:r w:rsidR="00E24403">
        <w:rPr>
          <w:rFonts w:ascii="Roboto" w:eastAsia="Roboto" w:hAnsi="Roboto" w:cs="Roboto"/>
          <w:color w:val="000000"/>
          <w:sz w:val="20"/>
          <w:szCs w:val="20"/>
        </w:rPr>
        <w:t>remos</w:t>
      </w:r>
      <w:r w:rsidRPr="00D5632F">
        <w:rPr>
          <w:rFonts w:ascii="Roboto" w:eastAsia="Roboto" w:hAnsi="Roboto" w:cs="Roboto"/>
          <w:color w:val="000000"/>
          <w:sz w:val="20"/>
          <w:szCs w:val="20"/>
        </w:rPr>
        <w:t xml:space="preserve"> estas aproximaciones con probabilidades exactas para dados, ruletas y cumpleaños.</w:t>
      </w:r>
      <w:r w:rsidR="00E24403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391B0C">
        <w:rPr>
          <w:rFonts w:ascii="Roboto" w:eastAsia="Roboto" w:hAnsi="Roboto" w:cs="Roboto"/>
          <w:color w:val="000000"/>
          <w:sz w:val="20"/>
          <w:szCs w:val="20"/>
        </w:rPr>
        <w:t xml:space="preserve">El documento con las instrucciones (y las respuestas) para este simulador puede verse </w:t>
      </w:r>
      <w:hyperlink r:id="rId17" w:history="1">
        <w:r w:rsidR="00391B0C" w:rsidRPr="00391B0C">
          <w:rPr>
            <w:rStyle w:val="Hipervnculo"/>
            <w:rFonts w:ascii="Roboto" w:eastAsia="Roboto" w:hAnsi="Roboto" w:cs="Roboto"/>
            <w:sz w:val="20"/>
            <w:szCs w:val="20"/>
          </w:rPr>
          <w:t>aquí</w:t>
        </w:r>
      </w:hyperlink>
      <w:r w:rsidR="00391B0C">
        <w:rPr>
          <w:rFonts w:ascii="Roboto" w:eastAsia="Roboto" w:hAnsi="Roboto" w:cs="Roboto"/>
          <w:color w:val="000000"/>
          <w:sz w:val="20"/>
          <w:szCs w:val="20"/>
        </w:rPr>
        <w:t>.</w:t>
      </w:r>
    </w:p>
    <w:sdt>
      <w:sdtPr>
        <w:rPr>
          <w:lang w:val="es-ES"/>
        </w:rPr>
        <w:id w:val="1046866062"/>
        <w:docPartObj>
          <w:docPartGallery w:val="Bibliographies"/>
          <w:docPartUnique/>
        </w:docPartObj>
      </w:sdtPr>
      <w:sdtEndPr>
        <w:rPr>
          <w:lang w:val="es-MX"/>
        </w:rPr>
      </w:sdtEndPr>
      <w:sdtContent>
        <w:p w14:paraId="1D257120" w14:textId="77777777" w:rsidR="00625662" w:rsidRPr="00E24403" w:rsidRDefault="00120CB8" w:rsidP="00E24403">
          <w:pPr>
            <w:pBdr>
              <w:top w:val="nil"/>
              <w:left w:val="nil"/>
              <w:bottom w:val="nil"/>
              <w:right w:val="nil"/>
              <w:between w:val="nil"/>
            </w:pBdr>
            <w:jc w:val="both"/>
            <w:rPr>
              <w:rFonts w:ascii="Roboto" w:eastAsia="Roboto" w:hAnsi="Roboto" w:cs="Roboto"/>
              <w:b/>
              <w:color w:val="000000"/>
              <w:sz w:val="20"/>
              <w:szCs w:val="20"/>
            </w:rPr>
          </w:pPr>
          <w:r w:rsidRPr="00E24403">
            <w:rPr>
              <w:rFonts w:ascii="Roboto" w:eastAsia="Roboto" w:hAnsi="Roboto" w:cs="Roboto"/>
              <w:b/>
              <w:color w:val="000000"/>
              <w:sz w:val="20"/>
              <w:szCs w:val="20"/>
            </w:rPr>
            <w:t>REFERENCIAS</w:t>
          </w:r>
        </w:p>
        <w:sdt>
          <w:sdtPr>
            <w:rPr>
              <w:rFonts w:ascii="Roboto" w:eastAsia="Roboto" w:hAnsi="Roboto" w:cs="Roboto"/>
              <w:sz w:val="20"/>
              <w:szCs w:val="20"/>
            </w:rPr>
            <w:id w:val="-573587230"/>
            <w:bibliography/>
          </w:sdtPr>
          <w:sdtEndPr>
            <w:rPr>
              <w:rFonts w:ascii="Times New Roman" w:eastAsia="Times New Roman" w:hAnsi="Times New Roman" w:cs="Times New Roman"/>
              <w:sz w:val="24"/>
              <w:szCs w:val="24"/>
            </w:rPr>
          </w:sdtEndPr>
          <w:sdtContent>
            <w:p w14:paraId="40719B03" w14:textId="77777777" w:rsidR="00E24403" w:rsidRPr="006E00BE" w:rsidRDefault="00625662" w:rsidP="00E24403">
              <w:pPr>
                <w:pStyle w:val="Bibliografa"/>
                <w:ind w:left="720" w:hanging="720"/>
                <w:rPr>
                  <w:noProof/>
                  <w:sz w:val="20"/>
                  <w:szCs w:val="20"/>
                  <w:lang w:val="en-US"/>
                </w:rPr>
              </w:pPr>
              <w:r w:rsidRPr="00E24403">
                <w:rPr>
                  <w:rFonts w:ascii="Roboto" w:eastAsia="Roboto" w:hAnsi="Roboto" w:cs="Roboto"/>
                  <w:sz w:val="20"/>
                  <w:szCs w:val="20"/>
                </w:rPr>
                <w:fldChar w:fldCharType="begin"/>
              </w:r>
              <w:r w:rsidRPr="00E24403">
                <w:rPr>
                  <w:rFonts w:ascii="Roboto" w:eastAsia="Roboto" w:hAnsi="Roboto" w:cs="Roboto"/>
                  <w:sz w:val="20"/>
                  <w:szCs w:val="20"/>
                </w:rPr>
                <w:instrText>BIBLIOGRAPHY</w:instrText>
              </w:r>
              <w:r w:rsidRPr="00E24403">
                <w:rPr>
                  <w:rFonts w:ascii="Roboto" w:eastAsia="Roboto" w:hAnsi="Roboto" w:cs="Roboto"/>
                  <w:sz w:val="20"/>
                  <w:szCs w:val="20"/>
                </w:rPr>
                <w:fldChar w:fldCharType="separate"/>
              </w:r>
              <w:r w:rsidR="00E24403" w:rsidRPr="00E24403">
                <w:rPr>
                  <w:noProof/>
                  <w:sz w:val="20"/>
                  <w:szCs w:val="20"/>
                </w:rPr>
                <w:t xml:space="preserve">Chung, K. L., &amp; AitSahlia, F. (2003). </w:t>
              </w:r>
              <w:r w:rsidR="00E24403" w:rsidRPr="006E00BE">
                <w:rPr>
                  <w:i/>
                  <w:iCs/>
                  <w:noProof/>
                  <w:sz w:val="20"/>
                  <w:szCs w:val="20"/>
                  <w:lang w:val="en-US"/>
                </w:rPr>
                <w:t>Elementary Probability Theory with Stochastic Processes and an Introduction to Mathematical Finance.</w:t>
              </w:r>
              <w:r w:rsidR="00E24403" w:rsidRPr="006E00BE">
                <w:rPr>
                  <w:noProof/>
                  <w:sz w:val="20"/>
                  <w:szCs w:val="20"/>
                  <w:lang w:val="en-US"/>
                </w:rPr>
                <w:t xml:space="preserve"> New York: Springer. doi:10.1007/978-0-387-21548-8</w:t>
              </w:r>
            </w:p>
            <w:p w14:paraId="61549961" w14:textId="77777777" w:rsidR="00E24403" w:rsidRPr="006E00BE" w:rsidRDefault="00E24403" w:rsidP="00E24403">
              <w:pPr>
                <w:pStyle w:val="Bibliografa"/>
                <w:ind w:left="720" w:hanging="720"/>
                <w:rPr>
                  <w:noProof/>
                  <w:sz w:val="20"/>
                  <w:szCs w:val="20"/>
                  <w:lang w:val="en-US"/>
                </w:rPr>
              </w:pPr>
              <w:r w:rsidRPr="006E00BE">
                <w:rPr>
                  <w:noProof/>
                  <w:sz w:val="20"/>
                  <w:szCs w:val="20"/>
                  <w:lang w:val="en-US"/>
                </w:rPr>
                <w:t xml:space="preserve">Glassmeyer, D., Smith, A., &amp; Gardner, K. (2020). Developing teacher content understanding by integrating pH and logarithms concepts. </w:t>
              </w:r>
              <w:r w:rsidRPr="006E00BE">
                <w:rPr>
                  <w:i/>
                  <w:iCs/>
                  <w:noProof/>
                  <w:sz w:val="20"/>
                  <w:szCs w:val="20"/>
                  <w:lang w:val="en-US"/>
                </w:rPr>
                <w:t>School Science and Mathematics, 120</w:t>
              </w:r>
              <w:r w:rsidRPr="006E00BE">
                <w:rPr>
                  <w:noProof/>
                  <w:sz w:val="20"/>
                  <w:szCs w:val="20"/>
                  <w:lang w:val="en-US"/>
                </w:rPr>
                <w:t>(3), 165-174. doi:10.1111/ssm.12394</w:t>
              </w:r>
            </w:p>
            <w:p w14:paraId="058D0F89" w14:textId="77777777" w:rsidR="00E24403" w:rsidRPr="006E00BE" w:rsidRDefault="00E24403" w:rsidP="00E24403">
              <w:pPr>
                <w:pStyle w:val="Bibliografa"/>
                <w:ind w:left="720" w:hanging="720"/>
                <w:rPr>
                  <w:noProof/>
                  <w:sz w:val="20"/>
                  <w:szCs w:val="20"/>
                  <w:lang w:val="en-US"/>
                </w:rPr>
              </w:pPr>
              <w:r w:rsidRPr="006E00BE">
                <w:rPr>
                  <w:noProof/>
                  <w:sz w:val="20"/>
                  <w:szCs w:val="20"/>
                  <w:lang w:val="en-US"/>
                </w:rPr>
                <w:t xml:space="preserve">Kostadinov, B. (2013). Simulation Insights Using R. </w:t>
              </w:r>
              <w:r w:rsidRPr="006E00BE">
                <w:rPr>
                  <w:i/>
                  <w:iCs/>
                  <w:noProof/>
                  <w:sz w:val="20"/>
                  <w:szCs w:val="20"/>
                  <w:lang w:val="en-US"/>
                </w:rPr>
                <w:t>Problems, Resources, and Issues in Mathematics Undergraduate Studies, 23</w:t>
              </w:r>
              <w:r w:rsidRPr="006E00BE">
                <w:rPr>
                  <w:noProof/>
                  <w:sz w:val="20"/>
                  <w:szCs w:val="20"/>
                  <w:lang w:val="en-US"/>
                </w:rPr>
                <w:t>(3), 208--223. doi:10.1080/10511970.2012.718729</w:t>
              </w:r>
            </w:p>
            <w:p w14:paraId="0F99A076" w14:textId="77777777" w:rsidR="00E24403" w:rsidRPr="006E00BE" w:rsidRDefault="00E24403" w:rsidP="00E24403">
              <w:pPr>
                <w:pStyle w:val="Bibliografa"/>
                <w:ind w:left="720" w:hanging="720"/>
                <w:rPr>
                  <w:noProof/>
                  <w:sz w:val="20"/>
                  <w:szCs w:val="20"/>
                  <w:lang w:val="en-US"/>
                </w:rPr>
              </w:pPr>
              <w:r w:rsidRPr="00E24403">
                <w:rPr>
                  <w:noProof/>
                  <w:sz w:val="20"/>
                  <w:szCs w:val="20"/>
                </w:rPr>
                <w:t xml:space="preserve">López-Barrientos, J. D., Silva, E., &amp; Lemus-Rodríguez, E. (2023). </w:t>
              </w:r>
              <w:r w:rsidRPr="006E00BE">
                <w:rPr>
                  <w:noProof/>
                  <w:sz w:val="20"/>
                  <w:szCs w:val="20"/>
                  <w:lang w:val="en-US"/>
                </w:rPr>
                <w:t xml:space="preserve">Lessons from the famous 17th-century paradox of the Chevalier de Méré. </w:t>
              </w:r>
              <w:r w:rsidRPr="006E00BE">
                <w:rPr>
                  <w:i/>
                  <w:iCs/>
                  <w:noProof/>
                  <w:sz w:val="20"/>
                  <w:szCs w:val="20"/>
                  <w:lang w:val="en-US"/>
                </w:rPr>
                <w:t>Teaching Statistics, 45</w:t>
              </w:r>
              <w:r w:rsidRPr="006E00BE">
                <w:rPr>
                  <w:noProof/>
                  <w:sz w:val="20"/>
                  <w:szCs w:val="20"/>
                  <w:lang w:val="en-US"/>
                </w:rPr>
                <w:t>(1), 36-44. doi:10.1111/test.12321</w:t>
              </w:r>
            </w:p>
            <w:p w14:paraId="13AD905C" w14:textId="77777777" w:rsidR="00E24403" w:rsidRPr="006E00BE" w:rsidRDefault="00E24403" w:rsidP="00E24403">
              <w:pPr>
                <w:pStyle w:val="Bibliografa"/>
                <w:ind w:left="720" w:hanging="720"/>
                <w:rPr>
                  <w:noProof/>
                  <w:sz w:val="20"/>
                  <w:szCs w:val="20"/>
                  <w:lang w:val="en-US"/>
                </w:rPr>
              </w:pPr>
              <w:r w:rsidRPr="006E00BE">
                <w:rPr>
                  <w:noProof/>
                  <w:sz w:val="20"/>
                  <w:szCs w:val="20"/>
                  <w:lang w:val="en-US"/>
                </w:rPr>
                <w:t xml:space="preserve">Mosteller, F. (1962). Understanding the birthday problem. </w:t>
              </w:r>
              <w:r w:rsidRPr="006E00BE">
                <w:rPr>
                  <w:i/>
                  <w:iCs/>
                  <w:noProof/>
                  <w:sz w:val="20"/>
                  <w:szCs w:val="20"/>
                  <w:lang w:val="en-US"/>
                </w:rPr>
                <w:t>The Mathematics Teacher, 55</w:t>
              </w:r>
              <w:r w:rsidRPr="006E00BE">
                <w:rPr>
                  <w:noProof/>
                  <w:sz w:val="20"/>
                  <w:szCs w:val="20"/>
                  <w:lang w:val="en-US"/>
                </w:rPr>
                <w:t>(5), 322--325. Obtenido de http://www.jstor.org/stable/27956609</w:t>
              </w:r>
            </w:p>
            <w:p w14:paraId="0487C376" w14:textId="77777777" w:rsidR="00E24403" w:rsidRPr="00E24403" w:rsidRDefault="00E24403" w:rsidP="00E24403">
              <w:pPr>
                <w:pStyle w:val="Bibliografa"/>
                <w:ind w:left="720" w:hanging="720"/>
                <w:rPr>
                  <w:noProof/>
                  <w:sz w:val="20"/>
                  <w:szCs w:val="20"/>
                </w:rPr>
              </w:pPr>
              <w:r w:rsidRPr="006E00BE">
                <w:rPr>
                  <w:noProof/>
                  <w:sz w:val="20"/>
                  <w:szCs w:val="20"/>
                  <w:lang w:val="en-US"/>
                </w:rPr>
                <w:t xml:space="preserve">Naus, J. I. (1968). An Extension of the Birthday Problem. </w:t>
              </w:r>
              <w:r w:rsidRPr="00E24403">
                <w:rPr>
                  <w:i/>
                  <w:iCs/>
                  <w:noProof/>
                  <w:sz w:val="20"/>
                  <w:szCs w:val="20"/>
                </w:rPr>
                <w:t>The American Statistician, 22</w:t>
              </w:r>
              <w:r w:rsidRPr="00E24403">
                <w:rPr>
                  <w:noProof/>
                  <w:sz w:val="20"/>
                  <w:szCs w:val="20"/>
                </w:rPr>
                <w:t>(1), 27-29. doi:10.1080/00031305.1968.10480438</w:t>
              </w:r>
            </w:p>
            <w:p w14:paraId="67623585" w14:textId="77777777" w:rsidR="00337569" w:rsidRPr="00120CB8" w:rsidRDefault="00625662" w:rsidP="00120CB8">
              <w:r w:rsidRPr="00E24403">
                <w:rPr>
                  <w:rFonts w:ascii="Roboto" w:eastAsia="Roboto" w:hAnsi="Roboto" w:cs="Roboto"/>
                  <w:sz w:val="20"/>
                  <w:szCs w:val="20"/>
                </w:rPr>
                <w:fldChar w:fldCharType="end"/>
              </w:r>
            </w:p>
          </w:sdtContent>
        </w:sdt>
      </w:sdtContent>
    </w:sdt>
    <w:sectPr w:rsidR="00337569" w:rsidRPr="00120CB8">
      <w:type w:val="continuous"/>
      <w:pgSz w:w="11906" w:h="16838"/>
      <w:pgMar w:top="1134" w:right="851" w:bottom="1134" w:left="851" w:header="357" w:footer="720" w:gutter="0"/>
      <w:cols w:num="2" w:space="720" w:equalWidth="0">
        <w:col w:w="4934" w:space="335"/>
        <w:col w:w="4934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2BADFC" w14:textId="77777777" w:rsidR="00A47A9B" w:rsidRDefault="00A47A9B">
      <w:r>
        <w:separator/>
      </w:r>
    </w:p>
  </w:endnote>
  <w:endnote w:type="continuationSeparator" w:id="0">
    <w:p w14:paraId="36D71EEE" w14:textId="77777777" w:rsidR="00A47A9B" w:rsidRDefault="00A47A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8DB91F" w14:textId="77777777" w:rsidR="00A47A9B" w:rsidRDefault="00A47A9B">
      <w:r>
        <w:separator/>
      </w:r>
    </w:p>
  </w:footnote>
  <w:footnote w:type="continuationSeparator" w:id="0">
    <w:p w14:paraId="4E8D5138" w14:textId="77777777" w:rsidR="00A47A9B" w:rsidRDefault="00A47A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5AA95" w14:textId="77777777" w:rsidR="00337569" w:rsidRDefault="0033756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337569" w14:paraId="6558C7B6" w14:textId="77777777">
      <w:trPr>
        <w:trHeight w:val="345"/>
        <w:jc w:val="center"/>
      </w:trPr>
      <w:tc>
        <w:tcPr>
          <w:tcW w:w="6306" w:type="dxa"/>
          <w:vAlign w:val="center"/>
        </w:tcPr>
        <w:p w14:paraId="2C3E192E" w14:textId="77777777" w:rsidR="00337569" w:rsidRDefault="00337569">
          <w:pPr>
            <w:jc w:val="center"/>
            <w:rPr>
              <w:i/>
              <w:sz w:val="18"/>
              <w:szCs w:val="18"/>
            </w:rPr>
          </w:pPr>
        </w:p>
      </w:tc>
    </w:tr>
  </w:tbl>
  <w:p w14:paraId="19F26E55" w14:textId="77777777" w:rsidR="00337569" w:rsidRDefault="00337569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64176"/>
    <w:multiLevelType w:val="multilevel"/>
    <w:tmpl w:val="3D961D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295177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569"/>
    <w:rsid w:val="00120CB8"/>
    <w:rsid w:val="0023256D"/>
    <w:rsid w:val="003205D6"/>
    <w:rsid w:val="00337569"/>
    <w:rsid w:val="00391B0C"/>
    <w:rsid w:val="003D33AF"/>
    <w:rsid w:val="00413BB8"/>
    <w:rsid w:val="0043541B"/>
    <w:rsid w:val="0048605E"/>
    <w:rsid w:val="004E1D06"/>
    <w:rsid w:val="005618FC"/>
    <w:rsid w:val="00582490"/>
    <w:rsid w:val="00605770"/>
    <w:rsid w:val="00625662"/>
    <w:rsid w:val="006441BC"/>
    <w:rsid w:val="00696C3B"/>
    <w:rsid w:val="006E00BE"/>
    <w:rsid w:val="008F474D"/>
    <w:rsid w:val="00907D91"/>
    <w:rsid w:val="00914681"/>
    <w:rsid w:val="00995EB1"/>
    <w:rsid w:val="00A03261"/>
    <w:rsid w:val="00A47A9B"/>
    <w:rsid w:val="00A6672C"/>
    <w:rsid w:val="00B16357"/>
    <w:rsid w:val="00C12B64"/>
    <w:rsid w:val="00CB4816"/>
    <w:rsid w:val="00CE2CA3"/>
    <w:rsid w:val="00D5632F"/>
    <w:rsid w:val="00E24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AC0F52"/>
  <w15:docId w15:val="{D6712126-A486-4464-81D1-53C33CC35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625662"/>
    <w:rPr>
      <w:b/>
      <w:sz w:val="48"/>
      <w:szCs w:val="48"/>
    </w:rPr>
  </w:style>
  <w:style w:type="paragraph" w:styleId="Bibliografa">
    <w:name w:val="Bibliography"/>
    <w:basedOn w:val="Normal"/>
    <w:next w:val="Normal"/>
    <w:uiPriority w:val="37"/>
    <w:unhideWhenUsed/>
    <w:rsid w:val="00625662"/>
  </w:style>
  <w:style w:type="character" w:styleId="Textodelmarcadordeposicin">
    <w:name w:val="Placeholder Text"/>
    <w:basedOn w:val="Fuentedeprrafopredeter"/>
    <w:uiPriority w:val="99"/>
    <w:semiHidden/>
    <w:rsid w:val="0023256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96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0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3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0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2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0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4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1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6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3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8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51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3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93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3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2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17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png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hyperlink" Target="https://www.dropbox.com/scl/fi/61rzmq4s9t8735t50j3h8/Apendice3RES.pdf?rlkey=k66x6yr8w7ajtxf8oucwcx82a&amp;dl=0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dropbox.com/scl/fi/17a959pvx1poqc496np2r/Apendice2RES.pdf?rlkey=5bakrobaqqqi1388urvx56ir2&amp;dl=0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pamela.floresh@anahuac.mx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2.jpeg"/><Relationship Id="rId10" Type="http://schemas.openxmlformats.org/officeDocument/2006/relationships/hyperlink" Target="https://orcid.org/0009-0006-0870-5605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hyperlink" Target="https://orcid.org/0000-0001-9315-1227" TargetMode="External"/><Relationship Id="rId14" Type="http://schemas.openxmlformats.org/officeDocument/2006/relationships/hyperlink" Target="https://www.dropbox.com/scl/fi/calaowolfk1kcodzlpveo/Apendice1RES.pdf?rlkey=m2as355yt0olbuw2pdzpcaje7&amp;dl=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Mos62</b:Tag>
    <b:SourceType>JournalArticle</b:SourceType>
    <b:Guid>{46376B81-3E2D-413D-AEE0-32E5F922604D}</b:Guid>
    <b:Title>Understanding the birthday problem</b:Title>
    <b:Year>1962</b:Year>
    <b:Author>
      <b:Author>
        <b:NameList>
          <b:Person>
            <b:Last>Mosteller</b:Last>
            <b:First>Frederick</b:First>
          </b:Person>
        </b:NameList>
      </b:Author>
    </b:Author>
    <b:JournalName>The Mathematics Teacher</b:JournalName>
    <b:Pages>322--325</b:Pages>
    <b:Volume>55</b:Volume>
    <b:Issue>5</b:Issue>
    <b:URL>http://www.jstor.org/stable/27956609</b:URL>
    <b:RefOrder>1</b:RefOrder>
  </b:Source>
  <b:Source>
    <b:Tag>Nau68</b:Tag>
    <b:SourceType>JournalArticle</b:SourceType>
    <b:Guid>{86230255-28F2-4855-A576-BBC8714C1367}</b:Guid>
    <b:Author>
      <b:Author>
        <b:NameList>
          <b:Person>
            <b:Last>Naus</b:Last>
            <b:First>Joseph</b:First>
            <b:Middle>I.</b:Middle>
          </b:Person>
        </b:NameList>
      </b:Author>
    </b:Author>
    <b:Title>An Extension of the Birthday Problem</b:Title>
    <b:JournalName>The American Statistician</b:JournalName>
    <b:Year>1968</b:Year>
    <b:Pages>27-29</b:Pages>
    <b:Volume>22</b:Volume>
    <b:Issue>1</b:Issue>
    <b:DOI>10.1080/00031305.1968.10480438</b:DOI>
    <b:RefOrder>2</b:RefOrder>
  </b:Source>
  <b:Source>
    <b:Tag>Kos13</b:Tag>
    <b:SourceType>JournalArticle</b:SourceType>
    <b:Guid>{81583FE6-6FDE-4B8F-9565-3E21B6707545}</b:Guid>
    <b:Author>
      <b:Author>
        <b:NameList>
          <b:Person>
            <b:Last>Kostadinov</b:Last>
            <b:First>Boyan</b:First>
          </b:Person>
        </b:NameList>
      </b:Author>
    </b:Author>
    <b:Title>Simulation Insights Using R</b:Title>
    <b:JournalName>Problems, Resources, and Issues in Mathematics Undergraduate Studies</b:JournalName>
    <b:Year>2013</b:Year>
    <b:Pages>208--223</b:Pages>
    <b:Volume>23</b:Volume>
    <b:Issue>3</b:Issue>
    <b:DOI>10.1080/10511970.2012.718729</b:DOI>
    <b:RefOrder>3</b:RefOrder>
  </b:Source>
  <b:Source>
    <b:Tag>Lóp23</b:Tag>
    <b:SourceType>JournalArticle</b:SourceType>
    <b:Guid>{18072C6F-9555-4212-B174-49BD9F090242}</b:Guid>
    <b:Author>
      <b:Author>
        <b:NameList>
          <b:Person>
            <b:Last>López-Barrientos</b:Last>
            <b:First>José</b:First>
            <b:Middle>Daniel</b:Middle>
          </b:Person>
          <b:Person>
            <b:Last>Silva</b:Last>
            <b:First>Eliud</b:First>
          </b:Person>
          <b:Person>
            <b:Last>Lemus-Rodríguez</b:Last>
            <b:First>Enrique</b:First>
          </b:Person>
        </b:NameList>
      </b:Author>
    </b:Author>
    <b:Title>Lessons from the famous 17th-century paradox of the Chevalier de Méré</b:Title>
    <b:JournalName>Teaching Statistics</b:JournalName>
    <b:Year>2023</b:Year>
    <b:Pages>36-44</b:Pages>
    <b:Volume>45</b:Volume>
    <b:Issue>1</b:Issue>
    <b:DOI>10.1111/test.12321</b:DOI>
    <b:RefOrder>4</b:RefOrder>
  </b:Source>
  <b:Source>
    <b:Tag>Gla20</b:Tag>
    <b:SourceType>JournalArticle</b:SourceType>
    <b:Guid>{0FF2907E-DFE1-4D76-BF09-0035F5BBF6D2}</b:Guid>
    <b:Author>
      <b:Author>
        <b:NameList>
          <b:Person>
            <b:Last>Glassmeyer</b:Last>
            <b:First>David</b:First>
          </b:Person>
          <b:Person>
            <b:Last>Smith</b:Last>
            <b:First>Andrew</b:First>
          </b:Person>
          <b:Person>
            <b:Last>Gardner</b:Last>
            <b:First>Kimberly</b:First>
          </b:Person>
        </b:NameList>
      </b:Author>
    </b:Author>
    <b:Title>Developing teacher content understanding by integrating pH and logarithms concepts</b:Title>
    <b:JournalName>School Science and Mathematics</b:JournalName>
    <b:Year>2020</b:Year>
    <b:Pages>165-174</b:Pages>
    <b:Volume>120</b:Volume>
    <b:Issue>3</b:Issue>
    <b:DOI>10.1111/ssm.12394</b:DOI>
    <b:RefOrder>5</b:RefOrder>
  </b:Source>
  <b:Source>
    <b:Tag>Chu03</b:Tag>
    <b:SourceType>Book</b:SourceType>
    <b:Guid>{F30E3D0C-D40A-4A92-8546-84C5E61D71A8}</b:Guid>
    <b:Author>
      <b:Author>
        <b:NameList>
          <b:Person>
            <b:Last>Chung</b:Last>
            <b:First>Kai</b:First>
            <b:Middle>Lai</b:Middle>
          </b:Person>
          <b:Person>
            <b:Last>AitSahlia</b:Last>
            <b:First>Farid</b:First>
          </b:Person>
        </b:NameList>
      </b:Author>
    </b:Author>
    <b:Title>Elementary Probability Theory with Stochastic Processes and an Introduction to Mathematical Finance</b:Title>
    <b:Year>2003</b:Year>
    <b:City>New York</b:City>
    <b:Publisher>Springer</b:Publisher>
    <b:DOI>10.1007/978-0-387-21548-8</b:DOI>
    <b:RefOrder>6</b:RefOrder>
  </b:Source>
</b:Sourc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A3968907-828F-4E65-ADD1-800D67F70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1694</Words>
  <Characters>9318</Characters>
  <Application>Microsoft Office Word</Application>
  <DocSecurity>0</DocSecurity>
  <Lines>77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José Daniel López Barrientos</cp:lastModifiedBy>
  <cp:revision>10</cp:revision>
  <dcterms:created xsi:type="dcterms:W3CDTF">2025-12-12T17:32:00Z</dcterms:created>
  <dcterms:modified xsi:type="dcterms:W3CDTF">2026-02-28T01:57:00Z</dcterms:modified>
</cp:coreProperties>
</file>